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8C" w:rsidRDefault="00A46DFF" w:rsidP="005B255F">
      <w:pPr>
        <w:pStyle w:val="Antrat1"/>
        <w:ind w:firstLine="142"/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t xml:space="preserve">Kristijonas Donelaitis </w:t>
      </w:r>
      <w:r w:rsidR="001509A7">
        <w:rPr>
          <w:rFonts w:eastAsia="Times New Roman"/>
          <w:lang w:eastAsia="lt-LT"/>
        </w:rPr>
        <w:t>(</w:t>
      </w:r>
      <w:r w:rsidR="005B255F">
        <w:rPr>
          <w:rFonts w:eastAsia="Times New Roman"/>
          <w:lang w:eastAsia="lt-LT"/>
        </w:rPr>
        <w:t>1714–</w:t>
      </w:r>
      <w:r w:rsidR="00BF2B3E">
        <w:rPr>
          <w:rFonts w:eastAsia="Times New Roman"/>
          <w:lang w:eastAsia="lt-LT"/>
        </w:rPr>
        <w:t>1780</w:t>
      </w:r>
      <w:r w:rsidR="001509A7">
        <w:rPr>
          <w:rFonts w:eastAsia="Times New Roman"/>
          <w:lang w:eastAsia="lt-LT"/>
        </w:rPr>
        <w:t>)</w:t>
      </w:r>
    </w:p>
    <w:p w:rsidR="002A6DD2" w:rsidRDefault="002A6DD2" w:rsidP="007303A5">
      <w:pPr>
        <w:sectPr w:rsidR="002A6DD2">
          <w:headerReference w:type="default" r:id="rId8"/>
          <w:footerReference w:type="default" r:id="rId9"/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69228C" w:rsidRDefault="001509A7" w:rsidP="007303A5">
      <w:r w:rsidRPr="005B255F">
        <w:rPr>
          <w:spacing w:val="4"/>
        </w:rPr>
        <w:t xml:space="preserve">2013 </w:t>
      </w:r>
      <w:r w:rsidRPr="00A653FC">
        <w:rPr>
          <w:spacing w:val="4"/>
        </w:rPr>
        <w:t>m</w:t>
      </w:r>
      <w:r w:rsidR="005B255F" w:rsidRPr="00A653FC">
        <w:rPr>
          <w:spacing w:val="4"/>
        </w:rPr>
        <w:t>etų</w:t>
      </w:r>
      <w:r w:rsidRPr="005B255F">
        <w:rPr>
          <w:spacing w:val="4"/>
        </w:rPr>
        <w:t xml:space="preserve"> lapkričio mėnesį</w:t>
      </w:r>
      <w:r w:rsidR="0069228C" w:rsidRPr="005B255F">
        <w:rPr>
          <w:spacing w:val="4"/>
        </w:rPr>
        <w:t xml:space="preserve"> </w:t>
      </w:r>
      <w:r w:rsidR="0069228C" w:rsidRPr="00485A2D">
        <w:rPr>
          <w:rStyle w:val="UNESCO"/>
        </w:rPr>
        <w:t>UNESCO</w:t>
      </w:r>
      <w:r w:rsidR="0069228C">
        <w:t xml:space="preserve"> 37-ojoje</w:t>
      </w:r>
      <w:r>
        <w:t xml:space="preserve"> generalinėje konferencijoje buvo</w:t>
      </w:r>
      <w:r w:rsidR="0069228C">
        <w:t xml:space="preserve"> svarstomas </w:t>
      </w:r>
      <w:r w:rsidRPr="000542F0">
        <w:rPr>
          <w:color w:val="FF0000"/>
        </w:rPr>
        <w:t>klausimas</w:t>
      </w:r>
      <w:r w:rsidR="00A24499">
        <w:rPr>
          <w:color w:val="FF0000"/>
        </w:rPr>
        <w:fldChar w:fldCharType="begin"/>
      </w:r>
      <w:r w:rsidR="00A24499">
        <w:instrText xml:space="preserve"> XE "</w:instrText>
      </w:r>
      <w:r w:rsidR="00A24499" w:rsidRPr="00636BFD">
        <w:rPr>
          <w:color w:val="FF0000"/>
        </w:rPr>
        <w:instrText>klausimas</w:instrText>
      </w:r>
      <w:r w:rsidR="00A24499">
        <w:instrText xml:space="preserve">" </w:instrText>
      </w:r>
      <w:r w:rsidR="00A24499">
        <w:rPr>
          <w:color w:val="FF0000"/>
        </w:rPr>
        <w:fldChar w:fldCharType="end"/>
      </w:r>
      <w:r w:rsidRPr="001509A7">
        <w:t xml:space="preserve"> dėl</w:t>
      </w:r>
      <w:r>
        <w:t xml:space="preserve"> </w:t>
      </w:r>
      <w:r w:rsidR="0069228C">
        <w:t xml:space="preserve">literatūros klasiko Kristijono Donelaičio 300-ųjų gimimo metinių minėjimo įtraukimo į </w:t>
      </w:r>
      <w:r w:rsidR="0069228C" w:rsidRPr="00485A2D">
        <w:rPr>
          <w:rStyle w:val="UNESCO"/>
        </w:rPr>
        <w:t>UNESCO</w:t>
      </w:r>
      <w:r w:rsidR="0069228C">
        <w:t xml:space="preserve"> 2014 </w:t>
      </w:r>
      <w:r w:rsidR="0069228C">
        <w:t>metais minimų sukakčių kalendorių.</w:t>
      </w:r>
    </w:p>
    <w:p w:rsidR="00C94E32" w:rsidRDefault="001509A7" w:rsidP="007303A5">
      <w:r>
        <w:t>Dėl šios datos</w:t>
      </w:r>
      <w:r w:rsidR="0069228C">
        <w:t xml:space="preserve"> įtraukimo į </w:t>
      </w:r>
      <w:r w:rsidR="0069228C" w:rsidRPr="00485A2D">
        <w:rPr>
          <w:rStyle w:val="UNESCO"/>
        </w:rPr>
        <w:t>UNESCO</w:t>
      </w:r>
      <w:r w:rsidR="0069228C">
        <w:t xml:space="preserve"> minimų sukakčių kalendorių kreipėsi Seimo Lituanistikos tradicijų ir paveldo įprasminimo komisija, pabrėždama, kad taip būtų prasmingai prisidėta </w:t>
      </w:r>
      <w:r w:rsidR="0069228C">
        <w:t xml:space="preserve">prie vieno originaliausių Šviečiamojo amžiaus Europos rašytojų kūrybos sklaidos ir atkreiptas tinkamas dėmesys į vardą, kuris sudomintų įvairių valstybių kultūros veikėjus pateikti sumanymų ir darbų jo kūrybos tematika bei </w:t>
      </w:r>
      <w:r w:rsidR="0069228C" w:rsidRPr="00C9576E">
        <w:rPr>
          <w:color w:val="FF0000"/>
        </w:rPr>
        <w:t>problematika</w:t>
      </w:r>
      <w:r w:rsidR="00A24499">
        <w:rPr>
          <w:color w:val="FF0000"/>
        </w:rPr>
        <w:fldChar w:fldCharType="begin"/>
      </w:r>
      <w:r w:rsidR="00A24499">
        <w:instrText xml:space="preserve"> XE "</w:instrText>
      </w:r>
      <w:r w:rsidR="00A24499" w:rsidRPr="00386A84">
        <w:rPr>
          <w:color w:val="FF0000"/>
        </w:rPr>
        <w:instrText>problematika</w:instrText>
      </w:r>
      <w:r w:rsidR="00A24499">
        <w:instrText xml:space="preserve">" </w:instrText>
      </w:r>
      <w:r w:rsidR="00A24499">
        <w:rPr>
          <w:color w:val="FF0000"/>
        </w:rPr>
        <w:fldChar w:fldCharType="end"/>
      </w:r>
      <w:r w:rsidR="0069228C">
        <w:t>.</w:t>
      </w:r>
    </w:p>
    <w:p w:rsidR="0069228C" w:rsidRDefault="00C94E32" w:rsidP="007303A5">
      <w:r w:rsidRPr="00C94E32">
        <w:t xml:space="preserve">Lietuvos Respublikos Seimas paskelbė 2014-uosius Kristijono Donelaičio </w:t>
      </w:r>
      <w:r w:rsidRPr="00C9576E">
        <w:rPr>
          <w:color w:val="FF0000"/>
        </w:rPr>
        <w:t>metais</w:t>
      </w:r>
      <w:r w:rsidR="00A24499">
        <w:rPr>
          <w:color w:val="FF0000"/>
        </w:rPr>
        <w:fldChar w:fldCharType="begin"/>
      </w:r>
      <w:r w:rsidR="00A24499">
        <w:instrText xml:space="preserve"> XE "</w:instrText>
      </w:r>
      <w:r w:rsidR="00A24499" w:rsidRPr="007E2BF0">
        <w:rPr>
          <w:color w:val="FF0000"/>
        </w:rPr>
        <w:instrText>metais</w:instrText>
      </w:r>
      <w:r w:rsidR="00A24499">
        <w:instrText xml:space="preserve">" </w:instrText>
      </w:r>
      <w:r w:rsidR="00A24499">
        <w:rPr>
          <w:color w:val="FF0000"/>
        </w:rPr>
        <w:fldChar w:fldCharType="end"/>
      </w:r>
      <w:r w:rsidRPr="00C94E32">
        <w:t>.</w:t>
      </w:r>
    </w:p>
    <w:p w:rsidR="00A46DFF" w:rsidRDefault="00C44EDE" w:rsidP="007303A5">
      <w:r>
        <w:t>Įgyvendinant 201</w:t>
      </w:r>
      <w:r w:rsidRPr="005B255F">
        <w:t>3</w:t>
      </w:r>
      <w:r>
        <w:t>–2014 m. K. </w:t>
      </w:r>
      <w:r w:rsidR="0069228C">
        <w:t xml:space="preserve">Donelaičio 300-ųjų gimimo metinių minėjimo programą dalyvauja įvairių sričių kultūros ir meno </w:t>
      </w:r>
      <w:r w:rsidR="0069228C" w:rsidRPr="00C9576E">
        <w:rPr>
          <w:color w:val="FF0000"/>
        </w:rPr>
        <w:t>atstovai</w:t>
      </w:r>
      <w:r w:rsidR="00A24499">
        <w:rPr>
          <w:color w:val="FF0000"/>
        </w:rPr>
        <w:fldChar w:fldCharType="begin"/>
      </w:r>
      <w:r w:rsidR="00A24499">
        <w:instrText xml:space="preserve"> XE "</w:instrText>
      </w:r>
      <w:r w:rsidR="00A24499" w:rsidRPr="00A54255">
        <w:rPr>
          <w:color w:val="FF0000"/>
        </w:rPr>
        <w:instrText>atstovai</w:instrText>
      </w:r>
      <w:r w:rsidR="00A24499">
        <w:instrText xml:space="preserve">" </w:instrText>
      </w:r>
      <w:r w:rsidR="00A24499">
        <w:rPr>
          <w:color w:val="FF0000"/>
        </w:rPr>
        <w:fldChar w:fldCharType="end"/>
      </w:r>
      <w:r w:rsidR="0069228C">
        <w:t>.</w:t>
      </w:r>
    </w:p>
    <w:p w:rsidR="002A6DD2" w:rsidRDefault="002A6DD2" w:rsidP="00A46DFF">
      <w:pPr>
        <w:sectPr w:rsidR="002A6DD2" w:rsidSect="00485A2D">
          <w:type w:val="continuous"/>
          <w:pgSz w:w="11906" w:h="16838"/>
          <w:pgMar w:top="1134" w:right="567" w:bottom="1134" w:left="1276" w:header="567" w:footer="567" w:gutter="0"/>
          <w:cols w:num="3" w:space="567" w:equalWidth="0">
            <w:col w:w="2268" w:space="567"/>
            <w:col w:w="2268" w:space="567"/>
            <w:col w:w="4393"/>
          </w:cols>
          <w:docGrid w:linePitch="360"/>
        </w:sectPr>
      </w:pPr>
    </w:p>
    <w:p w:rsidR="00040B8E" w:rsidRDefault="00040B8E" w:rsidP="00A46DFF">
      <w:pPr>
        <w:sectPr w:rsidR="00040B8E" w:rsidSect="002A6DD2">
          <w:type w:val="continuous"/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A46DFF" w:rsidRDefault="00A46DFF" w:rsidP="00A46DFF">
      <w:r>
        <w:br w:type="page"/>
      </w:r>
    </w:p>
    <w:p w:rsidR="0069228C" w:rsidRDefault="00844F09" w:rsidP="005B255F">
      <w:pPr>
        <w:pStyle w:val="Antrat1"/>
        <w:ind w:firstLine="0"/>
      </w:pPr>
      <w:r>
        <w:lastRenderedPageBreak/>
        <w:t xml:space="preserve">Išleistų K. Donelaičio </w:t>
      </w:r>
      <w:r w:rsidR="005A58D1">
        <w:t>leidinių</w:t>
      </w:r>
      <w:r>
        <w:t xml:space="preserve"> </w:t>
      </w:r>
      <w:r w:rsidR="00372AC9">
        <w:t>kaina litais</w:t>
      </w:r>
    </w:p>
    <w:p w:rsidR="00372AC9" w:rsidRPr="005B255F" w:rsidRDefault="00372AC9" w:rsidP="00485A2D">
      <w:pPr>
        <w:tabs>
          <w:tab w:val="decimal" w:pos="5670"/>
        </w:tabs>
      </w:pPr>
      <w:r>
        <w:t xml:space="preserve">Lapės ir gandro </w:t>
      </w:r>
      <w:proofErr w:type="spellStart"/>
      <w:r>
        <w:t>čėsnis</w:t>
      </w:r>
      <w:proofErr w:type="spellEnd"/>
      <w:r>
        <w:tab/>
        <w:t>0,</w:t>
      </w:r>
      <w:r w:rsidRPr="005B255F">
        <w:t>21</w:t>
      </w:r>
    </w:p>
    <w:p w:rsidR="00372AC9" w:rsidRDefault="00372AC9" w:rsidP="00485A2D">
      <w:pPr>
        <w:tabs>
          <w:tab w:val="decimal" w:pos="5670"/>
        </w:tabs>
      </w:pPr>
      <w:r>
        <w:t xml:space="preserve">Rudikis </w:t>
      </w:r>
      <w:proofErr w:type="spellStart"/>
      <w:r>
        <w:t>jomarkininks</w:t>
      </w:r>
      <w:proofErr w:type="spellEnd"/>
      <w:r>
        <w:tab/>
        <w:t>1</w:t>
      </w:r>
    </w:p>
    <w:p w:rsidR="00372AC9" w:rsidRDefault="00372AC9" w:rsidP="00485A2D">
      <w:pPr>
        <w:tabs>
          <w:tab w:val="decimal" w:pos="5670"/>
        </w:tabs>
      </w:pPr>
      <w:r>
        <w:t>Šuo Didgalvis</w:t>
      </w:r>
      <w:r>
        <w:tab/>
        <w:t>1,9</w:t>
      </w:r>
    </w:p>
    <w:p w:rsidR="00372AC9" w:rsidRDefault="00372AC9" w:rsidP="00485A2D">
      <w:pPr>
        <w:tabs>
          <w:tab w:val="decimal" w:pos="5670"/>
        </w:tabs>
      </w:pPr>
      <w:r>
        <w:t xml:space="preserve">Pasaka apie </w:t>
      </w:r>
      <w:proofErr w:type="spellStart"/>
      <w:r>
        <w:t>šūdvabalį</w:t>
      </w:r>
      <w:proofErr w:type="spellEnd"/>
      <w:r>
        <w:tab/>
        <w:t>10</w:t>
      </w:r>
    </w:p>
    <w:p w:rsidR="00372AC9" w:rsidRDefault="00372AC9" w:rsidP="00485A2D">
      <w:pPr>
        <w:tabs>
          <w:tab w:val="decimal" w:pos="5670"/>
        </w:tabs>
      </w:pPr>
      <w:r>
        <w:t xml:space="preserve">Vilks </w:t>
      </w:r>
      <w:proofErr w:type="spellStart"/>
      <w:r>
        <w:t>provininks</w:t>
      </w:r>
      <w:proofErr w:type="spellEnd"/>
      <w:r>
        <w:tab/>
        <w:t>2,01</w:t>
      </w:r>
    </w:p>
    <w:p w:rsidR="00372AC9" w:rsidRDefault="00372AC9" w:rsidP="00485A2D">
      <w:pPr>
        <w:tabs>
          <w:tab w:val="decimal" w:pos="5670"/>
        </w:tabs>
      </w:pPr>
      <w:proofErr w:type="spellStart"/>
      <w:r>
        <w:t>Aužuols</w:t>
      </w:r>
      <w:proofErr w:type="spellEnd"/>
      <w:r>
        <w:t xml:space="preserve"> gyrpelnys</w:t>
      </w:r>
      <w:r>
        <w:tab/>
        <w:t>0,09</w:t>
      </w:r>
    </w:p>
    <w:p w:rsidR="00372AC9" w:rsidRDefault="00372AC9" w:rsidP="00485A2D">
      <w:pPr>
        <w:tabs>
          <w:tab w:val="decimal" w:pos="5670"/>
        </w:tabs>
      </w:pPr>
      <w:r w:rsidRPr="00C9576E">
        <w:rPr>
          <w:color w:val="FF0000"/>
        </w:rPr>
        <w:t>Metai</w:t>
      </w:r>
      <w:r w:rsidR="00A24499">
        <w:rPr>
          <w:color w:val="FF0000"/>
        </w:rPr>
        <w:fldChar w:fldCharType="begin"/>
      </w:r>
      <w:r w:rsidR="00A24499">
        <w:instrText xml:space="preserve"> XE "</w:instrText>
      </w:r>
      <w:r w:rsidR="00A24499" w:rsidRPr="00B27828">
        <w:rPr>
          <w:color w:val="FF0000"/>
        </w:rPr>
        <w:instrText>Metai</w:instrText>
      </w:r>
      <w:r w:rsidR="00A24499">
        <w:instrText xml:space="preserve">" </w:instrText>
      </w:r>
      <w:r w:rsidR="00A24499">
        <w:rPr>
          <w:color w:val="FF0000"/>
        </w:rPr>
        <w:fldChar w:fldCharType="end"/>
      </w:r>
      <w:r>
        <w:tab/>
        <w:t>11,99</w:t>
      </w:r>
    </w:p>
    <w:p w:rsidR="00DF7393" w:rsidRPr="009E46DB" w:rsidRDefault="001D2D0A" w:rsidP="005B255F">
      <w:pPr>
        <w:pStyle w:val="Antrat1"/>
        <w:ind w:firstLine="0"/>
      </w:pPr>
      <w:r w:rsidRPr="009E46DB">
        <w:t>Klasikinė</w:t>
      </w:r>
      <w:r w:rsidR="00486767">
        <w:t>s</w:t>
      </w:r>
      <w:r w:rsidRPr="009E46DB">
        <w:t xml:space="preserve"> lietuvių literatūros</w:t>
      </w:r>
      <w:r w:rsidR="00486767">
        <w:t xml:space="preserve"> a</w:t>
      </w:r>
      <w:r w:rsidRPr="009E46DB">
        <w:t>utorių sąrašas</w:t>
      </w:r>
    </w:p>
    <w:tbl>
      <w:tblPr>
        <w:tblStyle w:val="Lentelstinklelis"/>
        <w:tblW w:w="6443" w:type="dxa"/>
        <w:tblInd w:w="93" w:type="dxa"/>
        <w:tblCellMar>
          <w:left w:w="567" w:type="dxa"/>
        </w:tblCellMar>
        <w:tblLook w:val="04A0" w:firstRow="1" w:lastRow="0" w:firstColumn="1" w:lastColumn="0" w:noHBand="0" w:noVBand="1"/>
      </w:tblPr>
      <w:tblGrid>
        <w:gridCol w:w="1782"/>
        <w:gridCol w:w="2189"/>
        <w:gridCol w:w="1269"/>
        <w:gridCol w:w="1203"/>
      </w:tblGrid>
      <w:tr w:rsidR="00A24499" w:rsidRPr="00A653FC" w:rsidTr="00A24499">
        <w:trPr>
          <w:trHeight w:val="1134"/>
        </w:trPr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Vardas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Pavardė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Gimė, m.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Mirė, m.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Mikalojus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Husovianas</w:t>
            </w:r>
            <w:proofErr w:type="spellEnd"/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1475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1533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Martynas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Mažvydas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1520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1563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Mikalojus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Daukša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1525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1613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Motiejus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Kazimieras Sarbievijus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1595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1640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Kristijonas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Donelaitis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1714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1780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Dionizas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Poška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1757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1830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Strazdas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1763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1833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Liudvikas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Rėza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1776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1840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Silvestras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Valiūnas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1789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1831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Simonas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Daukantas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1793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1864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Adomas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Mickevičius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1798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1855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Simonas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Stanevičius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1799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1848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Motiejus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Valančius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1801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1875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Baranauskas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1835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1902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Julija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Beniuševičiūtė</w:t>
            </w:r>
            <w:proofErr w:type="spellEnd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-Žemaitė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1845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1921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Basanavičius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1851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1927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Kudirka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1858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1899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Gaidamavičius</w:t>
            </w:r>
            <w:proofErr w:type="spellEnd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 xml:space="preserve"> 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1860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1912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Mačiulis-Maironis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1862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1932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Juozas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Tumas-Vaižgantas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1869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1933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Jurgis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Baltrušaitis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1873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1944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Pranas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Vaičaitis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1876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1901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Šatrijos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Ragana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1877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1930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lastRenderedPageBreak/>
              <w:t>Jonas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Biliūnas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1879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1907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Vienuolis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1882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1957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Krėvė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1882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1954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Ignas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Šeinius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1889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1959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Jurgis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Savickis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1890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1952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Mykolaitis-Putinas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1893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1967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Kazys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Binkis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1893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1942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Balys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Sruoga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1896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1947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Ieva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Simonaitytė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1897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1978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Juozas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Grušas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1901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1986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Salomėja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Nėris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1904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1945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Aistis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1904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1973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Ramonas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1905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1985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Miškinis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1905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1983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Kazys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Boruta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1905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1965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Vaičiulaitis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1906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1992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Bernardas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Brazdžionis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1907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2002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Petras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Cvirka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1909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1947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Henrikas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Radauskas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1910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1970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Škėma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1911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1961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Marius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Katiliškis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1915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1980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Henrikas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Nagys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1920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1996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Vytautas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Mačernis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1921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1944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Paulius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Širvys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1922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1979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Janina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Degutytė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1928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1990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Algimantas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Mackus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1932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1964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Bronius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Radzevičius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1940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1980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Kalanavičius</w:t>
            </w:r>
            <w:proofErr w:type="spellEnd"/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1945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1992</w:t>
            </w:r>
          </w:p>
        </w:tc>
      </w:tr>
      <w:tr w:rsidR="00A24499" w:rsidRPr="00A653FC" w:rsidTr="00A24499">
        <w:tc>
          <w:tcPr>
            <w:tcW w:w="13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Ramonas</w:t>
            </w:r>
          </w:p>
        </w:tc>
        <w:tc>
          <w:tcPr>
            <w:tcW w:w="1223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1947</w:t>
            </w:r>
          </w:p>
        </w:tc>
        <w:tc>
          <w:tcPr>
            <w:tcW w:w="1268" w:type="dxa"/>
          </w:tcPr>
          <w:p w:rsidR="00A24499" w:rsidRPr="00A653FC" w:rsidRDefault="00A24499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1993</w:t>
            </w:r>
          </w:p>
        </w:tc>
      </w:tr>
    </w:tbl>
    <w:p w:rsidR="00A24499" w:rsidRDefault="00A24499" w:rsidP="0035084F">
      <w:pPr>
        <w:ind w:firstLine="0"/>
      </w:pPr>
    </w:p>
    <w:p w:rsidR="00A24499" w:rsidRDefault="00A24499">
      <w:pPr>
        <w:spacing w:after="200" w:line="276" w:lineRule="auto"/>
        <w:ind w:firstLine="0"/>
        <w:jc w:val="left"/>
      </w:pPr>
      <w:r>
        <w:br w:type="page"/>
      </w:r>
      <w:bookmarkStart w:id="0" w:name="_GoBack"/>
      <w:bookmarkEnd w:id="0"/>
    </w:p>
    <w:p w:rsidR="00A24499" w:rsidRDefault="00A24499" w:rsidP="00A24499">
      <w:pPr>
        <w:pStyle w:val="Antrat1"/>
        <w:rPr>
          <w:noProof/>
        </w:rPr>
      </w:pPr>
      <w:r>
        <w:lastRenderedPageBreak/>
        <w:t>Rodyklė</w:t>
      </w:r>
      <w:r>
        <w:fldChar w:fldCharType="begin"/>
      </w:r>
      <w:r>
        <w:instrText xml:space="preserve"> INDEX \c "1" \z "1063" </w:instrText>
      </w:r>
      <w:r>
        <w:fldChar w:fldCharType="separate"/>
      </w:r>
    </w:p>
    <w:p w:rsidR="00A24499" w:rsidRDefault="00A24499" w:rsidP="00A24499">
      <w:pPr>
        <w:pStyle w:val="Antrat1"/>
        <w:ind w:firstLine="0"/>
        <w:rPr>
          <w:noProof/>
        </w:rPr>
        <w:sectPr w:rsidR="00A24499" w:rsidSect="00A24499">
          <w:type w:val="continuous"/>
          <w:pgSz w:w="11906" w:h="16838"/>
          <w:pgMar w:top="1701" w:right="567" w:bottom="1134" w:left="1276" w:header="567" w:footer="567" w:gutter="0"/>
          <w:cols w:space="1296"/>
          <w:docGrid w:linePitch="360"/>
        </w:sectPr>
      </w:pPr>
    </w:p>
    <w:p w:rsidR="00A24499" w:rsidRDefault="00A24499" w:rsidP="00A24499">
      <w:pPr>
        <w:pStyle w:val="Indeksas1"/>
        <w:tabs>
          <w:tab w:val="right" w:leader="dot" w:pos="10053"/>
        </w:tabs>
        <w:ind w:left="0" w:firstLine="0"/>
        <w:rPr>
          <w:noProof/>
        </w:rPr>
      </w:pPr>
      <w:r w:rsidRPr="003C7008">
        <w:rPr>
          <w:noProof/>
          <w:color w:val="FF0000"/>
        </w:rPr>
        <w:t>atstovai</w:t>
      </w:r>
      <w:r>
        <w:rPr>
          <w:noProof/>
        </w:rPr>
        <w:t>, 1</w:t>
      </w:r>
    </w:p>
    <w:p w:rsidR="00A24499" w:rsidRDefault="00A24499">
      <w:pPr>
        <w:pStyle w:val="Indeksas1"/>
        <w:tabs>
          <w:tab w:val="right" w:leader="dot" w:pos="10053"/>
        </w:tabs>
        <w:rPr>
          <w:noProof/>
        </w:rPr>
      </w:pPr>
      <w:r w:rsidRPr="003C7008">
        <w:rPr>
          <w:noProof/>
          <w:color w:val="FF0000"/>
        </w:rPr>
        <w:t>klausimas</w:t>
      </w:r>
      <w:r>
        <w:rPr>
          <w:noProof/>
        </w:rPr>
        <w:t>, 1</w:t>
      </w:r>
    </w:p>
    <w:p w:rsidR="00A24499" w:rsidRDefault="00A24499">
      <w:pPr>
        <w:pStyle w:val="Indeksas1"/>
        <w:tabs>
          <w:tab w:val="right" w:leader="dot" w:pos="10053"/>
        </w:tabs>
        <w:rPr>
          <w:noProof/>
        </w:rPr>
      </w:pPr>
      <w:r w:rsidRPr="003C7008">
        <w:rPr>
          <w:noProof/>
          <w:color w:val="FF0000"/>
        </w:rPr>
        <w:t>Metai</w:t>
      </w:r>
      <w:r>
        <w:rPr>
          <w:noProof/>
        </w:rPr>
        <w:t>, 2</w:t>
      </w:r>
    </w:p>
    <w:p w:rsidR="00A24499" w:rsidRDefault="00A24499">
      <w:pPr>
        <w:pStyle w:val="Indeksas1"/>
        <w:tabs>
          <w:tab w:val="right" w:leader="dot" w:pos="10053"/>
        </w:tabs>
        <w:rPr>
          <w:noProof/>
        </w:rPr>
      </w:pPr>
      <w:r w:rsidRPr="003C7008">
        <w:rPr>
          <w:noProof/>
          <w:color w:val="FF0000"/>
        </w:rPr>
        <w:t>metais</w:t>
      </w:r>
      <w:r>
        <w:rPr>
          <w:noProof/>
        </w:rPr>
        <w:t>, 1</w:t>
      </w:r>
    </w:p>
    <w:p w:rsidR="00A24499" w:rsidRDefault="00A24499">
      <w:pPr>
        <w:pStyle w:val="Indeksas1"/>
        <w:tabs>
          <w:tab w:val="right" w:leader="dot" w:pos="10053"/>
        </w:tabs>
        <w:rPr>
          <w:noProof/>
        </w:rPr>
      </w:pPr>
      <w:r w:rsidRPr="003C7008">
        <w:rPr>
          <w:noProof/>
          <w:color w:val="FF0000"/>
        </w:rPr>
        <w:t>problematika</w:t>
      </w:r>
      <w:r>
        <w:rPr>
          <w:noProof/>
        </w:rPr>
        <w:t>, 1</w:t>
      </w:r>
    </w:p>
    <w:p w:rsidR="00A24499" w:rsidRDefault="00A24499" w:rsidP="00A24499">
      <w:pPr>
        <w:pStyle w:val="Antrat1"/>
        <w:rPr>
          <w:noProof/>
        </w:rPr>
        <w:sectPr w:rsidR="00A24499" w:rsidSect="00A24499">
          <w:type w:val="continuous"/>
          <w:pgSz w:w="11906" w:h="16838"/>
          <w:pgMar w:top="1701" w:right="567" w:bottom="1134" w:left="1276" w:header="567" w:footer="567" w:gutter="0"/>
          <w:cols w:space="1296"/>
          <w:docGrid w:linePitch="360"/>
        </w:sectPr>
      </w:pPr>
    </w:p>
    <w:p w:rsidR="00A24499" w:rsidRPr="00A24499" w:rsidRDefault="00A24499" w:rsidP="00A24499">
      <w:pPr>
        <w:pStyle w:val="Antrat1"/>
      </w:pPr>
      <w:r>
        <w:fldChar w:fldCharType="end"/>
      </w:r>
    </w:p>
    <w:sectPr w:rsidR="00A24499" w:rsidRPr="00A24499" w:rsidSect="00A24499">
      <w:type w:val="continuous"/>
      <w:pgSz w:w="11906" w:h="16838"/>
      <w:pgMar w:top="1701" w:right="567" w:bottom="1134" w:left="1276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589" w:rsidRDefault="00853589" w:rsidP="0078076D">
      <w:pPr>
        <w:spacing w:line="240" w:lineRule="auto"/>
      </w:pPr>
      <w:r>
        <w:separator/>
      </w:r>
    </w:p>
  </w:endnote>
  <w:endnote w:type="continuationSeparator" w:id="0">
    <w:p w:rsidR="00853589" w:rsidRDefault="00853589" w:rsidP="00780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99B" w:rsidRDefault="00A24499">
    <w:pPr>
      <w:pStyle w:val="Porat"/>
    </w:pPr>
    <w:r>
      <w:t>Informacinės technologijos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589" w:rsidRDefault="00853589" w:rsidP="0078076D">
      <w:pPr>
        <w:spacing w:line="240" w:lineRule="auto"/>
      </w:pPr>
      <w:r>
        <w:separator/>
      </w:r>
    </w:p>
  </w:footnote>
  <w:footnote w:type="continuationSeparator" w:id="0">
    <w:p w:rsidR="00853589" w:rsidRDefault="00853589" w:rsidP="007807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499" w:rsidRDefault="00A24499" w:rsidP="00A24499">
    <w:pPr>
      <w:pStyle w:val="Antrats"/>
    </w:pPr>
    <w:r>
      <w:t>Egzaminas 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43A"/>
    <w:multiLevelType w:val="hybridMultilevel"/>
    <w:tmpl w:val="808ABAD6"/>
    <w:lvl w:ilvl="0" w:tplc="F9EA1442">
      <w:start w:val="1"/>
      <w:numFmt w:val="decimal"/>
      <w:pStyle w:val="Naujas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298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9F5"/>
    <w:rsid w:val="000036DB"/>
    <w:rsid w:val="0001715C"/>
    <w:rsid w:val="00040B8E"/>
    <w:rsid w:val="000542F0"/>
    <w:rsid w:val="00060201"/>
    <w:rsid w:val="000B789F"/>
    <w:rsid w:val="001509A7"/>
    <w:rsid w:val="00195F62"/>
    <w:rsid w:val="001D2D0A"/>
    <w:rsid w:val="00213227"/>
    <w:rsid w:val="002146D2"/>
    <w:rsid w:val="00267E10"/>
    <w:rsid w:val="00287FA8"/>
    <w:rsid w:val="002A399B"/>
    <w:rsid w:val="002A6DD2"/>
    <w:rsid w:val="002C2B7B"/>
    <w:rsid w:val="002C384B"/>
    <w:rsid w:val="0035084F"/>
    <w:rsid w:val="00372AC9"/>
    <w:rsid w:val="003B7656"/>
    <w:rsid w:val="00485A2D"/>
    <w:rsid w:val="00486767"/>
    <w:rsid w:val="004B4BAE"/>
    <w:rsid w:val="0052322B"/>
    <w:rsid w:val="00543A9E"/>
    <w:rsid w:val="005A58D1"/>
    <w:rsid w:val="005A6D60"/>
    <w:rsid w:val="005B255F"/>
    <w:rsid w:val="005E22E5"/>
    <w:rsid w:val="006146B2"/>
    <w:rsid w:val="00683D2C"/>
    <w:rsid w:val="0069228C"/>
    <w:rsid w:val="00727150"/>
    <w:rsid w:val="007303A5"/>
    <w:rsid w:val="0078076D"/>
    <w:rsid w:val="007B2BFB"/>
    <w:rsid w:val="00821543"/>
    <w:rsid w:val="00844F09"/>
    <w:rsid w:val="00853589"/>
    <w:rsid w:val="00874804"/>
    <w:rsid w:val="008830E2"/>
    <w:rsid w:val="008879F5"/>
    <w:rsid w:val="008E629E"/>
    <w:rsid w:val="00912C54"/>
    <w:rsid w:val="009204E5"/>
    <w:rsid w:val="00962E5A"/>
    <w:rsid w:val="00971070"/>
    <w:rsid w:val="0099426E"/>
    <w:rsid w:val="009E46DB"/>
    <w:rsid w:val="009F1C77"/>
    <w:rsid w:val="00A13040"/>
    <w:rsid w:val="00A24499"/>
    <w:rsid w:val="00A46DFF"/>
    <w:rsid w:val="00A56928"/>
    <w:rsid w:val="00A653FC"/>
    <w:rsid w:val="00B75834"/>
    <w:rsid w:val="00BE5DC8"/>
    <w:rsid w:val="00BF2B3E"/>
    <w:rsid w:val="00C44EDE"/>
    <w:rsid w:val="00C94E32"/>
    <w:rsid w:val="00C94F9B"/>
    <w:rsid w:val="00C9576E"/>
    <w:rsid w:val="00CC4FED"/>
    <w:rsid w:val="00D0576F"/>
    <w:rsid w:val="00D70004"/>
    <w:rsid w:val="00D92E31"/>
    <w:rsid w:val="00DA6FC3"/>
    <w:rsid w:val="00DF7393"/>
    <w:rsid w:val="00EC3E14"/>
    <w:rsid w:val="00EE702D"/>
    <w:rsid w:val="00F2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F7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7303A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DF7393"/>
    <w:pPr>
      <w:keepNext/>
      <w:keepLines/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Antrat2">
    <w:name w:val="heading 2"/>
    <w:basedOn w:val="prastasis"/>
    <w:link w:val="Antrat2Diagrama"/>
    <w:uiPriority w:val="9"/>
    <w:qFormat/>
    <w:rsid w:val="006922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Naujas">
    <w:name w:val="Naujas"/>
    <w:basedOn w:val="prastasis"/>
    <w:qFormat/>
    <w:rsid w:val="00727150"/>
    <w:pPr>
      <w:numPr>
        <w:numId w:val="1"/>
      </w:numPr>
    </w:pPr>
  </w:style>
  <w:style w:type="character" w:customStyle="1" w:styleId="Antrat2Diagrama">
    <w:name w:val="Antraštė 2 Diagrama"/>
    <w:basedOn w:val="Numatytasispastraiposriftas"/>
    <w:link w:val="Antrat2"/>
    <w:uiPriority w:val="9"/>
    <w:rsid w:val="0069228C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Betarp">
    <w:name w:val="No Spacing"/>
    <w:basedOn w:val="prastasis"/>
    <w:uiPriority w:val="1"/>
    <w:qFormat/>
    <w:rsid w:val="00692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DF739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ipersaitas">
    <w:name w:val="Hyperlink"/>
    <w:basedOn w:val="Numatytasispastraiposriftas"/>
    <w:uiPriority w:val="99"/>
    <w:semiHidden/>
    <w:unhideWhenUsed/>
    <w:rsid w:val="00A46DFF"/>
    <w:rPr>
      <w:color w:val="0000FF"/>
      <w:u w:val="single"/>
    </w:rPr>
  </w:style>
  <w:style w:type="paragraph" w:styleId="Sraopastraipa">
    <w:name w:val="List Paragraph"/>
    <w:basedOn w:val="prastasis"/>
    <w:uiPriority w:val="34"/>
    <w:qFormat/>
    <w:rsid w:val="00DF7393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  <w:style w:type="paragraph" w:styleId="Antrats">
    <w:name w:val="header"/>
    <w:basedOn w:val="prastasis"/>
    <w:link w:val="AntratsDiagrama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78076D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78076D"/>
    <w:rPr>
      <w:rFonts w:ascii="Times New Roman" w:hAnsi="Times New Roman"/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807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8076D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1D2D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ESCO">
    <w:name w:val="UNESCO"/>
    <w:basedOn w:val="Numatytasispastraiposriftas"/>
    <w:uiPriority w:val="1"/>
    <w:qFormat/>
    <w:rsid w:val="00485A2D"/>
    <w:rPr>
      <w:rFonts w:ascii="Arial" w:hAnsi="Arial"/>
      <w:color w:val="0070C0"/>
      <w:sz w:val="28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A24499"/>
    <w:pPr>
      <w:spacing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A329A-56BF-4A00-BB20-26D05506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1833</Words>
  <Characters>1045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2014-05-26T10:27:00Z</dcterms:created>
  <dcterms:modified xsi:type="dcterms:W3CDTF">2019-04-02T13:37:00Z</dcterms:modified>
</cp:coreProperties>
</file>