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AI自动化测试执行平台</w:t>
        <w:br/>
        <w:t>系统设计 R4.1 阅读投影</w:t>
      </w:r>
    </w:p>
    <w:p>
      <w:pPr>
        <w:jc w:val="center"/>
      </w:pPr>
      <w:r>
        <w:rPr>
          <w:b/>
        </w:rPr>
        <w:t>GENERATED_PROJECTION · NON_AUTHORITATIVE · DO_NOT_EDIT_MANUALLY</w:t>
      </w:r>
    </w:p>
    <w:p>
      <w:pPr>
        <w:jc w:val="center"/>
      </w:pPr>
      <w:r>
        <w:t>权威源：编码冻结基线/SYSTEM_DESIGN.yaml</w:t>
        <w:br/>
        <w:t>发布：PDBR-2026.08.06-R4.1</w:t>
      </w:r>
    </w:p>
    <w:p>
      <w:pPr>
        <w:pStyle w:val="Heading1"/>
      </w:pPr>
      <w:r>
        <w:t>1. 当前发布状态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项目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值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发布状态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GOVERNANCE_CLEANUP_COMPLETED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编码准入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READY_WITH_RUNTIME_DB_VALIDATION_PENDING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平台发布门禁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NOT_EVALUATED_IMPLEMENTATION_NOT_PRESENT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待用户决策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父发布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PDBR-2026.08.06-R4（由R4.1取代）</w:t>
            </w:r>
          </w:p>
        </w:tc>
      </w:tr>
    </w:tbl>
    <w:p>
      <w:pPr>
        <w:pStyle w:val="Heading1"/>
      </w:pPr>
      <w:r>
        <w:t>2. 冻结架构与工程契约</w:t>
      </w:r>
    </w:p>
    <w:p>
      <w:pPr>
        <w:pStyle w:val="ListBullet"/>
      </w:pPr>
      <w:r>
        <w:t>控制面采用模块化单体，异步Worker与Runner Agent独立部署。</w:t>
      </w:r>
    </w:p>
    <w:p>
      <w:pPr>
        <w:pStyle w:val="ListBullet"/>
      </w:pPr>
      <w:r>
        <w:t>技术栈：Vue 3 + TypeScript、Python 3.12 + FastAPI、MySQL 8.4 LTS + Flyway、Playwright Web。</w:t>
      </w:r>
    </w:p>
    <w:p>
      <w:pPr>
        <w:pStyle w:val="ListBullet"/>
      </w:pPr>
      <w:r>
        <w:t>数据库共82张表：77张对象表和5张技术表；正式关系、状态、权限和唯一键必须物理化。</w:t>
      </w:r>
    </w:p>
    <w:p>
      <w:pPr>
        <w:pStyle w:val="ListBullet"/>
      </w:pPr>
      <w:r>
        <w:t>OpenAPI 3.1.2包含133条路径、245个操作、455个类型化Schema。</w:t>
      </w:r>
    </w:p>
    <w:p>
      <w:pPr>
        <w:pStyle w:val="ListBullet"/>
      </w:pPr>
      <w:r>
        <w:t>事件契约包含628个事件Schema，统一信封强制包含sequence并按聚合顺序处理。</w:t>
      </w:r>
    </w:p>
    <w:p>
      <w:pPr>
        <w:pStyle w:val="ListBullet"/>
      </w:pPr>
      <w:r>
        <w:t>RBAC包含50个权限点、12个角色模板、600条角色权限映射。</w:t>
      </w:r>
    </w:p>
    <w:p>
      <w:pPr>
        <w:pStyle w:val="Heading1"/>
      </w:pPr>
      <w:r>
        <w:t>3. R4冻结契约（R4.1治理发布沿用）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修复项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冻结结论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OBJ-014 凭证版本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主键为credential_revision_id；(test_account_id, revision_no)唯一；project_id仅为范围字段。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OBJ-084 技术告警接入端点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主键为technical_alert_endpoint_id；endpoint_code唯一；signature_config_ref可轮换。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执行任务最终结果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新建任务final_result=UNKNOWN，仅聚合终结流程可写入明确结果。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权限点关系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atp_permission_code不含role_id；角色权限仅通过atp_role_permission持久化。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DDL完整性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删除8组重复外键；约束名和外键关系全局唯一。</w:t>
            </w:r>
          </w:p>
        </w:tc>
      </w:tr>
      <w:tr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超级管理员</w:t>
            </w:r>
          </w:p>
        </w:tc>
        <w:tc>
          <w:tcPr>
            <w:tcW w:type="dxa" w:w="5040"/>
          </w:tcPr>
          <w:p>
            <w:r>
              <w:rPr>
                <w:rFonts w:ascii="Noto Sans CJK SC" w:hAnsi="Noto Sans CJK SC" w:eastAsia="Noto Sans CJK SC"/>
                <w:sz w:val="18"/>
              </w:rPr>
              <w:t>CROSS_PROJECT_AUTHORIZATION_GRANT_ALL=ALLOWED，并强制二次确认、原因和不可变审计。</w:t>
            </w:r>
          </w:p>
        </w:tc>
      </w:tr>
    </w:tbl>
    <w:p>
      <w:pPr>
        <w:pStyle w:val="Heading1"/>
      </w:pPr>
      <w:r>
        <w:t>4. 两级门禁</w:t>
      </w:r>
    </w:p>
    <w:p>
      <w:pPr>
        <w:pStyle w:val="Heading2"/>
      </w:pPr>
      <w:r>
        <w:t>4.1 编码基线门禁</w:t>
      </w:r>
    </w:p>
    <w:p>
      <w:r>
        <w:t>静态事实源、状态、DDL、OpenAPI、事件、RBAC、验收规范和治理一致性已通过。当前环境无MySQL 8.4服务端、Docker或Podman，因此数据库空库迁移和种子实跑尚未执行。数据库模块正式合并前必须完成该门禁。</w:t>
      </w:r>
    </w:p>
    <w:p>
      <w:pPr>
        <w:pStyle w:val="Heading2"/>
      </w:pPr>
      <w:r>
        <w:t>4.2 平台发布门禁</w:t>
      </w:r>
    </w:p>
    <w:p>
      <w:r>
        <w:t>平台尚未编码完成，1691项验收规范保持SPECIFIED / NOT_STARTED。真实验收、安全、性能、恢复、部署和制品生命周期证据只在平台实现后执行，不作为开始编码的循环前置条件。</w:t>
      </w:r>
    </w:p>
    <w:p>
      <w:pPr>
        <w:pStyle w:val="Heading1"/>
      </w:pPr>
      <w:r>
        <w:t>5. 已确认非功能指标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目标</w:t>
            </w:r>
          </w:p>
        </w:tc>
      </w:tr>
      <w:tr>
        <w:tc>
          <w:tcPr>
            <w:tcW w:type="dxa" w:w="5040"/>
          </w:tcPr>
          <w:p>
            <w:r>
              <w:t>控制面可用性</w:t>
            </w:r>
          </w:p>
        </w:tc>
        <w:tc>
          <w:tcPr>
            <w:tcW w:type="dxa" w:w="5040"/>
          </w:tcPr>
          <w:p>
            <w:r>
              <w:t>生产环境月度可用率≥99.5%；公告维护窗口不计入；开发和测试环境不纳入正式SLA。</w:t>
            </w:r>
          </w:p>
        </w:tc>
      </w:tr>
      <w:tr>
        <w:tc>
          <w:tcPr>
            <w:tcW w:type="dxa" w:w="5040"/>
          </w:tcPr>
          <w:p>
            <w:r>
              <w:t>API时延</w:t>
            </w:r>
          </w:p>
        </w:tc>
        <w:tc>
          <w:tcPr>
            <w:tcW w:type="dxa" w:w="5040"/>
          </w:tcPr>
          <w:p>
            <w:r>
              <w:t>查询P95≤500ms/P99≤1000ms；写入P95≤800ms/P99≤1500ms；异步受理P95≤300ms/P99≤800ms。</w:t>
            </w:r>
          </w:p>
        </w:tc>
      </w:tr>
      <w:tr>
        <w:tc>
          <w:tcPr>
            <w:tcW w:type="dxa" w:w="5040"/>
          </w:tcPr>
          <w:p>
            <w:r>
              <w:t>任务派发</w:t>
            </w:r>
          </w:p>
        </w:tc>
        <w:tc>
          <w:tcPr>
            <w:tcW w:type="dxa" w:w="5040"/>
          </w:tcPr>
          <w:p>
            <w:r>
              <w:t>满足空闲Runner和无资源冲突前提时，SCHEDULABLE到CLAIMED：P95≤3秒、P99≤10秒。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PDBR-2026.08.06-R4.1 · GENERATED_PROJECTION · NON_AUTHORITATIVE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