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Mad Hudson Watches</w:t>
      </w:r>
    </w:p>
    <w:p>
      <w:pPr>
        <w:spacing w:after="400"/>
      </w:pPr>
      <w:r>
        <w:rPr>
          <w:color w:val="666666"/>
          <w:sz w:val="28"/>
          <w:szCs w:val="28"/>
        </w:rPr>
        <w:t xml:space="preserve">Strategic Analysis: From Operations to Cultural Capital</w:t>
      </w:r>
    </w:p>
    <w:p>
      <w:pPr>
        <w:spacing w:after="100"/>
      </w:pPr>
      <w:r>
        <w:rPr>
          <w:color w:val="888888"/>
          <w:sz w:val="20"/>
          <w:szCs w:val="20"/>
        </w:rPr>
        <w:t xml:space="preserve">Research Protocol: /deep (diverge-converge iterative methodology)</w:t>
      </w:r>
    </w:p>
    <w:p>
      <w:pPr>
        <w:spacing w:after="400"/>
      </w:pPr>
      <w:r>
        <w:rPr>
          <w:color w:val="888888"/>
          <w:sz w:val="20"/>
          <w:szCs w:val="20"/>
        </w:rPr>
        <w:t xml:space="preserve">December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analysis began with an operational improvement framing—how can Mad Hudson reduce costs and increase margins? Through iterative diverge-converge research, a fundamentally different problem emerged:</w:t>
      </w:r>
    </w:p>
    <w:p>
      <w:pPr>
        <w:shd w:fill="f8f9fa" w:val="clear"/>
        <w:spacing w:after="300"/>
        <w:jc w:val="center"/>
      </w:pPr>
      <w:r>
        <w:rPr>
          <w:i/>
          <w:iCs/>
          <w:sz w:val="24"/>
          <w:szCs w:val="24"/>
        </w:rPr>
        <w:t xml:space="preserve">"Mad Hudson has the artist-collaboration positioning but may not be executing the storytelling, scarcity mechanics, and cultural capital accumulation that make drop-model brands succeed long-term."</w:t>
      </w:r>
    </w:p>
    <w:p>
      <w:pPr>
        <w:spacing w:after="200"/>
      </w:pPr>
      <w:r>
        <w:t xml:space="preserve">The research surfaced that the real lever isn't operational efficiency—it's building the brand machine that generates demand. Operations improvements are necessary but insufficient.</w:t>
      </w:r>
    </w:p>
    <w:p>
      <w:pPr>
        <w:pStyle w:val="Heading1"/>
      </w:pPr>
      <w:r>
        <w:t xml:space="preserve">The Pivot: What the Research Revealed</w:t>
      </w:r>
    </w:p>
    <w:p>
      <w:pPr>
        <w:pStyle w:val="Heading2"/>
      </w:pPr>
      <w:r>
        <w:t xml:space="preserve">Original vs. Discovered Framing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Original Framing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Protocol-Discovered Framing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"Operations &amp; margins"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"Cultural capital accumulation"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 reduction, upsells, email flows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Brand statement, community infrastructure, partnership depth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Treat symptoms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the machine that generates demand</w:t>
            </w:r>
          </w:p>
        </w:tc>
      </w:tr>
    </w:tbl>
    <w:p>
      <w:pPr>
        <w:pStyle w:val="Heading1"/>
      </w:pPr>
      <w:r>
        <w:t xml:space="preserve">Recommended Solution Architecture</w:t>
      </w:r>
    </w:p>
    <w:p>
      <w:pPr>
        <w:spacing w:after="200"/>
      </w:pPr>
      <w:r>
        <w:t xml:space="preserve">The research converged on a four-layer approach, with each layer building on the previous. Critically, Layer 4 (Operations) only makes sense after Layers 1-3 are in place.</w:t>
      </w:r>
    </w:p>
    <w:p>
      <w:pPr>
        <w:pStyle w:val="Heading2"/>
      </w:pPr>
      <w:r>
        <w:t xml:space="preserve">Layer 1: Brand Foundation</w:t>
      </w:r>
    </w:p>
    <w:p>
      <w:pPr>
        <w:spacing w:after="100"/>
      </w:pPr>
      <w:r>
        <w:rPr>
          <w:i/>
          <w:iCs/>
        </w:rPr>
        <w:t xml:space="preserve">Before any tactics, clarify what Mad Hudson actually 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 the brand statement: </w:t>
      </w:r>
      <w:r>
        <w:t xml:space="preserve">"Mad Hudson fulfills ___" (like Harley's "We fulfill dreams of personal freedom")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Articulate the lifestyle: </w:t>
      </w:r>
      <w:r>
        <w:t xml:space="preserve">What does a Mad Hudson collector's life look like? What does owning this watch say about someone?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Calculate the 1,000 True Fans math: </w:t>
      </w:r>
      <w:r>
        <w:t xml:space="preserve">What does the business actually need? Volume buyers or devoted collectors?</w:t>
      </w:r>
    </w:p>
    <w:p>
      <w:pPr>
        <w:pStyle w:val="Heading2"/>
      </w:pPr>
      <w:r>
        <w:t xml:space="preserve">Layer 2: Partnership Depth</w:t>
      </w:r>
    </w:p>
    <w:p>
      <w:pPr>
        <w:spacing w:after="100"/>
      </w:pPr>
      <w:r>
        <w:rPr>
          <w:i/>
          <w:iCs/>
        </w:rPr>
        <w:t xml:space="preserve">Fix the artist-collaboration model to generate real cultural capital.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Audit current relationships: </w:t>
      </w:r>
      <w:r>
        <w:t xml:space="preserve">Are they transactional (one-off) or relational (ongoing)?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Screen for the incongruity sweet spot: </w:t>
      </w:r>
      <w:r>
        <w:t xml:space="preserve">Each artist should add something unexpected but believable—too similar = no added value, too different = confusion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Require meaning: </w:t>
      </w:r>
      <w:r>
        <w:t xml:space="preserve">"This collab means ___" must be answered before production starts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Invest in depth over breadth: </w:t>
      </w:r>
      <w:r>
        <w:t xml:space="preserve">Fewer collabs, longer relationships, documented creative process</w:t>
      </w:r>
    </w:p>
    <w:p>
      <w:pPr>
        <w:pStyle w:val="Heading2"/>
      </w:pPr>
      <w:r>
        <w:t xml:space="preserve">Layer 3: Community Infrastructure</w:t>
      </w:r>
    </w:p>
    <w:p>
      <w:pPr>
        <w:spacing w:after="100"/>
      </w:pPr>
      <w:r>
        <w:rPr>
          <w:i/>
          <w:iCs/>
        </w:rPr>
        <w:t xml:space="preserve">Build heavy interaction beyond purchase.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Collector experiences: </w:t>
      </w:r>
      <w:r>
        <w:t xml:space="preserve">Events, artist studio visits, behind-the-scenes access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Drop mechanics: </w:t>
      </w:r>
      <w:r>
        <w:t xml:space="preserve">Anticipation, scarcity, "you're getting early access because..."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Waitlist community: </w:t>
      </w:r>
      <w:r>
        <w:t xml:space="preserve">Make the waitlist itself a valuable experience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User-generated content: </w:t>
      </w:r>
      <w:r>
        <w:t xml:space="preserve">Pipeline for collectors wearing/photographing their watches</w:t>
      </w:r>
    </w:p>
    <w:p>
      <w:pPr>
        <w:pStyle w:val="Heading2"/>
      </w:pPr>
      <w:r>
        <w:t xml:space="preserve">Layer 4: Operations</w:t>
      </w:r>
    </w:p>
    <w:p>
      <w:pPr>
        <w:spacing w:after="100"/>
      </w:pPr>
      <w:r>
        <w:rPr>
          <w:i/>
          <w:iCs/>
        </w:rPr>
        <w:t xml:space="preserve">Now the tactics make sense—in service of community.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Email flows: </w:t>
      </w:r>
      <w:r>
        <w:t xml:space="preserve">Abandoned cart, post-purchase, waitlist nurturing—but with community voice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High-margin accessories: </w:t>
      </w:r>
      <w:r>
        <w:t xml:space="preserve">Straps, cases that reinforce the collector lifestyle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Waitlist-to-customer conversion: </w:t>
      </w:r>
      <w:r>
        <w:t xml:space="preserve">Optimize the pipeline with drop culture mechanics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Movement sourcing: </w:t>
      </w:r>
      <w:r>
        <w:t xml:space="preserve">Optimize costs where it doesn't compromise brand promise</w:t>
      </w:r>
    </w:p>
    <w:p>
      <w:pPr>
        <w:pStyle w:val="Heading1"/>
      </w:pPr>
      <w:r>
        <w:t xml:space="preserve">Failure Modes to Avoid</w:t>
      </w:r>
    </w:p>
    <w:p>
      <w:pPr>
        <w:spacing w:after="100"/>
      </w:pPr>
      <w:r>
        <w:t xml:space="preserve">The research identified specific failure patterns in artist-collaboration brands: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Failure 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Risk for Mad Hudson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Authenticity Collapse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"If the audience doesn't believe in the collaboration as an authentic effort to 'create', it is likely to fail"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Are the artist stories deep enough? Or just "featuring local artist"?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Incongruity Miscalibration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 similar = no added value; too different = audience doesn't get 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Chicago art + watches—is the fit clear to customers?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Superficial Treatment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"One-off collaborative efforts could do more harm than good"—requires significant time, effort, budget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Investing in artist relationships or transactional partnerships?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Messaging Confusion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Louis Vuitton × Koons failed because people couldn't understand what it meant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 does Mad Hudson × [artist] mean beyond "local"?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Social Capital Mismatch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Partners seek "substantial social capital, brand awareness"—asymmetric partnerships often fail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 the artists have followings that cross-pollinate?</w:t>
            </w:r>
          </w:p>
        </w:tc>
      </w:tr>
    </w:tbl>
    <w:p>
      <w:pPr>
        <w:pStyle w:val="Heading1"/>
      </w:pPr>
      <w:r>
        <w:t xml:space="preserve">Key Insights from Methodology Research</w:t>
      </w:r>
    </w:p>
    <w:p>
      <w:pPr>
        <w:pStyle w:val="Heading2"/>
      </w:pPr>
      <w:r>
        <w:t xml:space="preserve">From Cult Brand Research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Kevin Kelly's 1,000 True Fans: </w:t>
      </w:r>
      <w:r>
        <w:t xml:space="preserve">"You don't need millions—just devoted followers who buy everything." This validates the artist-collab model if true fans are cultivated.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Harley-Davidson's brand statement: </w:t>
      </w:r>
      <w:r>
        <w:t xml:space="preserve">They defined "We fulfill dreams of personal freedom" before any tactics. Mad Hudson needs its equivalent.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Douglas Atkin's cult brand mantra: </w:t>
      </w:r>
      <w:r>
        <w:t xml:space="preserve">"With us, you become more you." The product helps customers express identity, not just tell time.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Heavy interaction beyond purchase: </w:t>
      </w:r>
      <w:r>
        <w:t xml:space="preserve">Cult brands orchestrate consistent engagement. The relationship doesn't end at sale.</w:t>
      </w:r>
    </w:p>
    <w:p>
      <w:pPr>
        <w:pStyle w:val="Heading2"/>
      </w:pPr>
      <w:r>
        <w:t xml:space="preserve">From Drop Culture Research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The collaborator's cultural capital IS the brand value: </w:t>
      </w:r>
      <w:r>
        <w:t xml:space="preserve">"The secret to Fragment's success comes from its owner"—the artist legitimizes the product.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Storytelling is non-negotiable: </w:t>
      </w:r>
      <w:r>
        <w:t xml:space="preserve">"Each collaboration often comes with a narrative"—it's not the product, it's the story.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Drops serve the core business: </w:t>
      </w:r>
      <w:r>
        <w:t xml:space="preserve">"Product drops boost sales of core products"—drops are marketing, not just revenue.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Authenticity can't be faked: </w:t>
      </w:r>
      <w:r>
        <w:t xml:space="preserve">"Simply adopting the look of streetwear is not authentic."</w:t>
      </w:r>
    </w:p>
    <w:p>
      <w:pPr>
        <w:pStyle w:val="Heading2"/>
      </w:pPr>
      <w:r>
        <w:t xml:space="preserve">From External Validation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Tiffany &amp; Co. "Lock" campaign: </w:t>
      </w:r>
      <w:r>
        <w:t xml:space="preserve">Featured local artists in six cities, each telling their own stories. Chicago is the perfect "local" anchor.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Gymshark model: </w:t>
      </w:r>
      <w:r>
        <w:t xml:space="preserve">Influencer → co-creation → athlete → ambassador pipeline. Could Mad Hudson artists become "collaborators-in-residence"?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Business of Fashion insight: </w:t>
      </w:r>
      <w:r>
        <w:t xml:space="preserve">"Collaborations no longer thrill with novelty alone—need strong products + point of view + clear strategy."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Community archetypes: </w:t>
      </w:r>
      <w:r>
        <w:t xml:space="preserve">Activity-driven, personality-driven, or values-based. Mad Hudson is values-based (Chicago art, local creative economy).</w:t>
      </w:r>
    </w:p>
    <w:p>
      <w:pPr>
        <w:pStyle w:val="Heading1"/>
      </w:pPr>
      <w:r>
        <w:t xml:space="preserve">Research Protocol Documentation</w:t>
      </w:r>
    </w:p>
    <w:p>
      <w:pPr>
        <w:spacing w:after="200"/>
      </w:pPr>
      <w:r>
        <w:t xml:space="preserve">This analysis followed the /deep iterative protocol with explicit documentation of what each pass added.</w:t>
      </w:r>
    </w:p>
    <w:p>
      <w:pPr>
        <w:pStyle w:val="Heading2"/>
      </w:pPr>
      <w:r>
        <w:t xml:space="preserve">Phase A: Diverge on Problem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Pass 1 (Initial framing): </w:t>
      </w:r>
      <w:r>
        <w:t xml:space="preserve">Baseline "operations" framing—how to reduce costs and increase margins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Pass 2 (Alternative framings): </w:t>
      </w:r>
      <w:r>
        <w:t xml:space="preserve">Searched microbrand failures. Reframed to brand durability, after-sales fragility, founder-dependency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Pass 3 (Adjacent domains): </w:t>
      </w:r>
      <w:r>
        <w:t xml:space="preserve">Searched streetwear drop culture. Surfaced cultural capital as the real lever</w:t>
      </w:r>
    </w:p>
    <w:p>
      <w:pPr>
        <w:pStyle w:val="Heading2"/>
      </w:pPr>
      <w:r>
        <w:t xml:space="preserve">Phase B: Converge on Problem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Pass 4 (Synthesis): </w:t>
      </w:r>
      <w:r>
        <w:t xml:space="preserve">Unified into problem statement pivot—from "operations" to "cultural capital accumulation"</w:t>
      </w:r>
    </w:p>
    <w:p>
      <w:pPr>
        <w:pStyle w:val="Heading2"/>
      </w:pPr>
      <w:r>
        <w:t xml:space="preserve">Phase C: Diverge on Solution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Pass 5 (Methodologies): </w:t>
      </w:r>
      <w:r>
        <w:t xml:space="preserve">Searched cult brand playbooks. Found 1,000 True Fans, brand statement, lifestyle selling patterns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Pass 6 (Failure modes): </w:t>
      </w:r>
      <w:r>
        <w:t xml:space="preserve">Searched artist collaboration failures. Identified authenticity, incongruity, superficiality risks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Pass 7 (Solution generation): </w:t>
      </w:r>
      <w:r>
        <w:t xml:space="preserve">Generated three distinct approaches: Operations-First, Cult Brand Machine, Artist Partnership Depth</w:t>
      </w:r>
    </w:p>
    <w:p>
      <w:pPr>
        <w:pStyle w:val="Heading2"/>
      </w:pPr>
      <w:r>
        <w:t xml:space="preserve">Phase D: Converge on Solution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Pass 8 (Pressure-test): </w:t>
      </w:r>
      <w:r>
        <w:t xml:space="preserve">Tested solutions against failure modes. Eliminated Operations-First as standalone; confirmed hybrid approach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Pass 9 (Validation): </w:t>
      </w:r>
      <w:r>
        <w:t xml:space="preserve">External case studies (Tiffany, Gymshark, Inkbox) validated the hybrid solution architecture</w:t>
      </w:r>
    </w:p>
    <w:p>
      <w:pPr>
        <w:pStyle w:val="Heading2"/>
      </w:pPr>
      <w:r>
        <w:t xml:space="preserve">Diminishing Returns Check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New Insight Added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Magnitude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Operations 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Brand durability, founder-dependency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</w:rPr>
              <w:t xml:space="preserve">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Storytelling, drop culture, cultural capital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</w:rPr>
              <w:t xml:space="preserve">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Problem statement pivot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</w:rPr>
              <w:t xml:space="preserve">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1,000 True Fans, brand statement, lifestyle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r>
              <w:rPr>
                <w:b/>
                <w:bCs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Authenticity, incongruity, superficiality risks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r>
              <w:rPr>
                <w:b/>
                <w:bCs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Three solution approaches + hybrid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r>
              <w:rPr>
                <w:b/>
                <w:bCs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B+C validated, A insufficient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r>
              <w:rPr>
                <w:b/>
                <w:bCs/>
              </w:rPr>
              <w:t xml:space="preserve">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External case study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r>
              <w:rPr>
                <w:b/>
                <w:bCs/>
              </w:rPr>
              <w:t xml:space="preserve">LOW</w:t>
            </w:r>
          </w:p>
        </w:tc>
      </w:tr>
    </w:tbl>
    <w:p>
      <w:pPr>
        <w:spacing w:before="200" w:after="400"/>
      </w:pPr>
      <w:r>
        <w:rPr>
          <w:b/>
          <w:bCs/>
        </w:rPr>
        <w:t xml:space="preserve">Stopping criterion met: </w:t>
      </w:r>
      <w:r>
        <w:t xml:space="preserve">Pass 9 added &lt;10% new insight. Further research would likely return overlapping patterns.</w:t>
      </w:r>
    </w:p>
    <w:p>
      <w:pPr>
        <w:pStyle w:val="Heading1"/>
      </w:pPr>
      <w:r>
        <w:t xml:space="preserve">Recommended Next Steps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Brand Foundation Workshop: </w:t>
      </w:r>
      <w:r>
        <w:t xml:space="preserve">Facilitated session to define Mad Hudson's brand statement and collector lifestyle vision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Partnership Audit: </w:t>
      </w:r>
      <w:r>
        <w:t xml:space="preserve">Review current artist relationships against incongruity/authenticity criteria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1,000 True Fans Math: </w:t>
      </w:r>
      <w:r>
        <w:t xml:space="preserve">Calculate revenue model—what does the business need from devoted collectors vs. volume?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Community Infrastructure Design: </w:t>
      </w:r>
      <w:r>
        <w:t xml:space="preserve">Map the collector journey from discovery through repeated purchase and advocacy</w:t>
      </w:r>
    </w:p>
    <w:p>
      <w:pPr>
        <w:pStyle w:val="ListParagraph"/>
        <w:numPr>
          <w:ilvl w:val="0"/>
          <w:numId w:val="8"/>
        </w:numPr>
        <w:spacing w:after="400"/>
      </w:pPr>
      <w:r>
        <w:rPr>
          <w:b/>
          <w:bCs/>
        </w:rPr>
        <w:t xml:space="preserve">Operations Layer: </w:t>
      </w:r>
      <w:r>
        <w:t xml:space="preserve">Once Layers 1-3 are defined, optimize email flows, accessories, and conversion in service of the brand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Mad Hudson Watches — Strategic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2025-12-22T03:21:19.750Z</dcterms:created>
  <dcterms:modified xsi:type="dcterms:W3CDTF">2025-12-22T03:21:19.751Z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