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pStyle w:val="Title"/>
      </w:pPr>
      <w:r>
        <w:t xml:space="preserve">MAD HUDSON WATCHES</w:t>
      </w:r>
    </w:p>
    <w:p>
      <w:pPr>
        <w:spacing w:after="100"/>
        <w:jc w:val="center"/>
      </w:pPr>
      <w:r>
        <w:rPr>
          <w:color w:val="555555"/>
          <w:sz w:val="28"/>
          <w:szCs w:val="28"/>
        </w:rPr>
        <w:t xml:space="preserve">Operations Improvement &amp; Margin Optimization</w:t>
      </w:r>
    </w:p>
    <w:p>
      <w:pPr>
        <w:spacing w:after="600"/>
        <w:jc w:val="center"/>
      </w:pPr>
      <w:r>
        <w:rPr>
          <w:color w:val="777777"/>
          <w:sz w:val="24"/>
          <w:szCs w:val="24"/>
        </w:rPr>
        <w:t xml:space="preserve">Deep Research Analysis</w:t>
      </w:r>
    </w:p>
    <w:p>
      <w:pPr>
        <w:spacing w:before="400"/>
        <w:jc w:val="center"/>
      </w:pPr>
      <w:r>
        <w:rPr>
          <w:color w:val="777777"/>
          <w:sz w:val="22"/>
          <w:szCs w:val="22"/>
        </w:rPr>
        <w:t xml:space="preserve">December 2025</w:t>
      </w:r>
    </w:p>
    <w:p>
      <w:r>
        <w:br w:type="page"/>
      </w:r>
    </w:p>
    <w:p>
      <w:pPr>
        <w:pStyle w:val="Heading1"/>
      </w:pPr>
      <w:r>
        <w:t xml:space="preserve">Executive Summary</w:t>
      </w:r>
    </w:p>
    <w:p>
      <w:pPr>
        <w:spacing w:after="200"/>
      </w:pPr>
      <w:r>
        <w:t xml:space="preserve">This analysis examines operational improvements and margin optimization opportunities for Mad Hudson Watches, a Chicago-based artist-collaboration microbrand. Based on deep research into watch manufacturing economics, microbrand operations, and e-commerce best practices, we identify high-ROI interventions across the production, retail, and marketing stack.</w:t>
      </w:r>
    </w:p>
    <w:p>
      <w:pPr>
        <w:spacing w:after="200"/>
      </w:pPr>
      <w:r>
        <w:rPr>
          <w:b/>
          <w:bCs/>
        </w:rPr>
        <w:t xml:space="preserve">Key findings: </w:t>
      </w:r>
      <w:r>
        <w:t xml:space="preserve">Mad Hudson's current $175-240 price point with Miyota quartz movements suggests manufacturing costs of $25-45 per unit at typical MOQs. This leaves significant room for margin improvement through supplier optimization, accessory upsells, and operational efficiencies.</w:t>
      </w:r>
    </w:p>
    <w:p>
      <w:pPr>
        <w:pStyle w:val="Heading1"/>
      </w:pPr>
      <w:r>
        <w:t xml:space="preserve">Part 1: Manufacturing Cost Analysis</w:t>
      </w:r>
    </w:p>
    <w:p>
      <w:pPr>
        <w:pStyle w:val="Heading2"/>
      </w:pPr>
      <w:r>
        <w:t xml:space="preserve">Movement Economics</w:t>
      </w:r>
    </w:p>
    <w:p>
      <w:pPr>
        <w:spacing w:after="150"/>
      </w:pPr>
      <w:r>
        <w:t xml:space="preserve">Based on industry research, here's the movement cost landscape for microbrands: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500"/>
        <w:gridCol w:w="2500"/>
        <w:gridCol w:w="3360"/>
      </w:tblGrid>
      <w:tr>
        <w:trPr>
          <w:tblHeader/>
        </w:trPr>
        <w:tc>
          <w:tcPr>
            <w:tcW w:type="dxa" w:w="3500"/>
            <w:tcBorders>
              <w:top w:val="single" w:color="CCCCCC" w:sz="1"/>
              <w:left w:val="single" w:color="CCCCCC" w:sz="1"/>
              <w:bottom w:val="single" w:color="CCCCCC" w:sz="1"/>
              <w:right w:val="single" w:color="CCCCCC" w:sz="1"/>
            </w:tcBorders>
            <w:shd w:fill="2c3e50" w:val="clear"/>
          </w:tcPr>
          <w:p>
            <w:r>
              <w:rPr>
                <w:b/>
                <w:bCs/>
                <w:color w:val="FFFFFF"/>
              </w:rPr>
              <w:t xml:space="preserve">Movement Type</w:t>
            </w:r>
          </w:p>
        </w:tc>
        <w:tc>
          <w:tcPr>
            <w:tcW w:type="dxa" w:w="2500"/>
            <w:tcBorders>
              <w:top w:val="single" w:color="CCCCCC" w:sz="1"/>
              <w:left w:val="single" w:color="CCCCCC" w:sz="1"/>
              <w:bottom w:val="single" w:color="CCCCCC" w:sz="1"/>
              <w:right w:val="single" w:color="CCCCCC" w:sz="1"/>
            </w:tcBorders>
            <w:shd w:fill="2c3e50" w:val="clear"/>
          </w:tcPr>
          <w:p>
            <w:r>
              <w:rPr>
                <w:b/>
                <w:bCs/>
                <w:color w:val="FFFFFF"/>
              </w:rPr>
              <w:t xml:space="preserve">Wholesale Cost</w:t>
            </w:r>
          </w:p>
        </w:tc>
        <w:tc>
          <w:tcPr>
            <w:tcW w:type="dxa" w:w="3360"/>
            <w:tcBorders>
              <w:top w:val="single" w:color="CCCCCC" w:sz="1"/>
              <w:left w:val="single" w:color="CCCCCC" w:sz="1"/>
              <w:bottom w:val="single" w:color="CCCCCC" w:sz="1"/>
              <w:right w:val="single" w:color="CCCCCC" w:sz="1"/>
            </w:tcBorders>
            <w:shd w:fill="2c3e50" w:val="clear"/>
          </w:tcPr>
          <w:p>
            <w:r>
              <w:rPr>
                <w:b/>
                <w:bCs/>
                <w:color w:val="FFFFFF"/>
              </w:rPr>
              <w:t xml:space="preserve">Notes</w:t>
            </w:r>
          </w:p>
        </w:tc>
      </w:tr>
      <w:tr>
        <w:tc>
          <w:tcPr>
            <w:tcW w:type="dxa" w:w="3500"/>
            <w:tcBorders>
              <w:top w:val="single" w:color="CCCCCC" w:sz="1"/>
              <w:left w:val="single" w:color="CCCCCC" w:sz="1"/>
              <w:bottom w:val="single" w:color="CCCCCC" w:sz="1"/>
              <w:right w:val="single" w:color="CCCCCC" w:sz="1"/>
            </w:tcBorders>
          </w:tcPr>
          <w:p>
            <w:r>
              <w:t xml:space="preserve">Miyota Quartz (2035)</w:t>
            </w:r>
          </w:p>
        </w:tc>
        <w:tc>
          <w:tcPr>
            <w:tcW w:type="dxa" w:w="2500"/>
            <w:tcBorders>
              <w:top w:val="single" w:color="CCCCCC" w:sz="1"/>
              <w:left w:val="single" w:color="CCCCCC" w:sz="1"/>
              <w:bottom w:val="single" w:color="CCCCCC" w:sz="1"/>
              <w:right w:val="single" w:color="CCCCCC" w:sz="1"/>
            </w:tcBorders>
          </w:tcPr>
          <w:p>
            <w:r>
              <w:t xml:space="preserve">$3-6</w:t>
            </w:r>
          </w:p>
        </w:tc>
        <w:tc>
          <w:tcPr>
            <w:tcW w:type="dxa" w:w="3360"/>
            <w:tcBorders>
              <w:top w:val="single" w:color="CCCCCC" w:sz="1"/>
              <w:left w:val="single" w:color="CCCCCC" w:sz="1"/>
              <w:bottom w:val="single" w:color="CCCCCC" w:sz="1"/>
              <w:right w:val="single" w:color="CCCCCC" w:sz="1"/>
            </w:tcBorders>
          </w:tcPr>
          <w:p>
            <w:r>
              <w:t xml:space="preserve">Current Mad Hudson likely</w:t>
            </w:r>
          </w:p>
        </w:tc>
      </w:tr>
      <w:tr>
        <w:tc>
          <w:tcPr>
            <w:tcW w:type="dxa" w:w="3500"/>
            <w:tcBorders>
              <w:top w:val="single" w:color="CCCCCC" w:sz="1"/>
              <w:left w:val="single" w:color="CCCCCC" w:sz="1"/>
              <w:bottom w:val="single" w:color="CCCCCC" w:sz="1"/>
              <w:right w:val="single" w:color="CCCCCC" w:sz="1"/>
            </w:tcBorders>
          </w:tcPr>
          <w:p>
            <w:r>
              <w:t xml:space="preserve">Miyota 8215 Auto</w:t>
            </w:r>
          </w:p>
        </w:tc>
        <w:tc>
          <w:tcPr>
            <w:tcW w:type="dxa" w:w="2500"/>
            <w:tcBorders>
              <w:top w:val="single" w:color="CCCCCC" w:sz="1"/>
              <w:left w:val="single" w:color="CCCCCC" w:sz="1"/>
              <w:bottom w:val="single" w:color="CCCCCC" w:sz="1"/>
              <w:right w:val="single" w:color="CCCCCC" w:sz="1"/>
            </w:tcBorders>
          </w:tcPr>
          <w:p>
            <w:r>
              <w:t xml:space="preserve">$25-40</w:t>
            </w:r>
          </w:p>
        </w:tc>
        <w:tc>
          <w:tcPr>
            <w:tcW w:type="dxa" w:w="3360"/>
            <w:tcBorders>
              <w:top w:val="single" w:color="CCCCCC" w:sz="1"/>
              <w:left w:val="single" w:color="CCCCCC" w:sz="1"/>
              <w:bottom w:val="single" w:color="CCCCCC" w:sz="1"/>
              <w:right w:val="single" w:color="CCCCCC" w:sz="1"/>
            </w:tcBorders>
          </w:tcPr>
          <w:p>
            <w:r>
              <w:t xml:space="preserve">Premium tier opportunity</w:t>
            </w:r>
          </w:p>
        </w:tc>
      </w:tr>
      <w:tr>
        <w:tc>
          <w:tcPr>
            <w:tcW w:type="dxa" w:w="3500"/>
            <w:tcBorders>
              <w:top w:val="single" w:color="CCCCCC" w:sz="1"/>
              <w:left w:val="single" w:color="CCCCCC" w:sz="1"/>
              <w:bottom w:val="single" w:color="CCCCCC" w:sz="1"/>
              <w:right w:val="single" w:color="CCCCCC" w:sz="1"/>
            </w:tcBorders>
          </w:tcPr>
          <w:p>
            <w:r>
              <w:t xml:space="preserve">Seiko NH35</w:t>
            </w:r>
          </w:p>
        </w:tc>
        <w:tc>
          <w:tcPr>
            <w:tcW w:type="dxa" w:w="2500"/>
            <w:tcBorders>
              <w:top w:val="single" w:color="CCCCCC" w:sz="1"/>
              <w:left w:val="single" w:color="CCCCCC" w:sz="1"/>
              <w:bottom w:val="single" w:color="CCCCCC" w:sz="1"/>
              <w:right w:val="single" w:color="CCCCCC" w:sz="1"/>
            </w:tcBorders>
          </w:tcPr>
          <w:p>
            <w:r>
              <w:t xml:space="preserve">$20-35</w:t>
            </w:r>
          </w:p>
        </w:tc>
        <w:tc>
          <w:tcPr>
            <w:tcW w:type="dxa" w:w="3360"/>
            <w:tcBorders>
              <w:top w:val="single" w:color="CCCCCC" w:sz="1"/>
              <w:left w:val="single" w:color="CCCCCC" w:sz="1"/>
              <w:bottom w:val="single" w:color="CCCCCC" w:sz="1"/>
              <w:right w:val="single" w:color="CCCCCC" w:sz="1"/>
            </w:tcBorders>
          </w:tcPr>
          <w:p>
            <w:r>
              <w:t xml:space="preserve">Hackable, better spec</w:t>
            </w:r>
          </w:p>
        </w:tc>
      </w:tr>
      <w:tr>
        <w:tc>
          <w:tcPr>
            <w:tcW w:type="dxa" w:w="3500"/>
            <w:tcBorders>
              <w:top w:val="single" w:color="CCCCCC" w:sz="1"/>
              <w:left w:val="single" w:color="CCCCCC" w:sz="1"/>
              <w:bottom w:val="single" w:color="CCCCCC" w:sz="1"/>
              <w:right w:val="single" w:color="CCCCCC" w:sz="1"/>
            </w:tcBorders>
          </w:tcPr>
          <w:p>
            <w:r>
              <w:t xml:space="preserve">Sellita SW200-1</w:t>
            </w:r>
          </w:p>
        </w:tc>
        <w:tc>
          <w:tcPr>
            <w:tcW w:type="dxa" w:w="2500"/>
            <w:tcBorders>
              <w:top w:val="single" w:color="CCCCCC" w:sz="1"/>
              <w:left w:val="single" w:color="CCCCCC" w:sz="1"/>
              <w:bottom w:val="single" w:color="CCCCCC" w:sz="1"/>
              <w:right w:val="single" w:color="CCCCCC" w:sz="1"/>
            </w:tcBorders>
          </w:tcPr>
          <w:p>
            <w:r>
              <w:t xml:space="preserve">$80-120</w:t>
            </w:r>
          </w:p>
        </w:tc>
        <w:tc>
          <w:tcPr>
            <w:tcW w:type="dxa" w:w="3360"/>
            <w:tcBorders>
              <w:top w:val="single" w:color="CCCCCC" w:sz="1"/>
              <w:left w:val="single" w:color="CCCCCC" w:sz="1"/>
              <w:bottom w:val="single" w:color="CCCCCC" w:sz="1"/>
              <w:right w:val="single" w:color="CCCCCC" w:sz="1"/>
            </w:tcBorders>
          </w:tcPr>
          <w:p>
            <w:r>
              <w:t xml:space="preserve">Swiss legitimacy play</w:t>
            </w:r>
          </w:p>
        </w:tc>
      </w:tr>
    </w:tbl>
    <w:p>
      <w:pPr>
        <w:pStyle w:val="Heading2"/>
        <w:spacing w:before="400"/>
      </w:pPr>
      <w:r>
        <w:t xml:space="preserve">Full Watch Cost Breakdown</w:t>
      </w:r>
    </w:p>
    <w:p>
      <w:pPr>
        <w:spacing w:after="150"/>
      </w:pPr>
      <w:r>
        <w:t xml:space="preserve">Estimated per-unit costs at 200-500 piece MOQ (based on OEM manufacturer data):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2c3e50" w:val="clear"/>
          </w:tcPr>
          <w:p>
            <w:r>
              <w:rPr>
                <w:b/>
                <w:bCs/>
                <w:color w:val="FFFFFF"/>
              </w:rPr>
              <w:t xml:space="preserve">Component</w:t>
            </w:r>
          </w:p>
        </w:tc>
        <w:tc>
          <w:tcPr>
            <w:tcW w:type="dxa" w:w="2340"/>
            <w:tcBorders>
              <w:top w:val="single" w:color="CCCCCC" w:sz="1"/>
              <w:left w:val="single" w:color="CCCCCC" w:sz="1"/>
              <w:bottom w:val="single" w:color="CCCCCC" w:sz="1"/>
              <w:right w:val="single" w:color="CCCCCC" w:sz="1"/>
            </w:tcBorders>
            <w:shd w:fill="2c3e50" w:val="clear"/>
          </w:tcPr>
          <w:p>
            <w:r>
              <w:rPr>
                <w:b/>
                <w:bCs/>
                <w:color w:val="FFFFFF"/>
              </w:rPr>
              <w:t xml:space="preserve">Current Est.</w:t>
            </w:r>
          </w:p>
        </w:tc>
        <w:tc>
          <w:tcPr>
            <w:tcW w:type="dxa" w:w="2340"/>
            <w:tcBorders>
              <w:top w:val="single" w:color="CCCCCC" w:sz="1"/>
              <w:left w:val="single" w:color="CCCCCC" w:sz="1"/>
              <w:bottom w:val="single" w:color="CCCCCC" w:sz="1"/>
              <w:right w:val="single" w:color="CCCCCC" w:sz="1"/>
            </w:tcBorders>
            <w:shd w:fill="2c3e50" w:val="clear"/>
          </w:tcPr>
          <w:p>
            <w:r>
              <w:rPr>
                <w:b/>
                <w:bCs/>
                <w:color w:val="FFFFFF"/>
              </w:rPr>
              <w:t xml:space="preserve">Optimized</w:t>
            </w:r>
          </w:p>
        </w:tc>
      </w:tr>
      <w:tr>
        <w:tc>
          <w:tcPr>
            <w:tcW w:type="dxa" w:w="4680"/>
            <w:tcBorders>
              <w:top w:val="single" w:color="CCCCCC" w:sz="1"/>
              <w:left w:val="single" w:color="CCCCCC" w:sz="1"/>
              <w:bottom w:val="single" w:color="CCCCCC" w:sz="1"/>
              <w:right w:val="single" w:color="CCCCCC" w:sz="1"/>
            </w:tcBorders>
          </w:tcPr>
          <w:p>
            <w:r>
              <w:t xml:space="preserve">316L Stainless Case (40mm)</w:t>
            </w:r>
          </w:p>
        </w:tc>
        <w:tc>
          <w:tcPr>
            <w:tcW w:type="dxa" w:w="2340"/>
            <w:tcBorders>
              <w:top w:val="single" w:color="CCCCCC" w:sz="1"/>
              <w:left w:val="single" w:color="CCCCCC" w:sz="1"/>
              <w:bottom w:val="single" w:color="CCCCCC" w:sz="1"/>
              <w:right w:val="single" w:color="CCCCCC" w:sz="1"/>
            </w:tcBorders>
          </w:tcPr>
          <w:p>
            <w:r>
              <w:t xml:space="preserve">$8-12</w:t>
            </w:r>
          </w:p>
        </w:tc>
        <w:tc>
          <w:tcPr>
            <w:tcW w:type="dxa" w:w="2340"/>
            <w:tcBorders>
              <w:top w:val="single" w:color="CCCCCC" w:sz="1"/>
              <w:left w:val="single" w:color="CCCCCC" w:sz="1"/>
              <w:bottom w:val="single" w:color="CCCCCC" w:sz="1"/>
              <w:right w:val="single" w:color="CCCCCC" w:sz="1"/>
            </w:tcBorders>
          </w:tcPr>
          <w:p>
            <w:r>
              <w:t xml:space="preserve">$6-9</w:t>
            </w:r>
          </w:p>
        </w:tc>
      </w:tr>
      <w:tr>
        <w:tc>
          <w:tcPr>
            <w:tcW w:type="dxa" w:w="4680"/>
            <w:tcBorders>
              <w:top w:val="single" w:color="CCCCCC" w:sz="1"/>
              <w:left w:val="single" w:color="CCCCCC" w:sz="1"/>
              <w:bottom w:val="single" w:color="CCCCCC" w:sz="1"/>
              <w:right w:val="single" w:color="CCCCCC" w:sz="1"/>
            </w:tcBorders>
          </w:tcPr>
          <w:p>
            <w:r>
              <w:t xml:space="preserve">Custom Printed Dial</w:t>
            </w:r>
          </w:p>
        </w:tc>
        <w:tc>
          <w:tcPr>
            <w:tcW w:type="dxa" w:w="2340"/>
            <w:tcBorders>
              <w:top w:val="single" w:color="CCCCCC" w:sz="1"/>
              <w:left w:val="single" w:color="CCCCCC" w:sz="1"/>
              <w:bottom w:val="single" w:color="CCCCCC" w:sz="1"/>
              <w:right w:val="single" w:color="CCCCCC" w:sz="1"/>
            </w:tcBorders>
          </w:tcPr>
          <w:p>
            <w:r>
              <w:t xml:space="preserve">$4-8</w:t>
            </w:r>
          </w:p>
        </w:tc>
        <w:tc>
          <w:tcPr>
            <w:tcW w:type="dxa" w:w="2340"/>
            <w:tcBorders>
              <w:top w:val="single" w:color="CCCCCC" w:sz="1"/>
              <w:left w:val="single" w:color="CCCCCC" w:sz="1"/>
              <w:bottom w:val="single" w:color="CCCCCC" w:sz="1"/>
              <w:right w:val="single" w:color="CCCCCC" w:sz="1"/>
            </w:tcBorders>
          </w:tcPr>
          <w:p>
            <w:r>
              <w:t xml:space="preserve">$3-5</w:t>
            </w:r>
          </w:p>
        </w:tc>
      </w:tr>
      <w:tr>
        <w:tc>
          <w:tcPr>
            <w:tcW w:type="dxa" w:w="4680"/>
            <w:tcBorders>
              <w:top w:val="single" w:color="CCCCCC" w:sz="1"/>
              <w:left w:val="single" w:color="CCCCCC" w:sz="1"/>
              <w:bottom w:val="single" w:color="CCCCCC" w:sz="1"/>
              <w:right w:val="single" w:color="CCCCCC" w:sz="1"/>
            </w:tcBorders>
          </w:tcPr>
          <w:p>
            <w:r>
              <w:t xml:space="preserve">Mineral Crystal</w:t>
            </w:r>
          </w:p>
        </w:tc>
        <w:tc>
          <w:tcPr>
            <w:tcW w:type="dxa" w:w="2340"/>
            <w:tcBorders>
              <w:top w:val="single" w:color="CCCCCC" w:sz="1"/>
              <w:left w:val="single" w:color="CCCCCC" w:sz="1"/>
              <w:bottom w:val="single" w:color="CCCCCC" w:sz="1"/>
              <w:right w:val="single" w:color="CCCCCC" w:sz="1"/>
            </w:tcBorders>
          </w:tcPr>
          <w:p>
            <w:r>
              <w:t xml:space="preserve">$1-2</w:t>
            </w:r>
          </w:p>
        </w:tc>
        <w:tc>
          <w:tcPr>
            <w:tcW w:type="dxa" w:w="2340"/>
            <w:tcBorders>
              <w:top w:val="single" w:color="CCCCCC" w:sz="1"/>
              <w:left w:val="single" w:color="CCCCCC" w:sz="1"/>
              <w:bottom w:val="single" w:color="CCCCCC" w:sz="1"/>
              <w:right w:val="single" w:color="CCCCCC" w:sz="1"/>
            </w:tcBorders>
          </w:tcPr>
          <w:p>
            <w:r>
              <w:t xml:space="preserve">$1-2</w:t>
            </w:r>
          </w:p>
        </w:tc>
      </w:tr>
      <w:tr>
        <w:tc>
          <w:tcPr>
            <w:tcW w:type="dxa" w:w="4680"/>
            <w:tcBorders>
              <w:top w:val="single" w:color="CCCCCC" w:sz="1"/>
              <w:left w:val="single" w:color="CCCCCC" w:sz="1"/>
              <w:bottom w:val="single" w:color="CCCCCC" w:sz="1"/>
              <w:right w:val="single" w:color="CCCCCC" w:sz="1"/>
            </w:tcBorders>
          </w:tcPr>
          <w:p>
            <w:r>
              <w:t xml:space="preserve">Quartz Movement</w:t>
            </w:r>
          </w:p>
        </w:tc>
        <w:tc>
          <w:tcPr>
            <w:tcW w:type="dxa" w:w="2340"/>
            <w:tcBorders>
              <w:top w:val="single" w:color="CCCCCC" w:sz="1"/>
              <w:left w:val="single" w:color="CCCCCC" w:sz="1"/>
              <w:bottom w:val="single" w:color="CCCCCC" w:sz="1"/>
              <w:right w:val="single" w:color="CCCCCC" w:sz="1"/>
            </w:tcBorders>
          </w:tcPr>
          <w:p>
            <w:r>
              <w:t xml:space="preserve">$4-6</w:t>
            </w:r>
          </w:p>
        </w:tc>
        <w:tc>
          <w:tcPr>
            <w:tcW w:type="dxa" w:w="2340"/>
            <w:tcBorders>
              <w:top w:val="single" w:color="CCCCCC" w:sz="1"/>
              <w:left w:val="single" w:color="CCCCCC" w:sz="1"/>
              <w:bottom w:val="single" w:color="CCCCCC" w:sz="1"/>
              <w:right w:val="single" w:color="CCCCCC" w:sz="1"/>
            </w:tcBorders>
          </w:tcPr>
          <w:p>
            <w:r>
              <w:t xml:space="preserve">$3-5</w:t>
            </w:r>
          </w:p>
        </w:tc>
      </w:tr>
      <w:tr>
        <w:tc>
          <w:tcPr>
            <w:tcW w:type="dxa" w:w="4680"/>
            <w:tcBorders>
              <w:top w:val="single" w:color="CCCCCC" w:sz="1"/>
              <w:left w:val="single" w:color="CCCCCC" w:sz="1"/>
              <w:bottom w:val="single" w:color="CCCCCC" w:sz="1"/>
              <w:right w:val="single" w:color="CCCCCC" w:sz="1"/>
            </w:tcBorders>
          </w:tcPr>
          <w:p>
            <w:r>
              <w:t xml:space="preserve">Leather Strap (20mm)</w:t>
            </w:r>
          </w:p>
        </w:tc>
        <w:tc>
          <w:tcPr>
            <w:tcW w:type="dxa" w:w="2340"/>
            <w:tcBorders>
              <w:top w:val="single" w:color="CCCCCC" w:sz="1"/>
              <w:left w:val="single" w:color="CCCCCC" w:sz="1"/>
              <w:bottom w:val="single" w:color="CCCCCC" w:sz="1"/>
              <w:right w:val="single" w:color="CCCCCC" w:sz="1"/>
            </w:tcBorders>
          </w:tcPr>
          <w:p>
            <w:r>
              <w:t xml:space="preserve">$3-6</w:t>
            </w:r>
          </w:p>
        </w:tc>
        <w:tc>
          <w:tcPr>
            <w:tcW w:type="dxa" w:w="2340"/>
            <w:tcBorders>
              <w:top w:val="single" w:color="CCCCCC" w:sz="1"/>
              <w:left w:val="single" w:color="CCCCCC" w:sz="1"/>
              <w:bottom w:val="single" w:color="CCCCCC" w:sz="1"/>
              <w:right w:val="single" w:color="CCCCCC" w:sz="1"/>
            </w:tcBorders>
          </w:tcPr>
          <w:p>
            <w:r>
              <w:t xml:space="preserve">$2-4</w:t>
            </w:r>
          </w:p>
        </w:tc>
      </w:tr>
      <w:tr>
        <w:tc>
          <w:tcPr>
            <w:tcW w:type="dxa" w:w="4680"/>
            <w:tcBorders>
              <w:top w:val="single" w:color="CCCCCC" w:sz="1"/>
              <w:left w:val="single" w:color="CCCCCC" w:sz="1"/>
              <w:bottom w:val="single" w:color="CCCCCC" w:sz="1"/>
              <w:right w:val="single" w:color="CCCCCC" w:sz="1"/>
            </w:tcBorders>
          </w:tcPr>
          <w:p>
            <w:r>
              <w:t xml:space="preserve">Assembly &amp; QC</w:t>
            </w:r>
          </w:p>
        </w:tc>
        <w:tc>
          <w:tcPr>
            <w:tcW w:type="dxa" w:w="2340"/>
            <w:tcBorders>
              <w:top w:val="single" w:color="CCCCCC" w:sz="1"/>
              <w:left w:val="single" w:color="CCCCCC" w:sz="1"/>
              <w:bottom w:val="single" w:color="CCCCCC" w:sz="1"/>
              <w:right w:val="single" w:color="CCCCCC" w:sz="1"/>
            </w:tcBorders>
          </w:tcPr>
          <w:p>
            <w:r>
              <w:t xml:space="preserve">$3-5</w:t>
            </w:r>
          </w:p>
        </w:tc>
        <w:tc>
          <w:tcPr>
            <w:tcW w:type="dxa" w:w="2340"/>
            <w:tcBorders>
              <w:top w:val="single" w:color="CCCCCC" w:sz="1"/>
              <w:left w:val="single" w:color="CCCCCC" w:sz="1"/>
              <w:bottom w:val="single" w:color="CCCCCC" w:sz="1"/>
              <w:right w:val="single" w:color="CCCCCC" w:sz="1"/>
            </w:tcBorders>
          </w:tcPr>
          <w:p>
            <w:r>
              <w:t xml:space="preserve">$2-4</w:t>
            </w:r>
          </w:p>
        </w:tc>
      </w:tr>
      <w:tr>
        <w:tc>
          <w:tcPr>
            <w:tcW w:type="dxa" w:w="4680"/>
            <w:tcBorders>
              <w:top w:val="single" w:color="CCCCCC" w:sz="1"/>
              <w:left w:val="single" w:color="CCCCCC" w:sz="1"/>
              <w:bottom w:val="single" w:color="CCCCCC" w:sz="1"/>
              <w:right w:val="single" w:color="CCCCCC" w:sz="1"/>
            </w:tcBorders>
            <w:shd w:fill="f0f0f0" w:val="clear"/>
          </w:tcPr>
          <w:p>
            <w:r>
              <w:rPr>
                <w:b/>
                <w:bCs/>
              </w:rPr>
              <w:t xml:space="preserve">TOTAL (Quartz)</w:t>
            </w:r>
          </w:p>
        </w:tc>
        <w:tc>
          <w:tcPr>
            <w:tcW w:type="dxa" w:w="2340"/>
            <w:tcBorders>
              <w:top w:val="single" w:color="CCCCCC" w:sz="1"/>
              <w:left w:val="single" w:color="CCCCCC" w:sz="1"/>
              <w:bottom w:val="single" w:color="CCCCCC" w:sz="1"/>
              <w:right w:val="single" w:color="CCCCCC" w:sz="1"/>
            </w:tcBorders>
            <w:shd w:fill="f0f0f0" w:val="clear"/>
          </w:tcPr>
          <w:p>
            <w:r>
              <w:rPr>
                <w:b/>
                <w:bCs/>
              </w:rPr>
              <w:t xml:space="preserve">$23-39</w:t>
            </w:r>
          </w:p>
        </w:tc>
        <w:tc>
          <w:tcPr>
            <w:tcW w:type="dxa" w:w="2340"/>
            <w:tcBorders>
              <w:top w:val="single" w:color="CCCCCC" w:sz="1"/>
              <w:left w:val="single" w:color="CCCCCC" w:sz="1"/>
              <w:bottom w:val="single" w:color="CCCCCC" w:sz="1"/>
              <w:right w:val="single" w:color="CCCCCC" w:sz="1"/>
            </w:tcBorders>
            <w:shd w:fill="f0f0f0" w:val="clear"/>
          </w:tcPr>
          <w:p>
            <w:r>
              <w:rPr>
                <w:b/>
                <w:bCs/>
              </w:rPr>
              <w:t xml:space="preserve">$17-29</w:t>
            </w:r>
          </w:p>
        </w:tc>
      </w:tr>
    </w:tbl>
    <w:p>
      <w:pPr>
        <w:spacing w:before="300" w:after="200"/>
      </w:pPr>
      <w:r>
        <w:rPr>
          <w:b/>
          <w:bCs/>
        </w:rPr>
        <w:t xml:space="preserve">Margin implication: </w:t>
      </w:r>
      <w:r>
        <w:t xml:space="preserve">At $199 retail with ~$30 COGS, gross margin is approximately 85%. Industry standard for DTC microbrands is 40-50%. This suggests room to either (a) reinvest in quality upgrades, (b) increase marketing spend, or (c) offer strategic promotions without margin compression.</w:t>
      </w:r>
    </w:p>
    <w:p>
      <w:r>
        <w:br w:type="page"/>
      </w:r>
    </w:p>
    <w:p>
      <w:pPr>
        <w:pStyle w:val="Heading1"/>
      </w:pPr>
      <w:r>
        <w:t xml:space="preserve">Part 2: Margin Optimization Opportunities</w:t>
      </w:r>
    </w:p>
    <w:p>
      <w:pPr>
        <w:pStyle w:val="Heading2"/>
      </w:pPr>
      <w:r>
        <w:t xml:space="preserve">High-Margin Add-Ons</w:t>
      </w:r>
    </w:p>
    <w:p>
      <w:pPr>
        <w:spacing w:after="100"/>
      </w:pPr>
      <w:r>
        <w:t xml:space="preserve">Accessories represent the highest-margin opportunity for microbrands. Wholesale costs vs. typical retail:</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120"/>
        <w:gridCol w:w="2080"/>
        <w:gridCol w:w="2080"/>
        <w:gridCol w:w="2080"/>
      </w:tblGrid>
      <w:tr>
        <w:trPr>
          <w:tblHeader/>
        </w:trPr>
        <w:tc>
          <w:tcPr>
            <w:tcW w:type="dxa" w:w="3120"/>
            <w:tcBorders>
              <w:top w:val="single" w:color="CCCCCC" w:sz="1"/>
              <w:left w:val="single" w:color="CCCCCC" w:sz="1"/>
              <w:bottom w:val="single" w:color="CCCCCC" w:sz="1"/>
              <w:right w:val="single" w:color="CCCCCC" w:sz="1"/>
            </w:tcBorders>
            <w:shd w:fill="2c3e50" w:val="clear"/>
          </w:tcPr>
          <w:p>
            <w:r>
              <w:rPr>
                <w:b/>
                <w:bCs/>
                <w:color w:val="FFFFFF"/>
              </w:rPr>
              <w:t xml:space="preserve">Item</w:t>
            </w:r>
          </w:p>
        </w:tc>
        <w:tc>
          <w:tcPr>
            <w:tcW w:type="dxa" w:w="2080"/>
            <w:tcBorders>
              <w:top w:val="single" w:color="CCCCCC" w:sz="1"/>
              <w:left w:val="single" w:color="CCCCCC" w:sz="1"/>
              <w:bottom w:val="single" w:color="CCCCCC" w:sz="1"/>
              <w:right w:val="single" w:color="CCCCCC" w:sz="1"/>
            </w:tcBorders>
            <w:shd w:fill="2c3e50" w:val="clear"/>
          </w:tcPr>
          <w:p>
            <w:r>
              <w:rPr>
                <w:b/>
                <w:bCs/>
                <w:color w:val="FFFFFF"/>
              </w:rPr>
              <w:t xml:space="preserve">Wholesale</w:t>
            </w:r>
          </w:p>
        </w:tc>
        <w:tc>
          <w:tcPr>
            <w:tcW w:type="dxa" w:w="2080"/>
            <w:tcBorders>
              <w:top w:val="single" w:color="CCCCCC" w:sz="1"/>
              <w:left w:val="single" w:color="CCCCCC" w:sz="1"/>
              <w:bottom w:val="single" w:color="CCCCCC" w:sz="1"/>
              <w:right w:val="single" w:color="CCCCCC" w:sz="1"/>
            </w:tcBorders>
            <w:shd w:fill="2c3e50" w:val="clear"/>
          </w:tcPr>
          <w:p>
            <w:r>
              <w:rPr>
                <w:b/>
                <w:bCs/>
                <w:color w:val="FFFFFF"/>
              </w:rPr>
              <w:t xml:space="preserve">Retail</w:t>
            </w:r>
          </w:p>
        </w:tc>
        <w:tc>
          <w:tcPr>
            <w:tcW w:type="dxa" w:w="2080"/>
            <w:tcBorders>
              <w:top w:val="single" w:color="CCCCCC" w:sz="1"/>
              <w:left w:val="single" w:color="CCCCCC" w:sz="1"/>
              <w:bottom w:val="single" w:color="CCCCCC" w:sz="1"/>
              <w:right w:val="single" w:color="CCCCCC" w:sz="1"/>
            </w:tcBorders>
            <w:shd w:fill="2c3e50" w:val="clear"/>
          </w:tcPr>
          <w:p>
            <w:r>
              <w:rPr>
                <w:b/>
                <w:bCs/>
                <w:color w:val="FFFFFF"/>
              </w:rPr>
              <w:t xml:space="preserve">Margin</w:t>
            </w:r>
          </w:p>
        </w:tc>
      </w:tr>
      <w:tr>
        <w:tc>
          <w:tcPr>
            <w:tcW w:type="dxa" w:w="3120"/>
            <w:tcBorders>
              <w:top w:val="single" w:color="CCCCCC" w:sz="1"/>
              <w:left w:val="single" w:color="CCCCCC" w:sz="1"/>
              <w:bottom w:val="single" w:color="CCCCCC" w:sz="1"/>
              <w:right w:val="single" w:color="CCCCCC" w:sz="1"/>
            </w:tcBorders>
          </w:tcPr>
          <w:p>
            <w:r>
              <w:t xml:space="preserve">NATO Nylon Strap</w:t>
            </w:r>
          </w:p>
        </w:tc>
        <w:tc>
          <w:tcPr>
            <w:tcW w:type="dxa" w:w="2080"/>
            <w:tcBorders>
              <w:top w:val="single" w:color="CCCCCC" w:sz="1"/>
              <w:left w:val="single" w:color="CCCCCC" w:sz="1"/>
              <w:bottom w:val="single" w:color="CCCCCC" w:sz="1"/>
              <w:right w:val="single" w:color="CCCCCC" w:sz="1"/>
            </w:tcBorders>
          </w:tcPr>
          <w:p>
            <w:r>
              <w:t xml:space="preserve">$2-4</w:t>
            </w:r>
          </w:p>
        </w:tc>
        <w:tc>
          <w:tcPr>
            <w:tcW w:type="dxa" w:w="2080"/>
            <w:tcBorders>
              <w:top w:val="single" w:color="CCCCCC" w:sz="1"/>
              <w:left w:val="single" w:color="CCCCCC" w:sz="1"/>
              <w:bottom w:val="single" w:color="CCCCCC" w:sz="1"/>
              <w:right w:val="single" w:color="CCCCCC" w:sz="1"/>
            </w:tcBorders>
          </w:tcPr>
          <w:p>
            <w:r>
              <w:t xml:space="preserve">$25-35</w:t>
            </w:r>
          </w:p>
        </w:tc>
        <w:tc>
          <w:tcPr>
            <w:tcW w:type="dxa" w:w="2080"/>
            <w:tcBorders>
              <w:top w:val="single" w:color="CCCCCC" w:sz="1"/>
              <w:left w:val="single" w:color="CCCCCC" w:sz="1"/>
              <w:bottom w:val="single" w:color="CCCCCC" w:sz="1"/>
              <w:right w:val="single" w:color="CCCCCC" w:sz="1"/>
            </w:tcBorders>
          </w:tcPr>
          <w:p>
            <w:r>
              <w:rPr>
                <w:b/>
                <w:bCs/>
              </w:rPr>
              <w:t xml:space="preserve">88-92%</w:t>
            </w:r>
          </w:p>
        </w:tc>
      </w:tr>
      <w:tr>
        <w:tc>
          <w:tcPr>
            <w:tcW w:type="dxa" w:w="3120"/>
            <w:tcBorders>
              <w:top w:val="single" w:color="CCCCCC" w:sz="1"/>
              <w:left w:val="single" w:color="CCCCCC" w:sz="1"/>
              <w:bottom w:val="single" w:color="CCCCCC" w:sz="1"/>
              <w:right w:val="single" w:color="CCCCCC" w:sz="1"/>
            </w:tcBorders>
          </w:tcPr>
          <w:p>
            <w:r>
              <w:t xml:space="preserve">Leather Quick-Release</w:t>
            </w:r>
          </w:p>
        </w:tc>
        <w:tc>
          <w:tcPr>
            <w:tcW w:type="dxa" w:w="2080"/>
            <w:tcBorders>
              <w:top w:val="single" w:color="CCCCCC" w:sz="1"/>
              <w:left w:val="single" w:color="CCCCCC" w:sz="1"/>
              <w:bottom w:val="single" w:color="CCCCCC" w:sz="1"/>
              <w:right w:val="single" w:color="CCCCCC" w:sz="1"/>
            </w:tcBorders>
          </w:tcPr>
          <w:p>
            <w:r>
              <w:t xml:space="preserve">$4-8</w:t>
            </w:r>
          </w:p>
        </w:tc>
        <w:tc>
          <w:tcPr>
            <w:tcW w:type="dxa" w:w="2080"/>
            <w:tcBorders>
              <w:top w:val="single" w:color="CCCCCC" w:sz="1"/>
              <w:left w:val="single" w:color="CCCCCC" w:sz="1"/>
              <w:bottom w:val="single" w:color="CCCCCC" w:sz="1"/>
              <w:right w:val="single" w:color="CCCCCC" w:sz="1"/>
            </w:tcBorders>
          </w:tcPr>
          <w:p>
            <w:r>
              <w:t xml:space="preserve">$35-55</w:t>
            </w:r>
          </w:p>
        </w:tc>
        <w:tc>
          <w:tcPr>
            <w:tcW w:type="dxa" w:w="2080"/>
            <w:tcBorders>
              <w:top w:val="single" w:color="CCCCCC" w:sz="1"/>
              <w:left w:val="single" w:color="CCCCCC" w:sz="1"/>
              <w:bottom w:val="single" w:color="CCCCCC" w:sz="1"/>
              <w:right w:val="single" w:color="CCCCCC" w:sz="1"/>
            </w:tcBorders>
          </w:tcPr>
          <w:p>
            <w:r>
              <w:rPr>
                <w:b/>
                <w:bCs/>
              </w:rPr>
              <w:t xml:space="preserve">85-88%</w:t>
            </w:r>
          </w:p>
        </w:tc>
      </w:tr>
      <w:tr>
        <w:tc>
          <w:tcPr>
            <w:tcW w:type="dxa" w:w="3120"/>
            <w:tcBorders>
              <w:top w:val="single" w:color="CCCCCC" w:sz="1"/>
              <w:left w:val="single" w:color="CCCCCC" w:sz="1"/>
              <w:bottom w:val="single" w:color="CCCCCC" w:sz="1"/>
              <w:right w:val="single" w:color="CCCCCC" w:sz="1"/>
            </w:tcBorders>
          </w:tcPr>
          <w:p>
            <w:r>
              <w:t xml:space="preserve">Branded Watch Roll</w:t>
            </w:r>
          </w:p>
        </w:tc>
        <w:tc>
          <w:tcPr>
            <w:tcW w:type="dxa" w:w="2080"/>
            <w:tcBorders>
              <w:top w:val="single" w:color="CCCCCC" w:sz="1"/>
              <w:left w:val="single" w:color="CCCCCC" w:sz="1"/>
              <w:bottom w:val="single" w:color="CCCCCC" w:sz="1"/>
              <w:right w:val="single" w:color="CCCCCC" w:sz="1"/>
            </w:tcBorders>
          </w:tcPr>
          <w:p>
            <w:r>
              <w:t xml:space="preserve">$8-15</w:t>
            </w:r>
          </w:p>
        </w:tc>
        <w:tc>
          <w:tcPr>
            <w:tcW w:type="dxa" w:w="2080"/>
            <w:tcBorders>
              <w:top w:val="single" w:color="CCCCCC" w:sz="1"/>
              <w:left w:val="single" w:color="CCCCCC" w:sz="1"/>
              <w:bottom w:val="single" w:color="CCCCCC" w:sz="1"/>
              <w:right w:val="single" w:color="CCCCCC" w:sz="1"/>
            </w:tcBorders>
          </w:tcPr>
          <w:p>
            <w:r>
              <w:t xml:space="preserve">$45-75</w:t>
            </w:r>
          </w:p>
        </w:tc>
        <w:tc>
          <w:tcPr>
            <w:tcW w:type="dxa" w:w="2080"/>
            <w:tcBorders>
              <w:top w:val="single" w:color="CCCCCC" w:sz="1"/>
              <w:left w:val="single" w:color="CCCCCC" w:sz="1"/>
              <w:bottom w:val="single" w:color="CCCCCC" w:sz="1"/>
              <w:right w:val="single" w:color="CCCCCC" w:sz="1"/>
            </w:tcBorders>
          </w:tcPr>
          <w:p>
            <w:r>
              <w:rPr>
                <w:b/>
                <w:bCs/>
              </w:rPr>
              <w:t xml:space="preserve">80-82%</w:t>
            </w:r>
          </w:p>
        </w:tc>
      </w:tr>
      <w:tr>
        <w:tc>
          <w:tcPr>
            <w:tcW w:type="dxa" w:w="3120"/>
            <w:tcBorders>
              <w:top w:val="single" w:color="CCCCCC" w:sz="1"/>
              <w:left w:val="single" w:color="CCCCCC" w:sz="1"/>
              <w:bottom w:val="single" w:color="CCCCCC" w:sz="1"/>
              <w:right w:val="single" w:color="CCCCCC" w:sz="1"/>
            </w:tcBorders>
          </w:tcPr>
          <w:p>
            <w:r>
              <w:t xml:space="preserve">Watch Box (Branded)</w:t>
            </w:r>
          </w:p>
        </w:tc>
        <w:tc>
          <w:tcPr>
            <w:tcW w:type="dxa" w:w="2080"/>
            <w:tcBorders>
              <w:top w:val="single" w:color="CCCCCC" w:sz="1"/>
              <w:left w:val="single" w:color="CCCCCC" w:sz="1"/>
              <w:bottom w:val="single" w:color="CCCCCC" w:sz="1"/>
              <w:right w:val="single" w:color="CCCCCC" w:sz="1"/>
            </w:tcBorders>
          </w:tcPr>
          <w:p>
            <w:r>
              <w:t xml:space="preserve">$3-6</w:t>
            </w:r>
          </w:p>
        </w:tc>
        <w:tc>
          <w:tcPr>
            <w:tcW w:type="dxa" w:w="2080"/>
            <w:tcBorders>
              <w:top w:val="single" w:color="CCCCCC" w:sz="1"/>
              <w:left w:val="single" w:color="CCCCCC" w:sz="1"/>
              <w:bottom w:val="single" w:color="CCCCCC" w:sz="1"/>
              <w:right w:val="single" w:color="CCCCCC" w:sz="1"/>
            </w:tcBorders>
          </w:tcPr>
          <w:p>
            <w:r>
              <w:t xml:space="preserve">$25-40</w:t>
            </w:r>
          </w:p>
        </w:tc>
        <w:tc>
          <w:tcPr>
            <w:tcW w:type="dxa" w:w="2080"/>
            <w:tcBorders>
              <w:top w:val="single" w:color="CCCCCC" w:sz="1"/>
              <w:left w:val="single" w:color="CCCCCC" w:sz="1"/>
              <w:bottom w:val="single" w:color="CCCCCC" w:sz="1"/>
              <w:right w:val="single" w:color="CCCCCC" w:sz="1"/>
            </w:tcBorders>
          </w:tcPr>
          <w:p>
            <w:r>
              <w:rPr>
                <w:b/>
                <w:bCs/>
              </w:rPr>
              <w:t xml:space="preserve">85-88%</w:t>
            </w:r>
          </w:p>
        </w:tc>
      </w:tr>
      <w:tr>
        <w:tc>
          <w:tcPr>
            <w:tcW w:type="dxa" w:w="3120"/>
            <w:tcBorders>
              <w:top w:val="single" w:color="CCCCCC" w:sz="1"/>
              <w:left w:val="single" w:color="CCCCCC" w:sz="1"/>
              <w:bottom w:val="single" w:color="CCCCCC" w:sz="1"/>
              <w:right w:val="single" w:color="CCCCCC" w:sz="1"/>
            </w:tcBorders>
          </w:tcPr>
          <w:p>
            <w:r>
              <w:t xml:space="preserve">Artist Print (Signed)</w:t>
            </w:r>
          </w:p>
        </w:tc>
        <w:tc>
          <w:tcPr>
            <w:tcW w:type="dxa" w:w="2080"/>
            <w:tcBorders>
              <w:top w:val="single" w:color="CCCCCC" w:sz="1"/>
              <w:left w:val="single" w:color="CCCCCC" w:sz="1"/>
              <w:bottom w:val="single" w:color="CCCCCC" w:sz="1"/>
              <w:right w:val="single" w:color="CCCCCC" w:sz="1"/>
            </w:tcBorders>
          </w:tcPr>
          <w:p>
            <w:r>
              <w:t xml:space="preserve">$5-10</w:t>
            </w:r>
          </w:p>
        </w:tc>
        <w:tc>
          <w:tcPr>
            <w:tcW w:type="dxa" w:w="2080"/>
            <w:tcBorders>
              <w:top w:val="single" w:color="CCCCCC" w:sz="1"/>
              <w:left w:val="single" w:color="CCCCCC" w:sz="1"/>
              <w:bottom w:val="single" w:color="CCCCCC" w:sz="1"/>
              <w:right w:val="single" w:color="CCCCCC" w:sz="1"/>
            </w:tcBorders>
          </w:tcPr>
          <w:p>
            <w:r>
              <w:t xml:space="preserve">$35-65</w:t>
            </w:r>
          </w:p>
        </w:tc>
        <w:tc>
          <w:tcPr>
            <w:tcW w:type="dxa" w:w="2080"/>
            <w:tcBorders>
              <w:top w:val="single" w:color="CCCCCC" w:sz="1"/>
              <w:left w:val="single" w:color="CCCCCC" w:sz="1"/>
              <w:bottom w:val="single" w:color="CCCCCC" w:sz="1"/>
              <w:right w:val="single" w:color="CCCCCC" w:sz="1"/>
            </w:tcBorders>
          </w:tcPr>
          <w:p>
            <w:r>
              <w:rPr>
                <w:b/>
                <w:bCs/>
              </w:rPr>
              <w:t xml:space="preserve">85-90%</w:t>
            </w:r>
          </w:p>
        </w:tc>
      </w:tr>
    </w:tbl>
    <w:p>
      <w:pPr>
        <w:pStyle w:val="Heading2"/>
        <w:spacing w:before="400"/>
      </w:pPr>
      <w:r>
        <w:t xml:space="preserve">Bundle Strategy Recommendations</w:t>
      </w:r>
    </w:p>
    <w:p>
      <w:pPr>
        <w:pStyle w:val="ListParagraph"/>
        <w:numPr>
          <w:ilvl w:val="0"/>
          <w:numId w:val="2"/>
        </w:numPr>
      </w:pPr>
      <w:r>
        <w:rPr>
          <w:b/>
          <w:bCs/>
        </w:rPr>
        <w:t xml:space="preserve">Artist Edition Bundle ($249): </w:t>
      </w:r>
      <w:r>
        <w:t xml:space="preserve">Watch + Artist-matched strap + Signed print. Est. COGS $40-50. Margin: 80%+</w:t>
      </w:r>
    </w:p>
    <w:p>
      <w:pPr>
        <w:pStyle w:val="ListParagraph"/>
        <w:numPr>
          <w:ilvl w:val="0"/>
          <w:numId w:val="2"/>
        </w:numPr>
      </w:pPr>
      <w:r>
        <w:rPr>
          <w:b/>
          <w:bCs/>
        </w:rPr>
        <w:t xml:space="preserve">Collector's Set ($299): </w:t>
      </w:r>
      <w:r>
        <w:t xml:space="preserve">Watch + Watch roll + 2 straps + Box. Est. COGS $45-55. Margin: 82%+</w:t>
      </w:r>
    </w:p>
    <w:p>
      <w:pPr>
        <w:pStyle w:val="ListParagraph"/>
        <w:numPr>
          <w:ilvl w:val="0"/>
          <w:numId w:val="2"/>
        </w:numPr>
      </w:pPr>
      <w:r>
        <w:rPr>
          <w:b/>
          <w:bCs/>
        </w:rPr>
        <w:t xml:space="preserve">Drop Access Bundle: </w:t>
      </w:r>
      <w:r>
        <w:t xml:space="preserve">Free strap with pre-order (cost $3, perceived value $30). Drives email capture and urgency.</w:t>
      </w:r>
    </w:p>
    <w:p>
      <w:pPr>
        <w:pStyle w:val="Heading2"/>
        <w:spacing w:before="400"/>
      </w:pPr>
      <w:r>
        <w:t xml:space="preserve">Price Tier Expansion</w:t>
      </w:r>
    </w:p>
    <w:p>
      <w:pPr>
        <w:spacing w:after="150"/>
      </w:pPr>
      <w:r>
        <w:t xml:space="preserve">Current: $175-240 quartz. Opportunity to create price architecture:</w:t>
      </w:r>
    </w:p>
    <w:p>
      <w:pPr>
        <w:pStyle w:val="ListParagraph"/>
        <w:numPr>
          <w:ilvl w:val="0"/>
          <w:numId w:val="3"/>
        </w:numPr>
      </w:pPr>
      <w:r>
        <w:rPr>
          <w:b/>
          <w:bCs/>
        </w:rPr>
        <w:t xml:space="preserve">Entry tier ($149-175): </w:t>
      </w:r>
      <w:r>
        <w:t xml:space="preserve">Simpler designs, standard straps. Captures price-sensitive buyers.</w:t>
      </w:r>
    </w:p>
    <w:p>
      <w:pPr>
        <w:pStyle w:val="ListParagraph"/>
        <w:numPr>
          <w:ilvl w:val="0"/>
          <w:numId w:val="3"/>
        </w:numPr>
      </w:pPr>
      <w:r>
        <w:rPr>
          <w:b/>
          <w:bCs/>
        </w:rPr>
        <w:t xml:space="preserve">Core tier ($199-249): </w:t>
      </w:r>
      <w:r>
        <w:t xml:space="preserve">Current sweet spot. Artist collaborations, full feature set.</w:t>
      </w:r>
    </w:p>
    <w:p>
      <w:pPr>
        <w:pStyle w:val="ListParagraph"/>
        <w:numPr>
          <w:ilvl w:val="0"/>
          <w:numId w:val="3"/>
        </w:numPr>
      </w:pPr>
      <w:r>
        <w:rPr>
          <w:b/>
          <w:bCs/>
        </w:rPr>
        <w:t xml:space="preserve">Premium tier ($349-449): </w:t>
      </w:r>
      <w:r>
        <w:t xml:space="preserve">Automatic movement (Miyota 8215/Seiko NH35), sapphire crystal, limited to 100 units.</w:t>
      </w:r>
    </w:p>
    <w:p>
      <w:pPr>
        <w:pStyle w:val="ListParagraph"/>
        <w:numPr>
          <w:ilvl w:val="0"/>
          <w:numId w:val="3"/>
        </w:numPr>
      </w:pPr>
      <w:r>
        <w:rPr>
          <w:b/>
          <w:bCs/>
        </w:rPr>
        <w:t xml:space="preserve">Grail tier ($599-799): </w:t>
      </w:r>
      <w:r>
        <w:t xml:space="preserve">Swiss movement (Sellita), titanium case, numbered/signed by artist. 25-50 units.</w:t>
      </w:r>
    </w:p>
    <w:p>
      <w:r>
        <w:br w:type="page"/>
      </w:r>
    </w:p>
    <w:p>
      <w:pPr>
        <w:pStyle w:val="Heading1"/>
      </w:pPr>
      <w:r>
        <w:t xml:space="preserve">Part 3: Operational Improvements</w:t>
      </w:r>
    </w:p>
    <w:p>
      <w:pPr>
        <w:pStyle w:val="Heading2"/>
      </w:pPr>
      <w:r>
        <w:t xml:space="preserve">Manufacturing Optimization</w:t>
      </w:r>
    </w:p>
    <w:p>
      <w:pPr>
        <w:pStyle w:val="Heading3"/>
      </w:pPr>
      <w:r>
        <w:t xml:space="preserve">Supplier Relationship</w:t>
      </w:r>
    </w:p>
    <w:p>
      <w:pPr>
        <w:pStyle w:val="ListParagraph"/>
        <w:numPr>
          <w:ilvl w:val="0"/>
          <w:numId w:val="4"/>
        </w:numPr>
      </w:pPr>
      <w:r>
        <w:rPr>
          <w:b/>
          <w:bCs/>
        </w:rPr>
        <w:t xml:space="preserve">Consolidate orders: </w:t>
      </w:r>
      <w:r>
        <w:t xml:space="preserve">Batch multiple designs into single production runs. MOQ of 300+ per batch unlocks 15-25% cost reduction.</w:t>
      </w:r>
    </w:p>
    <w:p>
      <w:pPr>
        <w:pStyle w:val="ListParagraph"/>
        <w:numPr>
          <w:ilvl w:val="0"/>
          <w:numId w:val="4"/>
        </w:numPr>
      </w:pPr>
      <w:r>
        <w:rPr>
          <w:b/>
          <w:bCs/>
        </w:rPr>
        <w:t xml:space="preserve">Component standardization: </w:t>
      </w:r>
      <w:r>
        <w:t xml:space="preserve">Use same case/movement across designs, vary only dials. Reduces tooling costs and inventory complexity.</w:t>
      </w:r>
    </w:p>
    <w:p>
      <w:pPr>
        <w:pStyle w:val="ListParagraph"/>
        <w:numPr>
          <w:ilvl w:val="0"/>
          <w:numId w:val="4"/>
        </w:numPr>
      </w:pPr>
      <w:r>
        <w:rPr>
          <w:b/>
          <w:bCs/>
        </w:rPr>
        <w:t xml:space="preserve">Quality tier negotiation: </w:t>
      </w:r>
      <w:r>
        <w:t xml:space="preserve">Request "A-grade" finishing at 10-15% premium vs. standard. Visible quality improvement for premium positioning.</w:t>
      </w:r>
    </w:p>
    <w:p>
      <w:pPr>
        <w:pStyle w:val="Heading3"/>
        <w:spacing w:before="300"/>
      </w:pPr>
      <w:r>
        <w:t xml:space="preserve">Inventory Strategy</w:t>
      </w:r>
    </w:p>
    <w:p>
      <w:pPr>
        <w:pStyle w:val="ListParagraph"/>
        <w:numPr>
          <w:ilvl w:val="0"/>
          <w:numId w:val="3"/>
        </w:numPr>
      </w:pPr>
      <w:r>
        <w:rPr>
          <w:b/>
          <w:bCs/>
        </w:rPr>
        <w:t xml:space="preserve">Pre-order model: </w:t>
      </w:r>
      <w:r>
        <w:t xml:space="preserve">Collect orders before production. Eliminates inventory risk, creates urgency. Mr Jones Watches uses this effectively.</w:t>
      </w:r>
    </w:p>
    <w:p>
      <w:pPr>
        <w:pStyle w:val="ListParagraph"/>
        <w:numPr>
          <w:ilvl w:val="0"/>
          <w:numId w:val="3"/>
        </w:numPr>
      </w:pPr>
      <w:r>
        <w:rPr>
          <w:b/>
          <w:bCs/>
        </w:rPr>
        <w:t xml:space="preserve">Limited drop sizes: </w:t>
      </w:r>
      <w:r>
        <w:t xml:space="preserve">50-100 units per design. Creates scarcity, allows testing without overcommitting capital.</w:t>
      </w:r>
    </w:p>
    <w:p>
      <w:pPr>
        <w:pStyle w:val="ListParagraph"/>
        <w:numPr>
          <w:ilvl w:val="0"/>
          <w:numId w:val="3"/>
        </w:numPr>
      </w:pPr>
      <w:r>
        <w:rPr>
          <w:b/>
          <w:bCs/>
        </w:rPr>
        <w:t xml:space="preserve">Restock calculation: </w:t>
      </w:r>
      <w:r>
        <w:t xml:space="preserve">Only restock designs that sell 80%+ in first 30 days. Let underperformers remain "sold out."</w:t>
      </w:r>
    </w:p>
    <w:p>
      <w:pPr>
        <w:pStyle w:val="Heading2"/>
        <w:spacing w:before="400"/>
      </w:pPr>
      <w:r>
        <w:t xml:space="preserve">E-Commerce &amp; Email Infrastructure</w:t>
      </w:r>
    </w:p>
    <w:p>
      <w:pPr>
        <w:pStyle w:val="Heading3"/>
      </w:pPr>
      <w:r>
        <w:t xml:space="preserve">Drop Model Email Sequence</w:t>
      </w:r>
    </w:p>
    <w:p>
      <w:pPr>
        <w:spacing w:after="100"/>
      </w:pPr>
      <w:r>
        <w:t xml:space="preserve">For limited-edition drops, the email sequence is critical. Based on Shopify best practices:</w:t>
      </w:r>
    </w:p>
    <w:p>
      <w:pPr>
        <w:pStyle w:val="ListParagraph"/>
        <w:numPr>
          <w:ilvl w:val="0"/>
          <w:numId w:val="5"/>
        </w:numPr>
      </w:pPr>
      <w:r>
        <w:rPr>
          <w:b/>
          <w:bCs/>
        </w:rPr>
        <w:t xml:space="preserve">T-7 days: </w:t>
      </w:r>
      <w:r>
        <w:t xml:space="preserve">Teaser email. Artist spotlight, behind-the-scenes imagery. Build anticipation.</w:t>
      </w:r>
    </w:p>
    <w:p>
      <w:pPr>
        <w:pStyle w:val="ListParagraph"/>
        <w:numPr>
          <w:ilvl w:val="0"/>
          <w:numId w:val="5"/>
        </w:numPr>
      </w:pPr>
      <w:r>
        <w:rPr>
          <w:b/>
          <w:bCs/>
        </w:rPr>
        <w:t xml:space="preserve">T-3 days: </w:t>
      </w:r>
      <w:r>
        <w:t xml:space="preserve">Full reveal. Product details, pricing, quantity available. Countdown timer.</w:t>
      </w:r>
    </w:p>
    <w:p>
      <w:pPr>
        <w:pStyle w:val="ListParagraph"/>
        <w:numPr>
          <w:ilvl w:val="0"/>
          <w:numId w:val="5"/>
        </w:numPr>
      </w:pPr>
      <w:r>
        <w:rPr>
          <w:b/>
          <w:bCs/>
        </w:rPr>
        <w:t xml:space="preserve">T-1 day: </w:t>
      </w:r>
      <w:r>
        <w:t xml:space="preserve">VIP early access (if applicable). Reward loyal customers with 24hr head start.</w:t>
      </w:r>
    </w:p>
    <w:p>
      <w:pPr>
        <w:pStyle w:val="ListParagraph"/>
        <w:numPr>
          <w:ilvl w:val="0"/>
          <w:numId w:val="5"/>
        </w:numPr>
      </w:pPr>
      <w:r>
        <w:rPr>
          <w:b/>
          <w:bCs/>
        </w:rPr>
        <w:t xml:space="preserve">Drop day: </w:t>
      </w:r>
      <w:r>
        <w:t xml:space="preserve">Live announcement. Simple, direct, with clear CTA.</w:t>
      </w:r>
    </w:p>
    <w:p>
      <w:pPr>
        <w:pStyle w:val="ListParagraph"/>
        <w:numPr>
          <w:ilvl w:val="0"/>
          <w:numId w:val="5"/>
        </w:numPr>
      </w:pPr>
      <w:r>
        <w:rPr>
          <w:b/>
          <w:bCs/>
        </w:rPr>
        <w:t xml:space="preserve">T+4 hours: </w:t>
      </w:r>
      <w:r>
        <w:t xml:space="preserve">Stock update. "50% sold" creates urgency for fence-sitters.</w:t>
      </w:r>
    </w:p>
    <w:p>
      <w:pPr>
        <w:pStyle w:val="ListParagraph"/>
        <w:numPr>
          <w:ilvl w:val="0"/>
          <w:numId w:val="5"/>
        </w:numPr>
      </w:pPr>
      <w:r>
        <w:rPr>
          <w:b/>
          <w:bCs/>
        </w:rPr>
        <w:t xml:space="preserve">T+24 hours: </w:t>
      </w:r>
      <w:r>
        <w:t xml:space="preserve">Last call (if stock remains). Final push before going quiet.</w:t>
      </w:r>
    </w:p>
    <w:p>
      <w:pPr>
        <w:pStyle w:val="Heading3"/>
        <w:spacing w:before="300"/>
      </w:pPr>
      <w:r>
        <w:t xml:space="preserve">Abandoned Cart Recovery</w:t>
      </w:r>
    </w:p>
    <w:p>
      <w:pPr>
        <w:spacing w:after="100"/>
      </w:pPr>
      <w:r>
        <w:t xml:space="preserve">70% of carts are abandoned. Klaviyo estimates $3.65 per recipient from abandoned cart emails:</w:t>
      </w:r>
    </w:p>
    <w:p>
      <w:pPr>
        <w:pStyle w:val="ListParagraph"/>
        <w:numPr>
          <w:ilvl w:val="0"/>
          <w:numId w:val="3"/>
        </w:numPr>
      </w:pPr>
      <w:r>
        <w:rPr>
          <w:b/>
          <w:bCs/>
        </w:rPr>
        <w:t xml:space="preserve">Email 1 (2 hours): </w:t>
      </w:r>
      <w:r>
        <w:t xml:space="preserve">Social proof. Customer reviews, Instagram photos of happy owners.</w:t>
      </w:r>
    </w:p>
    <w:p>
      <w:pPr>
        <w:pStyle w:val="ListParagraph"/>
        <w:numPr>
          <w:ilvl w:val="0"/>
          <w:numId w:val="3"/>
        </w:numPr>
      </w:pPr>
      <w:r>
        <w:rPr>
          <w:b/>
          <w:bCs/>
        </w:rPr>
        <w:t xml:space="preserve">Email 2 (24 hours): </w:t>
      </w:r>
      <w:r>
        <w:t xml:space="preserve">Product benefits. Highlight unique design elements, artist story.</w:t>
      </w:r>
    </w:p>
    <w:p>
      <w:pPr>
        <w:pStyle w:val="ListParagraph"/>
        <w:numPr>
          <w:ilvl w:val="0"/>
          <w:numId w:val="3"/>
        </w:numPr>
      </w:pPr>
      <w:r>
        <w:rPr>
          <w:b/>
          <w:bCs/>
        </w:rPr>
        <w:t xml:space="preserve">Email 3 (72 hours): </w:t>
      </w:r>
      <w:r>
        <w:t xml:space="preserve">Scarcity/incentive. "Only X left" or free strap with purchase.</w:t>
      </w:r>
    </w:p>
    <w:p>
      <w:r>
        <w:br w:type="page"/>
      </w:r>
    </w:p>
    <w:p>
      <w:pPr>
        <w:pStyle w:val="Heading1"/>
      </w:pPr>
      <w:r>
        <w:t xml:space="preserve">Part 4: Growth Infrastructure</w:t>
      </w:r>
    </w:p>
    <w:p>
      <w:pPr>
        <w:pStyle w:val="Heading2"/>
      </w:pPr>
      <w:r>
        <w:t xml:space="preserve">Content &amp; Community</w:t>
      </w:r>
    </w:p>
    <w:p>
      <w:pPr>
        <w:pStyle w:val="ListParagraph"/>
        <w:numPr>
          <w:ilvl w:val="0"/>
          <w:numId w:val="3"/>
        </w:numPr>
      </w:pPr>
      <w:r>
        <w:rPr>
          <w:b/>
          <w:bCs/>
        </w:rPr>
        <w:t xml:space="preserve">Behind-the-design series: </w:t>
      </w:r>
      <w:r>
        <w:t xml:space="preserve">Document sketch-to-prototype process. Mr Jones Watches does this effectively—builds emotional investment before product even launches.</w:t>
      </w:r>
    </w:p>
    <w:p>
      <w:pPr>
        <w:pStyle w:val="ListParagraph"/>
        <w:numPr>
          <w:ilvl w:val="0"/>
          <w:numId w:val="3"/>
        </w:numPr>
      </w:pPr>
      <w:r>
        <w:rPr>
          <w:b/>
          <w:bCs/>
        </w:rPr>
        <w:t xml:space="preserve">Artist residency model: </w:t>
      </w:r>
      <w:r>
        <w:t xml:space="preserve">Multi-release partnerships (3-5 designs over 12 months) with single artist. Creates collector series, deepens collaboration story.</w:t>
      </w:r>
    </w:p>
    <w:p>
      <w:pPr>
        <w:pStyle w:val="ListParagraph"/>
        <w:numPr>
          <w:ilvl w:val="0"/>
          <w:numId w:val="3"/>
        </w:numPr>
      </w:pPr>
      <w:r>
        <w:rPr>
          <w:b/>
          <w:bCs/>
        </w:rPr>
        <w:t xml:space="preserve">Chicago scene integration: </w:t>
      </w:r>
      <w:r>
        <w:t xml:space="preserve">Leverage local galleries, breweries, art fairs for pop-ups. Lower CAC than digital advertising, builds authentic community.</w:t>
      </w:r>
    </w:p>
    <w:p>
      <w:pPr>
        <w:pStyle w:val="Heading2"/>
        <w:spacing w:before="400"/>
      </w:pPr>
      <w:r>
        <w:t xml:space="preserve">B2B Opportunity</w:t>
      </w:r>
    </w:p>
    <w:p>
      <w:pPr>
        <w:spacing w:after="100"/>
      </w:pPr>
      <w:r>
        <w:t xml:space="preserve">Corporate gifting represents underexplored channel for artist-collab brands:</w:t>
      </w:r>
    </w:p>
    <w:p>
      <w:pPr>
        <w:pStyle w:val="ListParagraph"/>
        <w:numPr>
          <w:ilvl w:val="0"/>
          <w:numId w:val="3"/>
        </w:numPr>
      </w:pPr>
      <w:r>
        <w:rPr>
          <w:b/>
          <w:bCs/>
        </w:rPr>
        <w:t xml:space="preserve">Creative agency gifts: </w:t>
      </w:r>
      <w:r>
        <w:t xml:space="preserve">Custom dial with agency logo for client gifts. 50-100 unit orders at premium pricing.</w:t>
      </w:r>
    </w:p>
    <w:p>
      <w:pPr>
        <w:pStyle w:val="ListParagraph"/>
        <w:numPr>
          <w:ilvl w:val="0"/>
          <w:numId w:val="3"/>
        </w:numPr>
      </w:pPr>
      <w:r>
        <w:rPr>
          <w:b/>
          <w:bCs/>
        </w:rPr>
        <w:t xml:space="preserve">Museum partnerships: </w:t>
      </w:r>
      <w:r>
        <w:t xml:space="preserve">Exclusive designs for museum gift shops. Co-branded with institution.</w:t>
      </w:r>
    </w:p>
    <w:p>
      <w:pPr>
        <w:pStyle w:val="ListParagraph"/>
        <w:numPr>
          <w:ilvl w:val="0"/>
          <w:numId w:val="3"/>
        </w:numPr>
      </w:pPr>
      <w:r>
        <w:rPr>
          <w:b/>
          <w:bCs/>
        </w:rPr>
        <w:t xml:space="preserve">Event merchandising: </w:t>
      </w:r>
      <w:r>
        <w:t xml:space="preserve">Limited editions for festivals, conferences, conventions. One-time production, no ongoing inventory.</w:t>
      </w:r>
    </w:p>
    <w:p>
      <w:pPr>
        <w:pStyle w:val="Heading2"/>
        <w:spacing w:before="400"/>
      </w:pPr>
      <w:r>
        <w:t xml:space="preserve">Key Metrics to Track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500"/>
        <w:gridCol w:w="2800"/>
        <w:gridCol w:w="3060"/>
      </w:tblGrid>
      <w:tr>
        <w:trPr>
          <w:tblHeader/>
        </w:trPr>
        <w:tc>
          <w:tcPr>
            <w:tcW w:type="dxa" w:w="3500"/>
            <w:tcBorders>
              <w:top w:val="single" w:color="CCCCCC" w:sz="1"/>
              <w:left w:val="single" w:color="CCCCCC" w:sz="1"/>
              <w:bottom w:val="single" w:color="CCCCCC" w:sz="1"/>
              <w:right w:val="single" w:color="CCCCCC" w:sz="1"/>
            </w:tcBorders>
            <w:shd w:fill="2c3e50" w:val="clear"/>
          </w:tcPr>
          <w:p>
            <w:r>
              <w:rPr>
                <w:b/>
                <w:bCs/>
                <w:color w:val="FFFFFF"/>
              </w:rPr>
              <w:t xml:space="preserve">Metric</w:t>
            </w:r>
          </w:p>
        </w:tc>
        <w:tc>
          <w:tcPr>
            <w:tcW w:type="dxa" w:w="2800"/>
            <w:tcBorders>
              <w:top w:val="single" w:color="CCCCCC" w:sz="1"/>
              <w:left w:val="single" w:color="CCCCCC" w:sz="1"/>
              <w:bottom w:val="single" w:color="CCCCCC" w:sz="1"/>
              <w:right w:val="single" w:color="CCCCCC" w:sz="1"/>
            </w:tcBorders>
            <w:shd w:fill="2c3e50" w:val="clear"/>
          </w:tcPr>
          <w:p>
            <w:r>
              <w:rPr>
                <w:b/>
                <w:bCs/>
                <w:color w:val="FFFFFF"/>
              </w:rPr>
              <w:t xml:space="preserve">Target</w:t>
            </w:r>
          </w:p>
        </w:tc>
        <w:tc>
          <w:tcPr>
            <w:tcW w:type="dxa" w:w="3060"/>
            <w:tcBorders>
              <w:top w:val="single" w:color="CCCCCC" w:sz="1"/>
              <w:left w:val="single" w:color="CCCCCC" w:sz="1"/>
              <w:bottom w:val="single" w:color="CCCCCC" w:sz="1"/>
              <w:right w:val="single" w:color="CCCCCC" w:sz="1"/>
            </w:tcBorders>
            <w:shd w:fill="2c3e50" w:val="clear"/>
          </w:tcPr>
          <w:p>
            <w:r>
              <w:rPr>
                <w:b/>
                <w:bCs/>
                <w:color w:val="FFFFFF"/>
              </w:rPr>
              <w:t xml:space="preserve">Why It Matters</w:t>
            </w:r>
          </w:p>
        </w:tc>
      </w:tr>
      <w:tr>
        <w:tc>
          <w:tcPr>
            <w:tcW w:type="dxa" w:w="3500"/>
            <w:tcBorders>
              <w:top w:val="single" w:color="CCCCCC" w:sz="1"/>
              <w:left w:val="single" w:color="CCCCCC" w:sz="1"/>
              <w:bottom w:val="single" w:color="CCCCCC" w:sz="1"/>
              <w:right w:val="single" w:color="CCCCCC" w:sz="1"/>
            </w:tcBorders>
          </w:tcPr>
          <w:p>
            <w:r>
              <w:t xml:space="preserve">Email list growth/month</w:t>
            </w:r>
          </w:p>
        </w:tc>
        <w:tc>
          <w:tcPr>
            <w:tcW w:type="dxa" w:w="2800"/>
            <w:tcBorders>
              <w:top w:val="single" w:color="CCCCCC" w:sz="1"/>
              <w:left w:val="single" w:color="CCCCCC" w:sz="1"/>
              <w:bottom w:val="single" w:color="CCCCCC" w:sz="1"/>
              <w:right w:val="single" w:color="CCCCCC" w:sz="1"/>
            </w:tcBorders>
          </w:tcPr>
          <w:p>
            <w:r>
              <w:t xml:space="preserve">15-20%</w:t>
            </w:r>
          </w:p>
        </w:tc>
        <w:tc>
          <w:tcPr>
            <w:tcW w:type="dxa" w:w="3060"/>
            <w:tcBorders>
              <w:top w:val="single" w:color="CCCCCC" w:sz="1"/>
              <w:left w:val="single" w:color="CCCCCC" w:sz="1"/>
              <w:bottom w:val="single" w:color="CCCCCC" w:sz="1"/>
              <w:right w:val="single" w:color="CCCCCC" w:sz="1"/>
            </w:tcBorders>
          </w:tcPr>
          <w:p>
            <w:r>
              <w:t xml:space="preserve">Drop success predictor</w:t>
            </w:r>
          </w:p>
        </w:tc>
      </w:tr>
      <w:tr>
        <w:tc>
          <w:tcPr>
            <w:tcW w:type="dxa" w:w="3500"/>
            <w:tcBorders>
              <w:top w:val="single" w:color="CCCCCC" w:sz="1"/>
              <w:left w:val="single" w:color="CCCCCC" w:sz="1"/>
              <w:bottom w:val="single" w:color="CCCCCC" w:sz="1"/>
              <w:right w:val="single" w:color="CCCCCC" w:sz="1"/>
            </w:tcBorders>
          </w:tcPr>
          <w:p>
            <w:r>
              <w:t xml:space="preserve">Email open rate</w:t>
            </w:r>
          </w:p>
        </w:tc>
        <w:tc>
          <w:tcPr>
            <w:tcW w:type="dxa" w:w="2800"/>
            <w:tcBorders>
              <w:top w:val="single" w:color="CCCCCC" w:sz="1"/>
              <w:left w:val="single" w:color="CCCCCC" w:sz="1"/>
              <w:bottom w:val="single" w:color="CCCCCC" w:sz="1"/>
              <w:right w:val="single" w:color="CCCCCC" w:sz="1"/>
            </w:tcBorders>
          </w:tcPr>
          <w:p>
            <w:r>
              <w:t xml:space="preserve">&gt;35%</w:t>
            </w:r>
          </w:p>
        </w:tc>
        <w:tc>
          <w:tcPr>
            <w:tcW w:type="dxa" w:w="3060"/>
            <w:tcBorders>
              <w:top w:val="single" w:color="CCCCCC" w:sz="1"/>
              <w:left w:val="single" w:color="CCCCCC" w:sz="1"/>
              <w:bottom w:val="single" w:color="CCCCCC" w:sz="1"/>
              <w:right w:val="single" w:color="CCCCCC" w:sz="1"/>
            </w:tcBorders>
          </w:tcPr>
          <w:p>
            <w:r>
              <w:t xml:space="preserve">Audience engagement</w:t>
            </w:r>
          </w:p>
        </w:tc>
      </w:tr>
      <w:tr>
        <w:tc>
          <w:tcPr>
            <w:tcW w:type="dxa" w:w="3500"/>
            <w:tcBorders>
              <w:top w:val="single" w:color="CCCCCC" w:sz="1"/>
              <w:left w:val="single" w:color="CCCCCC" w:sz="1"/>
              <w:bottom w:val="single" w:color="CCCCCC" w:sz="1"/>
              <w:right w:val="single" w:color="CCCCCC" w:sz="1"/>
            </w:tcBorders>
          </w:tcPr>
          <w:p>
            <w:r>
              <w:t xml:space="preserve">Drop sell-through (30 days)</w:t>
            </w:r>
          </w:p>
        </w:tc>
        <w:tc>
          <w:tcPr>
            <w:tcW w:type="dxa" w:w="2800"/>
            <w:tcBorders>
              <w:top w:val="single" w:color="CCCCCC" w:sz="1"/>
              <w:left w:val="single" w:color="CCCCCC" w:sz="1"/>
              <w:bottom w:val="single" w:color="CCCCCC" w:sz="1"/>
              <w:right w:val="single" w:color="CCCCCC" w:sz="1"/>
            </w:tcBorders>
          </w:tcPr>
          <w:p>
            <w:r>
              <w:t xml:space="preserve">&gt;80%</w:t>
            </w:r>
          </w:p>
        </w:tc>
        <w:tc>
          <w:tcPr>
            <w:tcW w:type="dxa" w:w="3060"/>
            <w:tcBorders>
              <w:top w:val="single" w:color="CCCCCC" w:sz="1"/>
              <w:left w:val="single" w:color="CCCCCC" w:sz="1"/>
              <w:bottom w:val="single" w:color="CCCCCC" w:sz="1"/>
              <w:right w:val="single" w:color="CCCCCC" w:sz="1"/>
            </w:tcBorders>
          </w:tcPr>
          <w:p>
            <w:r>
              <w:t xml:space="preserve">Production calibration</w:t>
            </w:r>
          </w:p>
        </w:tc>
      </w:tr>
      <w:tr>
        <w:tc>
          <w:tcPr>
            <w:tcW w:type="dxa" w:w="3500"/>
            <w:tcBorders>
              <w:top w:val="single" w:color="CCCCCC" w:sz="1"/>
              <w:left w:val="single" w:color="CCCCCC" w:sz="1"/>
              <w:bottom w:val="single" w:color="CCCCCC" w:sz="1"/>
              <w:right w:val="single" w:color="CCCCCC" w:sz="1"/>
            </w:tcBorders>
          </w:tcPr>
          <w:p>
            <w:r>
              <w:t xml:space="preserve">Average order value</w:t>
            </w:r>
          </w:p>
        </w:tc>
        <w:tc>
          <w:tcPr>
            <w:tcW w:type="dxa" w:w="2800"/>
            <w:tcBorders>
              <w:top w:val="single" w:color="CCCCCC" w:sz="1"/>
              <w:left w:val="single" w:color="CCCCCC" w:sz="1"/>
              <w:bottom w:val="single" w:color="CCCCCC" w:sz="1"/>
              <w:right w:val="single" w:color="CCCCCC" w:sz="1"/>
            </w:tcBorders>
          </w:tcPr>
          <w:p>
            <w:r>
              <w:t xml:space="preserve">&gt;$225</w:t>
            </w:r>
          </w:p>
        </w:tc>
        <w:tc>
          <w:tcPr>
            <w:tcW w:type="dxa" w:w="3060"/>
            <w:tcBorders>
              <w:top w:val="single" w:color="CCCCCC" w:sz="1"/>
              <w:left w:val="single" w:color="CCCCCC" w:sz="1"/>
              <w:bottom w:val="single" w:color="CCCCCC" w:sz="1"/>
              <w:right w:val="single" w:color="CCCCCC" w:sz="1"/>
            </w:tcBorders>
          </w:tcPr>
          <w:p>
            <w:r>
              <w:t xml:space="preserve">Bundle/upsell success</w:t>
            </w:r>
          </w:p>
        </w:tc>
      </w:tr>
      <w:tr>
        <w:tc>
          <w:tcPr>
            <w:tcW w:type="dxa" w:w="3500"/>
            <w:tcBorders>
              <w:top w:val="single" w:color="CCCCCC" w:sz="1"/>
              <w:left w:val="single" w:color="CCCCCC" w:sz="1"/>
              <w:bottom w:val="single" w:color="CCCCCC" w:sz="1"/>
              <w:right w:val="single" w:color="CCCCCC" w:sz="1"/>
            </w:tcBorders>
          </w:tcPr>
          <w:p>
            <w:r>
              <w:t xml:space="preserve">Return rate</w:t>
            </w:r>
          </w:p>
        </w:tc>
        <w:tc>
          <w:tcPr>
            <w:tcW w:type="dxa" w:w="2800"/>
            <w:tcBorders>
              <w:top w:val="single" w:color="CCCCCC" w:sz="1"/>
              <w:left w:val="single" w:color="CCCCCC" w:sz="1"/>
              <w:bottom w:val="single" w:color="CCCCCC" w:sz="1"/>
              <w:right w:val="single" w:color="CCCCCC" w:sz="1"/>
            </w:tcBorders>
          </w:tcPr>
          <w:p>
            <w:r>
              <w:t xml:space="preserve">&lt;5%</w:t>
            </w:r>
          </w:p>
        </w:tc>
        <w:tc>
          <w:tcPr>
            <w:tcW w:type="dxa" w:w="3060"/>
            <w:tcBorders>
              <w:top w:val="single" w:color="CCCCCC" w:sz="1"/>
              <w:left w:val="single" w:color="CCCCCC" w:sz="1"/>
              <w:bottom w:val="single" w:color="CCCCCC" w:sz="1"/>
              <w:right w:val="single" w:color="CCCCCC" w:sz="1"/>
            </w:tcBorders>
          </w:tcPr>
          <w:p>
            <w:r>
              <w:t xml:space="preserve">Quality/expectation fit</w:t>
            </w:r>
          </w:p>
        </w:tc>
      </w:tr>
    </w:tbl>
    <w:p>
      <w:r>
        <w:br w:type="page"/>
      </w:r>
    </w:p>
    <w:p>
      <w:pPr>
        <w:pStyle w:val="Heading1"/>
      </w:pPr>
      <w:r>
        <w:t xml:space="preserve">Implementation Priority Matrix</w:t>
      </w:r>
    </w:p>
    <w:p>
      <w:pPr>
        <w:spacing w:after="200"/>
      </w:pPr>
      <w:r>
        <w:t xml:space="preserve">Recommended sequencing based on effort-to-impact ratio: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4680"/>
        <w:gridCol w:w="1560"/>
        <w:gridCol w:w="1560"/>
        <w:gridCol w:w="1560"/>
      </w:tblGrid>
      <w:tr>
        <w:trPr>
          <w:tblHeader/>
        </w:trPr>
        <w:tc>
          <w:tcPr>
            <w:tcW w:type="dxa" w:w="4680"/>
            <w:tcBorders>
              <w:top w:val="single" w:color="CCCCCC" w:sz="1"/>
              <w:left w:val="single" w:color="CCCCCC" w:sz="1"/>
              <w:bottom w:val="single" w:color="CCCCCC" w:sz="1"/>
              <w:right w:val="single" w:color="CCCCCC" w:sz="1"/>
            </w:tcBorders>
            <w:shd w:fill="27ae60" w:val="clear"/>
          </w:tcPr>
          <w:p>
            <w:r>
              <w:rPr>
                <w:b/>
                <w:bCs/>
                <w:color w:val="FFFFFF"/>
              </w:rPr>
              <w:t xml:space="preserve">Quick Wins (Week 1-4)</w:t>
            </w:r>
          </w:p>
        </w:tc>
        <w:tc>
          <w:tcPr>
            <w:tcW w:type="dxa" w:w="1560"/>
            <w:tcBorders>
              <w:top w:val="single" w:color="CCCCCC" w:sz="1"/>
              <w:left w:val="single" w:color="CCCCCC" w:sz="1"/>
              <w:bottom w:val="single" w:color="CCCCCC" w:sz="1"/>
              <w:right w:val="single" w:color="CCCCCC" w:sz="1"/>
            </w:tcBorders>
            <w:shd w:fill="27ae60" w:val="clear"/>
          </w:tcPr>
          <w:p>
            <w:pPr>
              <w:jc w:val="center"/>
            </w:pPr>
            <w:r>
              <w:rPr>
                <w:b/>
                <w:bCs/>
                <w:color w:val="FFFFFF"/>
              </w:rPr>
              <w:t xml:space="preserve">Effort</w:t>
            </w:r>
          </w:p>
        </w:tc>
        <w:tc>
          <w:tcPr>
            <w:tcW w:type="dxa" w:w="1560"/>
            <w:tcBorders>
              <w:top w:val="single" w:color="CCCCCC" w:sz="1"/>
              <w:left w:val="single" w:color="CCCCCC" w:sz="1"/>
              <w:bottom w:val="single" w:color="CCCCCC" w:sz="1"/>
              <w:right w:val="single" w:color="CCCCCC" w:sz="1"/>
            </w:tcBorders>
            <w:shd w:fill="27ae60" w:val="clear"/>
          </w:tcPr>
          <w:p>
            <w:pPr>
              <w:jc w:val="center"/>
            </w:pPr>
            <w:r>
              <w:rPr>
                <w:b/>
                <w:bCs/>
                <w:color w:val="FFFFFF"/>
              </w:rPr>
              <w:t xml:space="preserve">Impact</w:t>
            </w:r>
          </w:p>
        </w:tc>
        <w:tc>
          <w:tcPr>
            <w:tcW w:type="dxa" w:w="1560"/>
            <w:tcBorders>
              <w:top w:val="single" w:color="CCCCCC" w:sz="1"/>
              <w:left w:val="single" w:color="CCCCCC" w:sz="1"/>
              <w:bottom w:val="single" w:color="CCCCCC" w:sz="1"/>
              <w:right w:val="single" w:color="CCCCCC" w:sz="1"/>
            </w:tcBorders>
            <w:shd w:fill="27ae60" w:val="clear"/>
          </w:tcPr>
          <w:p>
            <w:pPr>
              <w:jc w:val="center"/>
            </w:pPr>
            <w:r>
              <w:rPr>
                <w:b/>
                <w:bCs/>
                <w:color w:val="FFFFFF"/>
              </w:rPr>
              <w:t xml:space="preserve">ROI</w:t>
            </w:r>
          </w:p>
        </w:tc>
      </w:tr>
      <w:tr>
        <w:tc>
          <w:tcPr>
            <w:tcW w:type="dxa" w:w="4680"/>
            <w:tcBorders>
              <w:top w:val="single" w:color="CCCCCC" w:sz="1"/>
              <w:left w:val="single" w:color="CCCCCC" w:sz="1"/>
              <w:bottom w:val="single" w:color="CCCCCC" w:sz="1"/>
              <w:right w:val="single" w:color="CCCCCC" w:sz="1"/>
            </w:tcBorders>
          </w:tcPr>
          <w:p>
            <w:r>
              <w:t xml:space="preserve">Add strap upsell to checkout</w:t>
            </w:r>
          </w:p>
        </w:tc>
        <w:tc>
          <w:tcPr>
            <w:tcW w:type="dxa" w:w="1560"/>
            <w:tcBorders>
              <w:top w:val="single" w:color="CCCCCC" w:sz="1"/>
              <w:left w:val="single" w:color="CCCCCC" w:sz="1"/>
              <w:bottom w:val="single" w:color="CCCCCC" w:sz="1"/>
              <w:right w:val="single" w:color="CCCCCC" w:sz="1"/>
            </w:tcBorders>
          </w:tcPr>
          <w:p>
            <w:pPr>
              <w:jc w:val="center"/>
            </w:pPr>
            <w:r>
              <w:t xml:space="preserve">Low</w:t>
            </w:r>
          </w:p>
        </w:tc>
        <w:tc>
          <w:tcPr>
            <w:tcW w:type="dxa" w:w="1560"/>
            <w:tcBorders>
              <w:top w:val="single" w:color="CCCCCC" w:sz="1"/>
              <w:left w:val="single" w:color="CCCCCC" w:sz="1"/>
              <w:bottom w:val="single" w:color="CCCCCC" w:sz="1"/>
              <w:right w:val="single" w:color="CCCCCC" w:sz="1"/>
            </w:tcBorders>
          </w:tcPr>
          <w:p>
            <w:pPr>
              <w:jc w:val="center"/>
            </w:pPr>
            <w:r>
              <w:t xml:space="preserve">High</w:t>
            </w:r>
          </w:p>
        </w:tc>
        <w:tc>
          <w:tcPr>
            <w:tcW w:type="dxa" w:w="1560"/>
            <w:tcBorders>
              <w:top w:val="single" w:color="CCCCCC" w:sz="1"/>
              <w:left w:val="single" w:color="CCCCCC" w:sz="1"/>
              <w:bottom w:val="single" w:color="CCCCCC" w:sz="1"/>
              <w:right w:val="single" w:color="CCCCCC" w:sz="1"/>
            </w:tcBorders>
          </w:tcPr>
          <w:p>
            <w:pPr>
              <w:jc w:val="center"/>
            </w:pPr>
            <w:r>
              <w:rPr>
                <w:b/>
                <w:bCs/>
              </w:rPr>
              <w:t xml:space="preserve">★★★</w:t>
            </w:r>
          </w:p>
        </w:tc>
      </w:tr>
      <w:tr>
        <w:tc>
          <w:tcPr>
            <w:tcW w:type="dxa" w:w="4680"/>
            <w:tcBorders>
              <w:top w:val="single" w:color="CCCCCC" w:sz="1"/>
              <w:left w:val="single" w:color="CCCCCC" w:sz="1"/>
              <w:bottom w:val="single" w:color="CCCCCC" w:sz="1"/>
              <w:right w:val="single" w:color="CCCCCC" w:sz="1"/>
            </w:tcBorders>
          </w:tcPr>
          <w:p>
            <w:r>
              <w:t xml:space="preserve">Implement abandoned cart emails</w:t>
            </w:r>
          </w:p>
        </w:tc>
        <w:tc>
          <w:tcPr>
            <w:tcW w:type="dxa" w:w="1560"/>
            <w:tcBorders>
              <w:top w:val="single" w:color="CCCCCC" w:sz="1"/>
              <w:left w:val="single" w:color="CCCCCC" w:sz="1"/>
              <w:bottom w:val="single" w:color="CCCCCC" w:sz="1"/>
              <w:right w:val="single" w:color="CCCCCC" w:sz="1"/>
            </w:tcBorders>
          </w:tcPr>
          <w:p>
            <w:pPr>
              <w:jc w:val="center"/>
            </w:pPr>
            <w:r>
              <w:t xml:space="preserve">Low</w:t>
            </w:r>
          </w:p>
        </w:tc>
        <w:tc>
          <w:tcPr>
            <w:tcW w:type="dxa" w:w="1560"/>
            <w:tcBorders>
              <w:top w:val="single" w:color="CCCCCC" w:sz="1"/>
              <w:left w:val="single" w:color="CCCCCC" w:sz="1"/>
              <w:bottom w:val="single" w:color="CCCCCC" w:sz="1"/>
              <w:right w:val="single" w:color="CCCCCC" w:sz="1"/>
            </w:tcBorders>
          </w:tcPr>
          <w:p>
            <w:pPr>
              <w:jc w:val="center"/>
            </w:pPr>
            <w:r>
              <w:t xml:space="preserve">High</w:t>
            </w:r>
          </w:p>
        </w:tc>
        <w:tc>
          <w:tcPr>
            <w:tcW w:type="dxa" w:w="1560"/>
            <w:tcBorders>
              <w:top w:val="single" w:color="CCCCCC" w:sz="1"/>
              <w:left w:val="single" w:color="CCCCCC" w:sz="1"/>
              <w:bottom w:val="single" w:color="CCCCCC" w:sz="1"/>
              <w:right w:val="single" w:color="CCCCCC" w:sz="1"/>
            </w:tcBorders>
          </w:tcPr>
          <w:p>
            <w:pPr>
              <w:jc w:val="center"/>
            </w:pPr>
            <w:r>
              <w:rPr>
                <w:b/>
                <w:bCs/>
              </w:rPr>
              <w:t xml:space="preserve">★★★</w:t>
            </w:r>
          </w:p>
        </w:tc>
      </w:tr>
      <w:tr>
        <w:tc>
          <w:tcPr>
            <w:tcW w:type="dxa" w:w="4680"/>
            <w:tcBorders>
              <w:top w:val="single" w:color="CCCCCC" w:sz="1"/>
              <w:left w:val="single" w:color="CCCCCC" w:sz="1"/>
              <w:bottom w:val="single" w:color="CCCCCC" w:sz="1"/>
              <w:right w:val="single" w:color="CCCCCC" w:sz="1"/>
            </w:tcBorders>
          </w:tcPr>
          <w:p>
            <w:r>
              <w:t xml:space="preserve">Create Artist Edition bundle</w:t>
            </w:r>
          </w:p>
        </w:tc>
        <w:tc>
          <w:tcPr>
            <w:tcW w:type="dxa" w:w="1560"/>
            <w:tcBorders>
              <w:top w:val="single" w:color="CCCCCC" w:sz="1"/>
              <w:left w:val="single" w:color="CCCCCC" w:sz="1"/>
              <w:bottom w:val="single" w:color="CCCCCC" w:sz="1"/>
              <w:right w:val="single" w:color="CCCCCC" w:sz="1"/>
            </w:tcBorders>
          </w:tcPr>
          <w:p>
            <w:pPr>
              <w:jc w:val="center"/>
            </w:pPr>
            <w:r>
              <w:t xml:space="preserve">Low</w:t>
            </w:r>
          </w:p>
        </w:tc>
        <w:tc>
          <w:tcPr>
            <w:tcW w:type="dxa" w:w="1560"/>
            <w:tcBorders>
              <w:top w:val="single" w:color="CCCCCC" w:sz="1"/>
              <w:left w:val="single" w:color="CCCCCC" w:sz="1"/>
              <w:bottom w:val="single" w:color="CCCCCC" w:sz="1"/>
              <w:right w:val="single" w:color="CCCCCC" w:sz="1"/>
            </w:tcBorders>
          </w:tcPr>
          <w:p>
            <w:pPr>
              <w:jc w:val="center"/>
            </w:pPr>
            <w:r>
              <w:t xml:space="preserve">Med</w:t>
            </w:r>
          </w:p>
        </w:tc>
        <w:tc>
          <w:tcPr>
            <w:tcW w:type="dxa" w:w="1560"/>
            <w:tcBorders>
              <w:top w:val="single" w:color="CCCCCC" w:sz="1"/>
              <w:left w:val="single" w:color="CCCCCC" w:sz="1"/>
              <w:bottom w:val="single" w:color="CCCCCC" w:sz="1"/>
              <w:right w:val="single" w:color="CCCCCC" w:sz="1"/>
            </w:tcBorders>
          </w:tcPr>
          <w:p>
            <w:pPr>
              <w:jc w:val="center"/>
            </w:pPr>
            <w:r>
              <w:rPr>
                <w:b/>
                <w:bCs/>
              </w:rPr>
              <w:t xml:space="preserve">★★☆</w:t>
            </w:r>
          </w:p>
        </w:tc>
      </w:tr>
    </w:tbl>
    <w:p>
      <w:pPr>
        <w:spacing w:before="30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4680"/>
        <w:gridCol w:w="1560"/>
        <w:gridCol w:w="1560"/>
        <w:gridCol w:w="1560"/>
      </w:tblGrid>
      <w:tr>
        <w:trPr>
          <w:tblHeader/>
        </w:trPr>
        <w:tc>
          <w:tcPr>
            <w:tcW w:type="dxa" w:w="4680"/>
            <w:tcBorders>
              <w:top w:val="single" w:color="CCCCCC" w:sz="1"/>
              <w:left w:val="single" w:color="CCCCCC" w:sz="1"/>
              <w:bottom w:val="single" w:color="CCCCCC" w:sz="1"/>
              <w:right w:val="single" w:color="CCCCCC" w:sz="1"/>
            </w:tcBorders>
            <w:shd w:fill="f39c12" w:val="clear"/>
          </w:tcPr>
          <w:p>
            <w:r>
              <w:rPr>
                <w:b/>
                <w:bCs/>
                <w:color w:val="FFFFFF"/>
              </w:rPr>
              <w:t xml:space="preserve">Medium-Term (Month 2-3)</w:t>
            </w:r>
          </w:p>
        </w:tc>
        <w:tc>
          <w:tcPr>
            <w:tcW w:type="dxa" w:w="1560"/>
            <w:tcBorders>
              <w:top w:val="single" w:color="CCCCCC" w:sz="1"/>
              <w:left w:val="single" w:color="CCCCCC" w:sz="1"/>
              <w:bottom w:val="single" w:color="CCCCCC" w:sz="1"/>
              <w:right w:val="single" w:color="CCCCCC" w:sz="1"/>
            </w:tcBorders>
            <w:shd w:fill="f39c12" w:val="clear"/>
          </w:tcPr>
          <w:p>
            <w:pPr>
              <w:jc w:val="center"/>
            </w:pPr>
            <w:r>
              <w:rPr>
                <w:b/>
                <w:bCs/>
                <w:color w:val="FFFFFF"/>
              </w:rPr>
              <w:t xml:space="preserve">Effort</w:t>
            </w:r>
          </w:p>
        </w:tc>
        <w:tc>
          <w:tcPr>
            <w:tcW w:type="dxa" w:w="1560"/>
            <w:tcBorders>
              <w:top w:val="single" w:color="CCCCCC" w:sz="1"/>
              <w:left w:val="single" w:color="CCCCCC" w:sz="1"/>
              <w:bottom w:val="single" w:color="CCCCCC" w:sz="1"/>
              <w:right w:val="single" w:color="CCCCCC" w:sz="1"/>
            </w:tcBorders>
            <w:shd w:fill="f39c12" w:val="clear"/>
          </w:tcPr>
          <w:p>
            <w:pPr>
              <w:jc w:val="center"/>
            </w:pPr>
            <w:r>
              <w:rPr>
                <w:b/>
                <w:bCs/>
                <w:color w:val="FFFFFF"/>
              </w:rPr>
              <w:t xml:space="preserve">Impact</w:t>
            </w:r>
          </w:p>
        </w:tc>
        <w:tc>
          <w:tcPr>
            <w:tcW w:type="dxa" w:w="1560"/>
            <w:tcBorders>
              <w:top w:val="single" w:color="CCCCCC" w:sz="1"/>
              <w:left w:val="single" w:color="CCCCCC" w:sz="1"/>
              <w:bottom w:val="single" w:color="CCCCCC" w:sz="1"/>
              <w:right w:val="single" w:color="CCCCCC" w:sz="1"/>
            </w:tcBorders>
            <w:shd w:fill="f39c12" w:val="clear"/>
          </w:tcPr>
          <w:p>
            <w:pPr>
              <w:jc w:val="center"/>
            </w:pPr>
            <w:r>
              <w:rPr>
                <w:b/>
                <w:bCs/>
                <w:color w:val="FFFFFF"/>
              </w:rPr>
              <w:t xml:space="preserve">ROI</w:t>
            </w:r>
          </w:p>
        </w:tc>
      </w:tr>
      <w:tr>
        <w:tc>
          <w:tcPr>
            <w:tcW w:type="dxa" w:w="4680"/>
            <w:tcBorders>
              <w:top w:val="single" w:color="CCCCCC" w:sz="1"/>
              <w:left w:val="single" w:color="CCCCCC" w:sz="1"/>
              <w:bottom w:val="single" w:color="CCCCCC" w:sz="1"/>
              <w:right w:val="single" w:color="CCCCCC" w:sz="1"/>
            </w:tcBorders>
          </w:tcPr>
          <w:p>
            <w:r>
              <w:t xml:space="preserve">Negotiate supplier volume pricing</w:t>
            </w:r>
          </w:p>
        </w:tc>
        <w:tc>
          <w:tcPr>
            <w:tcW w:type="dxa" w:w="1560"/>
            <w:tcBorders>
              <w:top w:val="single" w:color="CCCCCC" w:sz="1"/>
              <w:left w:val="single" w:color="CCCCCC" w:sz="1"/>
              <w:bottom w:val="single" w:color="CCCCCC" w:sz="1"/>
              <w:right w:val="single" w:color="CCCCCC" w:sz="1"/>
            </w:tcBorders>
          </w:tcPr>
          <w:p>
            <w:pPr>
              <w:jc w:val="center"/>
            </w:pPr>
            <w:r>
              <w:t xml:space="preserve">Med</w:t>
            </w:r>
          </w:p>
        </w:tc>
        <w:tc>
          <w:tcPr>
            <w:tcW w:type="dxa" w:w="1560"/>
            <w:tcBorders>
              <w:top w:val="single" w:color="CCCCCC" w:sz="1"/>
              <w:left w:val="single" w:color="CCCCCC" w:sz="1"/>
              <w:bottom w:val="single" w:color="CCCCCC" w:sz="1"/>
              <w:right w:val="single" w:color="CCCCCC" w:sz="1"/>
            </w:tcBorders>
          </w:tcPr>
          <w:p>
            <w:pPr>
              <w:jc w:val="center"/>
            </w:pPr>
            <w:r>
              <w:t xml:space="preserve">High</w:t>
            </w:r>
          </w:p>
        </w:tc>
        <w:tc>
          <w:tcPr>
            <w:tcW w:type="dxa" w:w="1560"/>
            <w:tcBorders>
              <w:top w:val="single" w:color="CCCCCC" w:sz="1"/>
              <w:left w:val="single" w:color="CCCCCC" w:sz="1"/>
              <w:bottom w:val="single" w:color="CCCCCC" w:sz="1"/>
              <w:right w:val="single" w:color="CCCCCC" w:sz="1"/>
            </w:tcBorders>
          </w:tcPr>
          <w:p>
            <w:pPr>
              <w:jc w:val="center"/>
            </w:pPr>
            <w:r>
              <w:rPr>
                <w:b/>
                <w:bCs/>
              </w:rPr>
              <w:t xml:space="preserve">★★★</w:t>
            </w:r>
          </w:p>
        </w:tc>
      </w:tr>
      <w:tr>
        <w:tc>
          <w:tcPr>
            <w:tcW w:type="dxa" w:w="4680"/>
            <w:tcBorders>
              <w:top w:val="single" w:color="CCCCCC" w:sz="1"/>
              <w:left w:val="single" w:color="CCCCCC" w:sz="1"/>
              <w:bottom w:val="single" w:color="CCCCCC" w:sz="1"/>
              <w:right w:val="single" w:color="CCCCCC" w:sz="1"/>
            </w:tcBorders>
          </w:tcPr>
          <w:p>
            <w:r>
              <w:t xml:space="preserve">Build drop email sequence</w:t>
            </w:r>
          </w:p>
        </w:tc>
        <w:tc>
          <w:tcPr>
            <w:tcW w:type="dxa" w:w="1560"/>
            <w:tcBorders>
              <w:top w:val="single" w:color="CCCCCC" w:sz="1"/>
              <w:left w:val="single" w:color="CCCCCC" w:sz="1"/>
              <w:bottom w:val="single" w:color="CCCCCC" w:sz="1"/>
              <w:right w:val="single" w:color="CCCCCC" w:sz="1"/>
            </w:tcBorders>
          </w:tcPr>
          <w:p>
            <w:pPr>
              <w:jc w:val="center"/>
            </w:pPr>
            <w:r>
              <w:t xml:space="preserve">Med</w:t>
            </w:r>
          </w:p>
        </w:tc>
        <w:tc>
          <w:tcPr>
            <w:tcW w:type="dxa" w:w="1560"/>
            <w:tcBorders>
              <w:top w:val="single" w:color="CCCCCC" w:sz="1"/>
              <w:left w:val="single" w:color="CCCCCC" w:sz="1"/>
              <w:bottom w:val="single" w:color="CCCCCC" w:sz="1"/>
              <w:right w:val="single" w:color="CCCCCC" w:sz="1"/>
            </w:tcBorders>
          </w:tcPr>
          <w:p>
            <w:pPr>
              <w:jc w:val="center"/>
            </w:pPr>
            <w:r>
              <w:t xml:space="preserve">High</w:t>
            </w:r>
          </w:p>
        </w:tc>
        <w:tc>
          <w:tcPr>
            <w:tcW w:type="dxa" w:w="1560"/>
            <w:tcBorders>
              <w:top w:val="single" w:color="CCCCCC" w:sz="1"/>
              <w:left w:val="single" w:color="CCCCCC" w:sz="1"/>
              <w:bottom w:val="single" w:color="CCCCCC" w:sz="1"/>
              <w:right w:val="single" w:color="CCCCCC" w:sz="1"/>
            </w:tcBorders>
          </w:tcPr>
          <w:p>
            <w:pPr>
              <w:jc w:val="center"/>
            </w:pPr>
            <w:r>
              <w:rPr>
                <w:b/>
                <w:bCs/>
              </w:rPr>
              <w:t xml:space="preserve">★★★</w:t>
            </w:r>
          </w:p>
        </w:tc>
      </w:tr>
      <w:tr>
        <w:tc>
          <w:tcPr>
            <w:tcW w:type="dxa" w:w="4680"/>
            <w:tcBorders>
              <w:top w:val="single" w:color="CCCCCC" w:sz="1"/>
              <w:left w:val="single" w:color="CCCCCC" w:sz="1"/>
              <w:bottom w:val="single" w:color="CCCCCC" w:sz="1"/>
              <w:right w:val="single" w:color="CCCCCC" w:sz="1"/>
            </w:tcBorders>
          </w:tcPr>
          <w:p>
            <w:r>
              <w:t xml:space="preserve">Launch behind-the-design content</w:t>
            </w:r>
          </w:p>
        </w:tc>
        <w:tc>
          <w:tcPr>
            <w:tcW w:type="dxa" w:w="1560"/>
            <w:tcBorders>
              <w:top w:val="single" w:color="CCCCCC" w:sz="1"/>
              <w:left w:val="single" w:color="CCCCCC" w:sz="1"/>
              <w:bottom w:val="single" w:color="CCCCCC" w:sz="1"/>
              <w:right w:val="single" w:color="CCCCCC" w:sz="1"/>
            </w:tcBorders>
          </w:tcPr>
          <w:p>
            <w:pPr>
              <w:jc w:val="center"/>
            </w:pPr>
            <w:r>
              <w:t xml:space="preserve">Med</w:t>
            </w:r>
          </w:p>
        </w:tc>
        <w:tc>
          <w:tcPr>
            <w:tcW w:type="dxa" w:w="1560"/>
            <w:tcBorders>
              <w:top w:val="single" w:color="CCCCCC" w:sz="1"/>
              <w:left w:val="single" w:color="CCCCCC" w:sz="1"/>
              <w:bottom w:val="single" w:color="CCCCCC" w:sz="1"/>
              <w:right w:val="single" w:color="CCCCCC" w:sz="1"/>
            </w:tcBorders>
          </w:tcPr>
          <w:p>
            <w:pPr>
              <w:jc w:val="center"/>
            </w:pPr>
            <w:r>
              <w:t xml:space="preserve">Med</w:t>
            </w:r>
          </w:p>
        </w:tc>
        <w:tc>
          <w:tcPr>
            <w:tcW w:type="dxa" w:w="1560"/>
            <w:tcBorders>
              <w:top w:val="single" w:color="CCCCCC" w:sz="1"/>
              <w:left w:val="single" w:color="CCCCCC" w:sz="1"/>
              <w:bottom w:val="single" w:color="CCCCCC" w:sz="1"/>
              <w:right w:val="single" w:color="CCCCCC" w:sz="1"/>
            </w:tcBorders>
          </w:tcPr>
          <w:p>
            <w:pPr>
              <w:jc w:val="center"/>
            </w:pPr>
            <w:r>
              <w:rPr>
                <w:b/>
                <w:bCs/>
              </w:rPr>
              <w:t xml:space="preserve">★★☆</w:t>
            </w:r>
          </w:p>
        </w:tc>
      </w:tr>
    </w:tbl>
    <w:p>
      <w:pPr>
        <w:spacing w:before="30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4680"/>
        <w:gridCol w:w="1560"/>
        <w:gridCol w:w="1560"/>
        <w:gridCol w:w="1560"/>
      </w:tblGrid>
      <w:tr>
        <w:trPr>
          <w:tblHeader/>
        </w:trPr>
        <w:tc>
          <w:tcPr>
            <w:tcW w:type="dxa" w:w="4680"/>
            <w:tcBorders>
              <w:top w:val="single" w:color="CCCCCC" w:sz="1"/>
              <w:left w:val="single" w:color="CCCCCC" w:sz="1"/>
              <w:bottom w:val="single" w:color="CCCCCC" w:sz="1"/>
              <w:right w:val="single" w:color="CCCCCC" w:sz="1"/>
            </w:tcBorders>
            <w:shd w:fill="9b59b6" w:val="clear"/>
          </w:tcPr>
          <w:p>
            <w:r>
              <w:rPr>
                <w:b/>
                <w:bCs/>
                <w:color w:val="FFFFFF"/>
              </w:rPr>
              <w:t xml:space="preserve">Strategic (Month 4-6)</w:t>
            </w:r>
          </w:p>
        </w:tc>
        <w:tc>
          <w:tcPr>
            <w:tcW w:type="dxa" w:w="1560"/>
            <w:tcBorders>
              <w:top w:val="single" w:color="CCCCCC" w:sz="1"/>
              <w:left w:val="single" w:color="CCCCCC" w:sz="1"/>
              <w:bottom w:val="single" w:color="CCCCCC" w:sz="1"/>
              <w:right w:val="single" w:color="CCCCCC" w:sz="1"/>
            </w:tcBorders>
            <w:shd w:fill="9b59b6" w:val="clear"/>
          </w:tcPr>
          <w:p>
            <w:pPr>
              <w:jc w:val="center"/>
            </w:pPr>
            <w:r>
              <w:rPr>
                <w:b/>
                <w:bCs/>
                <w:color w:val="FFFFFF"/>
              </w:rPr>
              <w:t xml:space="preserve">Effort</w:t>
            </w:r>
          </w:p>
        </w:tc>
        <w:tc>
          <w:tcPr>
            <w:tcW w:type="dxa" w:w="1560"/>
            <w:tcBorders>
              <w:top w:val="single" w:color="CCCCCC" w:sz="1"/>
              <w:left w:val="single" w:color="CCCCCC" w:sz="1"/>
              <w:bottom w:val="single" w:color="CCCCCC" w:sz="1"/>
              <w:right w:val="single" w:color="CCCCCC" w:sz="1"/>
            </w:tcBorders>
            <w:shd w:fill="9b59b6" w:val="clear"/>
          </w:tcPr>
          <w:p>
            <w:pPr>
              <w:jc w:val="center"/>
            </w:pPr>
            <w:r>
              <w:rPr>
                <w:b/>
                <w:bCs/>
                <w:color w:val="FFFFFF"/>
              </w:rPr>
              <w:t xml:space="preserve">Impact</w:t>
            </w:r>
          </w:p>
        </w:tc>
        <w:tc>
          <w:tcPr>
            <w:tcW w:type="dxa" w:w="1560"/>
            <w:tcBorders>
              <w:top w:val="single" w:color="CCCCCC" w:sz="1"/>
              <w:left w:val="single" w:color="CCCCCC" w:sz="1"/>
              <w:bottom w:val="single" w:color="CCCCCC" w:sz="1"/>
              <w:right w:val="single" w:color="CCCCCC" w:sz="1"/>
            </w:tcBorders>
            <w:shd w:fill="9b59b6" w:val="clear"/>
          </w:tcPr>
          <w:p>
            <w:pPr>
              <w:jc w:val="center"/>
            </w:pPr>
            <w:r>
              <w:rPr>
                <w:b/>
                <w:bCs/>
                <w:color w:val="FFFFFF"/>
              </w:rPr>
              <w:t xml:space="preserve">ROI</w:t>
            </w:r>
          </w:p>
        </w:tc>
      </w:tr>
      <w:tr>
        <w:tc>
          <w:tcPr>
            <w:tcW w:type="dxa" w:w="4680"/>
            <w:tcBorders>
              <w:top w:val="single" w:color="CCCCCC" w:sz="1"/>
              <w:left w:val="single" w:color="CCCCCC" w:sz="1"/>
              <w:bottom w:val="single" w:color="CCCCCC" w:sz="1"/>
              <w:right w:val="single" w:color="CCCCCC" w:sz="1"/>
            </w:tcBorders>
          </w:tcPr>
          <w:p>
            <w:r>
              <w:t xml:space="preserve">Develop premium automatic tier</w:t>
            </w:r>
          </w:p>
        </w:tc>
        <w:tc>
          <w:tcPr>
            <w:tcW w:type="dxa" w:w="1560"/>
            <w:tcBorders>
              <w:top w:val="single" w:color="CCCCCC" w:sz="1"/>
              <w:left w:val="single" w:color="CCCCCC" w:sz="1"/>
              <w:bottom w:val="single" w:color="CCCCCC" w:sz="1"/>
              <w:right w:val="single" w:color="CCCCCC" w:sz="1"/>
            </w:tcBorders>
          </w:tcPr>
          <w:p>
            <w:pPr>
              <w:jc w:val="center"/>
            </w:pPr>
            <w:r>
              <w:t xml:space="preserve">High</w:t>
            </w:r>
          </w:p>
        </w:tc>
        <w:tc>
          <w:tcPr>
            <w:tcW w:type="dxa" w:w="1560"/>
            <w:tcBorders>
              <w:top w:val="single" w:color="CCCCCC" w:sz="1"/>
              <w:left w:val="single" w:color="CCCCCC" w:sz="1"/>
              <w:bottom w:val="single" w:color="CCCCCC" w:sz="1"/>
              <w:right w:val="single" w:color="CCCCCC" w:sz="1"/>
            </w:tcBorders>
          </w:tcPr>
          <w:p>
            <w:pPr>
              <w:jc w:val="center"/>
            </w:pPr>
            <w:r>
              <w:t xml:space="preserve">High</w:t>
            </w:r>
          </w:p>
        </w:tc>
        <w:tc>
          <w:tcPr>
            <w:tcW w:type="dxa" w:w="1560"/>
            <w:tcBorders>
              <w:top w:val="single" w:color="CCCCCC" w:sz="1"/>
              <w:left w:val="single" w:color="CCCCCC" w:sz="1"/>
              <w:bottom w:val="single" w:color="CCCCCC" w:sz="1"/>
              <w:right w:val="single" w:color="CCCCCC" w:sz="1"/>
            </w:tcBorders>
          </w:tcPr>
          <w:p>
            <w:pPr>
              <w:jc w:val="center"/>
            </w:pPr>
            <w:r>
              <w:rPr>
                <w:b/>
                <w:bCs/>
              </w:rPr>
              <w:t xml:space="preserve">★★★</w:t>
            </w:r>
          </w:p>
        </w:tc>
      </w:tr>
      <w:tr>
        <w:tc>
          <w:tcPr>
            <w:tcW w:type="dxa" w:w="4680"/>
            <w:tcBorders>
              <w:top w:val="single" w:color="CCCCCC" w:sz="1"/>
              <w:left w:val="single" w:color="CCCCCC" w:sz="1"/>
              <w:bottom w:val="single" w:color="CCCCCC" w:sz="1"/>
              <w:right w:val="single" w:color="CCCCCC" w:sz="1"/>
            </w:tcBorders>
          </w:tcPr>
          <w:p>
            <w:r>
              <w:t xml:space="preserve">B2B/corporate gifting pilot</w:t>
            </w:r>
          </w:p>
        </w:tc>
        <w:tc>
          <w:tcPr>
            <w:tcW w:type="dxa" w:w="1560"/>
            <w:tcBorders>
              <w:top w:val="single" w:color="CCCCCC" w:sz="1"/>
              <w:left w:val="single" w:color="CCCCCC" w:sz="1"/>
              <w:bottom w:val="single" w:color="CCCCCC" w:sz="1"/>
              <w:right w:val="single" w:color="CCCCCC" w:sz="1"/>
            </w:tcBorders>
          </w:tcPr>
          <w:p>
            <w:pPr>
              <w:jc w:val="center"/>
            </w:pPr>
            <w:r>
              <w:t xml:space="preserve">High</w:t>
            </w:r>
          </w:p>
        </w:tc>
        <w:tc>
          <w:tcPr>
            <w:tcW w:type="dxa" w:w="1560"/>
            <w:tcBorders>
              <w:top w:val="single" w:color="CCCCCC" w:sz="1"/>
              <w:left w:val="single" w:color="CCCCCC" w:sz="1"/>
              <w:bottom w:val="single" w:color="CCCCCC" w:sz="1"/>
              <w:right w:val="single" w:color="CCCCCC" w:sz="1"/>
            </w:tcBorders>
          </w:tcPr>
          <w:p>
            <w:pPr>
              <w:jc w:val="center"/>
            </w:pPr>
            <w:r>
              <w:t xml:space="preserve">High</w:t>
            </w:r>
          </w:p>
        </w:tc>
        <w:tc>
          <w:tcPr>
            <w:tcW w:type="dxa" w:w="1560"/>
            <w:tcBorders>
              <w:top w:val="single" w:color="CCCCCC" w:sz="1"/>
              <w:left w:val="single" w:color="CCCCCC" w:sz="1"/>
              <w:bottom w:val="single" w:color="CCCCCC" w:sz="1"/>
              <w:right w:val="single" w:color="CCCCCC" w:sz="1"/>
            </w:tcBorders>
          </w:tcPr>
          <w:p>
            <w:pPr>
              <w:jc w:val="center"/>
            </w:pPr>
            <w:r>
              <w:rPr>
                <w:b/>
                <w:bCs/>
              </w:rPr>
              <w:t xml:space="preserve">★★☆</w:t>
            </w:r>
          </w:p>
        </w:tc>
      </w:tr>
      <w:tr>
        <w:tc>
          <w:tcPr>
            <w:tcW w:type="dxa" w:w="4680"/>
            <w:tcBorders>
              <w:top w:val="single" w:color="CCCCCC" w:sz="1"/>
              <w:left w:val="single" w:color="CCCCCC" w:sz="1"/>
              <w:bottom w:val="single" w:color="CCCCCC" w:sz="1"/>
              <w:right w:val="single" w:color="CCCCCC" w:sz="1"/>
            </w:tcBorders>
          </w:tcPr>
          <w:p>
            <w:r>
              <w:t xml:space="preserve">Chicago pop-up circuit</w:t>
            </w:r>
          </w:p>
        </w:tc>
        <w:tc>
          <w:tcPr>
            <w:tcW w:type="dxa" w:w="1560"/>
            <w:tcBorders>
              <w:top w:val="single" w:color="CCCCCC" w:sz="1"/>
              <w:left w:val="single" w:color="CCCCCC" w:sz="1"/>
              <w:bottom w:val="single" w:color="CCCCCC" w:sz="1"/>
              <w:right w:val="single" w:color="CCCCCC" w:sz="1"/>
            </w:tcBorders>
          </w:tcPr>
          <w:p>
            <w:pPr>
              <w:jc w:val="center"/>
            </w:pPr>
            <w:r>
              <w:t xml:space="preserve">High</w:t>
            </w:r>
          </w:p>
        </w:tc>
        <w:tc>
          <w:tcPr>
            <w:tcW w:type="dxa" w:w="1560"/>
            <w:tcBorders>
              <w:top w:val="single" w:color="CCCCCC" w:sz="1"/>
              <w:left w:val="single" w:color="CCCCCC" w:sz="1"/>
              <w:bottom w:val="single" w:color="CCCCCC" w:sz="1"/>
              <w:right w:val="single" w:color="CCCCCC" w:sz="1"/>
            </w:tcBorders>
          </w:tcPr>
          <w:p>
            <w:pPr>
              <w:jc w:val="center"/>
            </w:pPr>
            <w:r>
              <w:t xml:space="preserve">Med</w:t>
            </w:r>
          </w:p>
        </w:tc>
        <w:tc>
          <w:tcPr>
            <w:tcW w:type="dxa" w:w="1560"/>
            <w:tcBorders>
              <w:top w:val="single" w:color="CCCCCC" w:sz="1"/>
              <w:left w:val="single" w:color="CCCCCC" w:sz="1"/>
              <w:bottom w:val="single" w:color="CCCCCC" w:sz="1"/>
              <w:right w:val="single" w:color="CCCCCC" w:sz="1"/>
            </w:tcBorders>
          </w:tcPr>
          <w:p>
            <w:pPr>
              <w:jc w:val="center"/>
            </w:pPr>
            <w:r>
              <w:rPr>
                <w:b/>
                <w:bCs/>
              </w:rPr>
              <w:t xml:space="preserve">★★☆</w:t>
            </w:r>
          </w:p>
        </w:tc>
      </w:tr>
    </w:tbl>
    <w:p>
      <w:pPr>
        <w:spacing w:before="400" w:after="200"/>
      </w:pPr>
      <w:r>
        <w:rPr>
          <w:b/>
          <w:bCs/>
        </w:rPr>
        <w:t xml:space="preserve">Bottom line: </w:t>
      </w:r>
      <w:r>
        <w:t xml:space="preserve">Mad Hudson is positioned well for growth. The artist-collaboration model provides differentiation, Chicago roots offer authentic community-building opportunities, and the current margin structure allows for significant reinvestment in quality and marketing. Priority should be capturing more value from existing customers (upsells, bundles, email recovery) before pursuing higher-effort growth initiatives.</w:t>
      </w:r>
    </w:p>
    <w:p>
      <w:pPr>
        <w:spacing w:before="200"/>
      </w:pPr>
      <w:r>
        <w:rPr>
          <w:i/>
          <w:iCs/>
          <w:color w:val="666666"/>
        </w:rPr>
        <w:t xml:space="preserve">Time, done different. Now scale it.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Mad Hudson Watches | Operations Improvement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1a1a"/>
      <w:sz w:val="52"/>
      <w:szCs w:val="52"/>
    </w:rPr>
  </w:style>
  <w:style w:type="paragraph" w:styleId="Heading1">
    <w:name w:val="Heading 1"/>
    <w:basedOn w:val="Normal"/>
    <w:next w:val="Normal"/>
    <w:qFormat/>
    <w:pPr>
      <w:spacing w:before="400" w:after="200"/>
      <w:outlineLvl w:val="0"/>
    </w:pPr>
    <w:rPr>
      <w:rFonts w:ascii="Arial" w:cs="Arial" w:eastAsia="Arial" w:hAnsi="Arial"/>
      <w:b/>
      <w:bCs/>
      <w:color w:val="2c3e50"/>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34495e"/>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2025-12-22T03:01:28.904Z</dcterms:created>
  <dcterms:modified xsi:type="dcterms:W3CDTF">2025-12-22T03:01:28.905Z</dcterms:modified>
</cp:coreProperties>
</file>

<file path=docProps/custom.xml><?xml version="1.0" encoding="utf-8"?>
<Properties xmlns="http://schemas.openxmlformats.org/officeDocument/2006/custom-properties" xmlns:vt="http://schemas.openxmlformats.org/officeDocument/2006/docPropsVTypes"/>
</file>