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 National Framework and Cross River Sentinel Pilot</w:t>
      </w:r>
    </w:p>
    <w:p>
      <w:pPr>
        <w:jc w:val="center"/>
      </w:pPr>
      <w:r>
        <w:rPr>
          <w:b/>
          <w:i w:val="0"/>
          <w:sz w:val="22"/>
        </w:rPr>
        <w:t>Warekuromor Tubolayefa¹*, Adepoju Matthew Olumide¹, Yakubu Tanimu Umar¹</w:t>
      </w:r>
    </w:p>
    <w:p>
      <w:pPr>
        <w:jc w:val="center"/>
      </w:pPr>
      <w:r>
        <w:rPr>
          <w:b w:val="0"/>
          <w:i/>
          <w:sz w:val="20"/>
        </w:rPr>
        <w:t>¹ Department of Mission Planning and Satellite Data Management, National Space Research and Development Agency (NASRDA), Abuja, Nigeria</w:t>
      </w:r>
    </w:p>
    <w:p>
      <w:pPr>
        <w:jc w:val="center"/>
      </w:pPr>
      <w:r>
        <w:rPr>
          <w:b w:val="0"/>
          <w:i/>
          <w:sz w:val="18"/>
        </w:rPr>
        <w:t>* Corresponding author. Head, Mission Planning, Department of Mission Planning and Satellite Data Management, NASRDA, Abuja, 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The platform development path is important for interpreting evidence tiers. Work began with a Cross River State sentinel pilot that ingested an anonymized 2021 outbreak line-list and validated dashboard ingestion, spatial joins, and risk rendering at LGA resolution. The architecture was then generalized to a nationwide 774-LGA environmental health intelligence hub. National epidemiological figures used in this paper are compiled from publicly issued NCDC situation reports and annual summaries (state-level official reporting). Sub-national LGA resolution remains a design objective and is demonstrated empirically in the Cross River pilot rather than by fabricating a national LGA panel. The study reports two clearly separated tiers of evidence. At the national tier,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 At the sub-national tier, a sentinel pilot for Cross River State ingested a 2021 cholera line-list of 74 suspected cases meeting the national case definition and 4 deaths (case fatality rate 5.4%) across four Local Government Areas (Yakurr, Biase, Calabar Municipal and Bakassi). Of these 74 cases, specimens were obtained for 4, culture was performed for 3, and 1 was culture-confirmed for Vibrio cholerae; the remainder are clinically and epidemiologically defined. The pilot was used to validate dashboard ingestion, spatial joins, and the automated risk-rendering workflow rather than to establish epidemiological effect sizes, and the national figures are explicitly not disaggregated into a sub-national panel.</w:t>
      </w:r>
    </w:p>
    <w:p>
      <w:pPr>
        <w:jc w:val="both"/>
      </w:pPr>
      <w:r>
        <w:rPr>
          <w:b w:val="0"/>
          <w:i w:val="0"/>
          <w:sz w:val="22"/>
        </w:rPr>
        <w:t>Observed flood exposure for the four pilot LGAs was derived by intersecting a 2.65-million-polygon dated historical flood archive (2000–2026) with GRID3 administrative boundaries, yielding 191 distinct flood events over the pilot footprint. The platform's AI Surveillance Copilot was evaluated in a controlled schema-detection benchmark of 72 live model invocations over twelve schema variants of the same observed dataset. Under unconstrained prompting the assistant referenced non-existent columns in 97.2% of trials; requiring a file-inspection tool call before dashboard generation eliminated schema hallucination entirely (100% grounding) and raised correct binding of the case-count field from 33.3% to 91.7%. This is reported as a measured capability with an identified failure mode and mitigation, not as a validated epidemiological instrument.</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Agentic AI,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jc w:val="both"/>
      </w:pPr>
      <w:r>
        <w:rPr>
          <w:b w:val="0"/>
          <w:i w:val="0"/>
          <w:sz w:val="22"/>
        </w:rPr>
        <w:t>The remainder of this paper is organized as follows. Section 2 reviews Earth Observation for disease surveillance and the environmental determinants of cholera. Section 3 sets out the methodology, system architecture, data provenance, and — in Section 3.1.1 — an explicit statement of the evidence tiers on which the paper's claims rest. Sections 4, 5 and 6 then report those tiers separately and in order: the Cross River sentinel pilot at LGA resolution, the nationally reported burden at state resolution, and a controlled benchmark of the platform's AI assisted-analytics layer. Section 7 discusses the findings and states the limitations, Section 8 sets out the roadmap, and Section 9 concludes. Readers are asked to note that the pilot and the national figures are distinct tiers of evidence and are never combined.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(Bose et al., 2026;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pStyle w:val="Heading3"/>
      </w:pPr>
      <w:r>
        <w:rPr>
          <w:color w:val="000000"/>
        </w:rPr>
        <w:t>3.1.1 Scope and Evidence Tiers</w:t>
      </w:r>
    </w:p>
    <w:p>
      <w:pPr>
        <w:jc w:val="both"/>
      </w:pPr>
      <w:r>
        <w:rPr>
          <w:b w:val="0"/>
          <w:i w:val="0"/>
          <w:sz w:val="22"/>
        </w:rPr>
        <w:t>Because this paper reports both national figures and a single-state pilot, the two must not be conflated. The national figures in Section 5 are official state-level NCDC counts covering the whole federation; the pilot in Section 4 is a four-LGA technical validation in one state. No national claim in this paper rests on the pilot, and no pilot finding is generalized to the nation. Table 1 states explicitly what is empirically observed, at what resolution, and what remains a design objective. Readers are directed to this table before interpreting any figure in the paper.</w:t>
      </w:r>
    </w:p>
    <w:p>
      <w:pPr>
        <w:jc w:val="both"/>
      </w:pPr>
      <w:r>
        <w:rPr>
          <w:b/>
          <w:i w:val="0"/>
          <w:sz w:val="20"/>
        </w:rPr>
        <w:t>Table 1: Evidence tiers — what this study observes, at what resolution, and what remains design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Tier</w:t>
            </w:r>
          </w:p>
        </w:tc>
        <w:tc>
          <w:tcPr>
            <w:tcW w:type="dxa" w:w="1728"/>
          </w:tcPr>
          <w:p>
            <w:r/>
            <w:r>
              <w:rPr>
                <w:b/>
                <w:sz w:val="18"/>
              </w:rPr>
              <w:t>Evidence</w:t>
            </w:r>
          </w:p>
        </w:tc>
        <w:tc>
          <w:tcPr>
            <w:tcW w:type="dxa" w:w="1728"/>
          </w:tcPr>
          <w:p>
            <w:r/>
            <w:r>
              <w:rPr>
                <w:b/>
                <w:sz w:val="18"/>
              </w:rPr>
              <w:t>Spatial resolution</w:t>
            </w:r>
          </w:p>
        </w:tc>
        <w:tc>
          <w:tcPr>
            <w:tcW w:type="dxa" w:w="1728"/>
          </w:tcPr>
          <w:p>
            <w:r/>
            <w:r>
              <w:rPr>
                <w:b/>
                <w:sz w:val="18"/>
              </w:rPr>
              <w:t>Geographic coverage</w:t>
            </w:r>
          </w:p>
        </w:tc>
        <w:tc>
          <w:tcPr>
            <w:tcW w:type="dxa" w:w="1728"/>
          </w:tcPr>
          <w:p>
            <w:r/>
            <w:r>
              <w:rPr>
                <w:b/>
                <w:sz w:val="18"/>
              </w:rPr>
              <w:t>Status in this paper</w:t>
            </w:r>
          </w:p>
        </w:tc>
      </w:tr>
      <w:tr>
        <w:tc>
          <w:tcPr>
            <w:tcW w:type="dxa" w:w="1728"/>
          </w:tcPr>
          <w:p>
            <w:r/>
            <w:r>
              <w:rPr>
                <w:sz w:val="18"/>
              </w:rPr>
              <w:t>Tier 1 — National burden</w:t>
            </w:r>
          </w:p>
        </w:tc>
        <w:tc>
          <w:tcPr>
            <w:tcW w:type="dxa" w:w="1728"/>
          </w:tcPr>
          <w:p>
            <w:r/>
            <w:r>
              <w:rPr>
                <w:sz w:val="18"/>
              </w:rPr>
              <w:t>NCDC situation-report counts, 2021–2025</w:t>
            </w:r>
          </w:p>
        </w:tc>
        <w:tc>
          <w:tcPr>
            <w:tcW w:type="dxa" w:w="1728"/>
          </w:tcPr>
          <w:p>
            <w:r/>
            <w:r>
              <w:rPr>
                <w:sz w:val="18"/>
              </w:rPr>
              <w:t>State (Admin-1)</w:t>
            </w:r>
          </w:p>
        </w:tc>
        <w:tc>
          <w:tcPr>
            <w:tcW w:type="dxa" w:w="1728"/>
          </w:tcPr>
          <w:p>
            <w:r/>
            <w:r>
              <w:rPr>
                <w:sz w:val="18"/>
              </w:rPr>
              <w:t>36 states + FCT</w:t>
            </w:r>
          </w:p>
        </w:tc>
        <w:tc>
          <w:tcPr>
            <w:tcW w:type="dxa" w:w="1728"/>
          </w:tcPr>
          <w:p>
            <w:r/>
            <w:r>
              <w:rPr>
                <w:sz w:val="18"/>
              </w:rPr>
              <w:t>Observed; reported as published</w:t>
            </w:r>
          </w:p>
        </w:tc>
      </w:tr>
      <w:tr>
        <w:tc>
          <w:tcPr>
            <w:tcW w:type="dxa" w:w="1728"/>
          </w:tcPr>
          <w:p>
            <w:r/>
            <w:r>
              <w:rPr>
                <w:sz w:val="18"/>
              </w:rPr>
              <w:t>Tier 2 — Sentinel pilot</w:t>
            </w:r>
          </w:p>
        </w:tc>
        <w:tc>
          <w:tcPr>
            <w:tcW w:type="dxa" w:w="1728"/>
          </w:tcPr>
          <w:p>
            <w:r/>
            <w:r>
              <w:rPr>
                <w:sz w:val="18"/>
              </w:rPr>
              <w:t>Cross River 2021 cholera line-list (74 suspected cases; 1 culture-confirmed)</w:t>
            </w:r>
          </w:p>
        </w:tc>
        <w:tc>
          <w:tcPr>
            <w:tcW w:type="dxa" w:w="1728"/>
          </w:tcPr>
          <w:p>
            <w:r/>
            <w:r>
              <w:rPr>
                <w:sz w:val="18"/>
              </w:rPr>
              <w:t>LGA (Admin-2)</w:t>
            </w:r>
          </w:p>
        </w:tc>
        <w:tc>
          <w:tcPr>
            <w:tcW w:type="dxa" w:w="1728"/>
          </w:tcPr>
          <w:p>
            <w:r/>
            <w:r>
              <w:rPr>
                <w:sz w:val="18"/>
              </w:rPr>
              <w:t>4 LGAs in 1 state</w:t>
            </w:r>
          </w:p>
        </w:tc>
        <w:tc>
          <w:tcPr>
            <w:tcW w:type="dxa" w:w="1728"/>
          </w:tcPr>
          <w:p>
            <w:r/>
            <w:r>
              <w:rPr>
                <w:sz w:val="18"/>
              </w:rPr>
              <w:t>Observed; used for technical validation only</w:t>
            </w:r>
          </w:p>
        </w:tc>
      </w:tr>
      <w:tr>
        <w:tc>
          <w:tcPr>
            <w:tcW w:type="dxa" w:w="1728"/>
          </w:tcPr>
          <w:p>
            <w:r/>
            <w:r>
              <w:rPr>
                <w:sz w:val="18"/>
              </w:rPr>
              <w:t>Tier 3 — Environmental exposure</w:t>
            </w:r>
          </w:p>
        </w:tc>
        <w:tc>
          <w:tcPr>
            <w:tcW w:type="dxa" w:w="1728"/>
          </w:tcPr>
          <w:p>
            <w:r/>
            <w:r>
              <w:rPr>
                <w:sz w:val="18"/>
              </w:rPr>
              <w:t>Groundsource dated flood-polygon archive intersected with GRID3 boundaries</w:t>
            </w:r>
          </w:p>
        </w:tc>
        <w:tc>
          <w:tcPr>
            <w:tcW w:type="dxa" w:w="1728"/>
          </w:tcPr>
          <w:p>
            <w:r/>
            <w:r>
              <w:rPr>
                <w:sz w:val="18"/>
              </w:rPr>
              <w:t>Polygon, clipped to LGA</w:t>
            </w:r>
          </w:p>
        </w:tc>
        <w:tc>
          <w:tcPr>
            <w:tcW w:type="dxa" w:w="1728"/>
          </w:tcPr>
          <w:p>
            <w:r/>
            <w:r>
              <w:rPr>
                <w:sz w:val="18"/>
              </w:rPr>
              <w:t>4 pilot LGAs (191 events)</w:t>
            </w:r>
          </w:p>
        </w:tc>
        <w:tc>
          <w:tcPr>
            <w:tcW w:type="dxa" w:w="1728"/>
          </w:tcPr>
          <w:p>
            <w:r/>
            <w:r>
              <w:rPr>
                <w:sz w:val="18"/>
              </w:rPr>
              <w:t>Computed from observed archive</w:t>
            </w:r>
          </w:p>
        </w:tc>
      </w:tr>
      <w:tr>
        <w:tc>
          <w:tcPr>
            <w:tcW w:type="dxa" w:w="1728"/>
          </w:tcPr>
          <w:p>
            <w:r/>
            <w:r>
              <w:rPr>
                <w:sz w:val="18"/>
              </w:rPr>
              <w:t>Tier 4 — Copilot capability</w:t>
            </w:r>
          </w:p>
        </w:tc>
        <w:tc>
          <w:tcPr>
            <w:tcW w:type="dxa" w:w="1728"/>
          </w:tcPr>
          <w:p>
            <w:r/>
            <w:r>
              <w:rPr>
                <w:sz w:val="18"/>
              </w:rPr>
              <w:t>72 live schema-detection trials over 12 schema variants</w:t>
            </w:r>
          </w:p>
        </w:tc>
        <w:tc>
          <w:tcPr>
            <w:tcW w:type="dxa" w:w="1728"/>
          </w:tcPr>
          <w:p>
            <w:r/>
            <w:r>
              <w:rPr>
                <w:sz w:val="18"/>
              </w:rPr>
              <w:t>Not spatial</w:t>
            </w:r>
          </w:p>
        </w:tc>
        <w:tc>
          <w:tcPr>
            <w:tcW w:type="dxa" w:w="1728"/>
          </w:tcPr>
          <w:p>
            <w:r/>
            <w:r>
              <w:rPr>
                <w:sz w:val="18"/>
              </w:rPr>
              <w:t>n/a</w:t>
            </w:r>
          </w:p>
        </w:tc>
        <w:tc>
          <w:tcPr>
            <w:tcW w:type="dxa" w:w="1728"/>
          </w:tcPr>
          <w:p>
            <w:r/>
            <w:r>
              <w:rPr>
                <w:sz w:val="18"/>
              </w:rPr>
              <w:t>Measured on software behaviour, not epidemiology</w:t>
            </w:r>
          </w:p>
        </w:tc>
      </w:tr>
      <w:tr>
        <w:tc>
          <w:tcPr>
            <w:tcW w:type="dxa" w:w="1728"/>
          </w:tcPr>
          <w:p>
            <w:r/>
            <w:r>
              <w:rPr>
                <w:sz w:val="18"/>
              </w:rPr>
              <w:t>Tier 5 — Design objective</w:t>
            </w:r>
          </w:p>
        </w:tc>
        <w:tc>
          <w:tcPr>
            <w:tcW w:type="dxa" w:w="1728"/>
          </w:tcPr>
          <w:p>
            <w:r/>
            <w:r>
              <w:rPr>
                <w:sz w:val="18"/>
              </w:rPr>
              <w:t>774-LGA / ward-level panel, prospective forecasting, live NCDC–SORMAS sync</w:t>
            </w:r>
          </w:p>
        </w:tc>
        <w:tc>
          <w:tcPr>
            <w:tcW w:type="dxa" w:w="1728"/>
          </w:tcPr>
          <w:p>
            <w:r/>
            <w:r>
              <w:rPr>
                <w:sz w:val="18"/>
              </w:rPr>
              <w:t>LGA / ward</w:t>
            </w:r>
          </w:p>
        </w:tc>
        <w:tc>
          <w:tcPr>
            <w:tcW w:type="dxa" w:w="1728"/>
          </w:tcPr>
          <w:p>
            <w:r/>
            <w:r>
              <w:rPr>
                <w:sz w:val="18"/>
              </w:rPr>
              <w:t>National</w:t>
            </w:r>
          </w:p>
        </w:tc>
        <w:tc>
          <w:tcPr>
            <w:tcW w:type="dxa" w:w="1728"/>
          </w:tcPr>
          <w:p>
            <w:r/>
            <w:r>
              <w:rPr>
                <w:sz w:val="18"/>
              </w:rPr>
              <w:t>NOT achieved; roadmap (Section 7)</w:t>
            </w:r>
          </w:p>
        </w:tc>
      </w:tr>
    </w:tbl>
    <w:p>
      <w:pPr>
        <w:jc w:val="both"/>
      </w:pPr>
      <w:r>
        <w:rPr>
          <w:b w:val="0"/>
          <w:i w:val="0"/>
          <w:sz w:val="22"/>
        </w:rPr>
        <w:t>A national LGA-month panel covering all 774 LGAs was deliberately not constructed. A candidate national panel available to the project was found on inspection to be internally inconsistent with official reporting — it implied 179,253 suspected cases for 2021 against the 111,062 officially reported by NCDC, and attributed Cross River case loads to LGAs that do not appear in the verified state line-list. It was therefore excluded in full, and no synthetic or simulated epidemiological values appear anywhere in this study.</w:t>
      </w:r>
    </w:p>
    <w:p>
      <w:pPr>
        <w:jc w:val="center"/>
      </w:pPr>
      <w:r>
        <w:drawing>
          <wp:inline xmlns:a="http://schemas.openxmlformats.org/drawingml/2006/main" xmlns:pic="http://schemas.openxmlformats.org/drawingml/2006/picture">
            <wp:extent cx="6126480" cy="3738191"/>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6126480" cy="3738191"/>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2.</w:t>
      </w:r>
    </w:p>
    <w:p>
      <w:pPr>
        <w:jc w:val="both"/>
      </w:pPr>
      <w:r>
        <w:rPr>
          <w:b/>
          <w:i w:val="0"/>
          <w:sz w:val="20"/>
        </w:rPr>
        <w:t>Table 2: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w:t>
            </w:r>
          </w:p>
        </w:tc>
        <w:tc>
          <w:tcPr>
            <w:tcW w:type="dxa" w:w="2160"/>
          </w:tcPr>
          <w:p>
            <w:r/>
            <w:r>
              <w:rPr>
                <w:sz w:val="18"/>
              </w:rPr>
              <w:t>4 LGAs; 74 suspected case records (1 culture-confirmed)</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2,646,302 dated polygons</w:t>
            </w:r>
          </w:p>
        </w:tc>
        <w:tc>
          <w:tcPr>
            <w:tcW w:type="dxa" w:w="2160"/>
          </w:tcPr>
          <w:p>
            <w:r/>
            <w:r>
              <w:rPr>
                <w:sz w:val="18"/>
              </w:rPr>
              <w:t>Observed (analysed here)</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case records with onset dates, epidemiological weeks, wards, settlements, specimen and laboratory fields, and outcomes.</w:t>
      </w:r>
    </w:p>
    <w:p>
      <w:pPr/>
      <w:r>
        <w:rPr>
          <w:sz w:val="22"/>
        </w:rPr>
        <w:t>For this study the national state-level series was not taken from a handful of headline snapshots but systematically reconstructed from the primary source. All 93 reports in NCDC’s disease-specific Cholera Situation Report archive were retrieved, and 84 (90.3%) were parsed successfully (the archive also contains pre-2021 reports, which fall outside the study’s 2021–2025 window); the nine exclusions are each individually documented (one broken source link, three unreadable PDFs, one discontinued 2017 table layout, and four low-activity reporting periods on which two independent extraction methods agreed). Extraction combined direct PDF text parsing with an optical-character-recognition fallback for reports whose internal text layer decoupled state names from their data. Every extracted row was subjected to an arithmetic integrity gate: the reported deaths and suspected cases were required to reconcile with the report's own stated case-fatality ratio to within 0.15 percentage points, or the row was withheld for manual review rather than admitted. This yielded 1,233 verified state-level cumulative records (36 states and the FCT), each traceable to the exact source report, with a documented confidence tier distinguishing rows read directly from those in which a value split by an extraction artifact was reassembled and re-verified against the stated ratio. Because the reports are cumulative year-to-date, a state's annual figure is taken as its highest-epidemiological-week record for that year, and records exhibiting a non-monotonic decrease within a state-year — a physical impossibility for a cumulative series, and a residual extraction artifact — are flagged and excluded from within-year trend analysis. For the 2021 national year-end total the verified primary-source figure (111,062 suspected cases; 3,604 deaths) is cited directly, as the archived weeks 48–52 for 2021 fell outside the successfully parsed set.</w:t>
      </w:r>
    </w:p>
    <w:p>
      <w:pPr>
        <w:pStyle w:val="Heading3"/>
      </w:pPr>
      <w:r>
        <w:rPr>
          <w:color w:val="000000"/>
        </w:rPr>
        <w:t>3.2.1 Diagnostic Status of the Pilot Line-List</w:t>
      </w:r>
    </w:p>
    <w:p>
      <w:pPr>
        <w:jc w:val="both"/>
      </w:pPr>
      <w:r>
        <w:rPr>
          <w:b w:val="0"/>
          <w:i w:val="0"/>
          <w:sz w:val="22"/>
        </w:rPr>
        <w:t>Because diagnostic certainty materially affects how pilot counts should be read, the laboratory fields of the Cross River line-list were audited record by record and are reported in full in Table 3. Of 74 records meeting the case definition, a specimen was recorded as taken for 4 (5.4%), a culture result was recorded for 3 (4.1%), and 1 record (1.4%) was positive for Vibrio cholerae; one culture was negative for enteric pathogens and one was awaiting result at the time of extraction. A rapid diagnostic test result was recorded for 2 records, of which 1 was positive. The remaining 70 records carry no laboratory result and are clinically and epidemiologically defined suspected cases, consistent with standard practice during a declared outbreak when laboratory capacity is saturated.</w:t>
      </w:r>
    </w:p>
    <w:p>
      <w:pPr>
        <w:jc w:val="both"/>
      </w:pPr>
      <w:r>
        <w:rPr>
          <w:b w:val="0"/>
          <w:i w:val="0"/>
          <w:sz w:val="22"/>
        </w:rPr>
        <w:t>Accordingly, this paper refers throughout to 74 suspected cases, not to confirmed or culture-referenced cases. This is not a deficiency of the pilot so much as an accurate depiction of the diagnostic environment the platform is designed to serve, and it directly motivates the laboratory-integration priority in Section 7.</w:t>
      </w:r>
    </w:p>
    <w:p>
      <w:pPr>
        <w:jc w:val="both"/>
      </w:pPr>
      <w:r>
        <w:rPr>
          <w:b/>
          <w:i w:val="0"/>
          <w:sz w:val="20"/>
        </w:rPr>
        <w:t>Table 3: Laboratory and diagnostic status of the 74 Cross River pilot case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Diagnostic field</w:t>
            </w:r>
          </w:p>
        </w:tc>
        <w:tc>
          <w:tcPr>
            <w:tcW w:type="dxa" w:w="2160"/>
          </w:tcPr>
          <w:p>
            <w:r/>
            <w:r>
              <w:rPr>
                <w:b/>
                <w:sz w:val="18"/>
              </w:rPr>
              <w:t>Records</w:t>
            </w:r>
          </w:p>
        </w:tc>
        <w:tc>
          <w:tcPr>
            <w:tcW w:type="dxa" w:w="2160"/>
          </w:tcPr>
          <w:p>
            <w:r/>
            <w:r>
              <w:rPr>
                <w:b/>
                <w:sz w:val="18"/>
              </w:rPr>
              <w:t>Share of 74</w:t>
            </w:r>
          </w:p>
        </w:tc>
        <w:tc>
          <w:tcPr>
            <w:tcW w:type="dxa" w:w="2160"/>
          </w:tcPr>
          <w:p>
            <w:r/>
            <w:r>
              <w:rPr>
                <w:b/>
                <w:sz w:val="18"/>
              </w:rPr>
              <w:t>Interpretation</w:t>
            </w:r>
          </w:p>
        </w:tc>
      </w:tr>
      <w:tr>
        <w:tc>
          <w:tcPr>
            <w:tcW w:type="dxa" w:w="2160"/>
          </w:tcPr>
          <w:p>
            <w:r/>
            <w:r>
              <w:rPr>
                <w:sz w:val="18"/>
              </w:rPr>
              <w:t>Meets national case definition</w:t>
            </w:r>
          </w:p>
        </w:tc>
        <w:tc>
          <w:tcPr>
            <w:tcW w:type="dxa" w:w="2160"/>
          </w:tcPr>
          <w:p>
            <w:r/>
            <w:r>
              <w:rPr>
                <w:sz w:val="18"/>
              </w:rPr>
              <w:t>74</w:t>
            </w:r>
          </w:p>
        </w:tc>
        <w:tc>
          <w:tcPr>
            <w:tcW w:type="dxa" w:w="2160"/>
          </w:tcPr>
          <w:p>
            <w:r/>
            <w:r>
              <w:rPr>
                <w:sz w:val="18"/>
              </w:rPr>
              <w:t>100.0%</w:t>
            </w:r>
          </w:p>
        </w:tc>
        <w:tc>
          <w:tcPr>
            <w:tcW w:type="dxa" w:w="2160"/>
          </w:tcPr>
          <w:p>
            <w:r/>
            <w:r>
              <w:rPr>
                <w:sz w:val="18"/>
              </w:rPr>
              <w:t>Basis of all pilot counts in this paper</w:t>
            </w:r>
          </w:p>
        </w:tc>
      </w:tr>
      <w:tr>
        <w:tc>
          <w:tcPr>
            <w:tcW w:type="dxa" w:w="2160"/>
          </w:tcPr>
          <w:p>
            <w:r/>
            <w:r>
              <w:rPr>
                <w:sz w:val="18"/>
              </w:rPr>
              <w:t>Specimen recorded as taken</w:t>
            </w:r>
          </w:p>
        </w:tc>
        <w:tc>
          <w:tcPr>
            <w:tcW w:type="dxa" w:w="2160"/>
          </w:tcPr>
          <w:p>
            <w:r/>
            <w:r>
              <w:rPr>
                <w:sz w:val="18"/>
              </w:rPr>
              <w:t>4</w:t>
            </w:r>
          </w:p>
        </w:tc>
        <w:tc>
          <w:tcPr>
            <w:tcW w:type="dxa" w:w="2160"/>
          </w:tcPr>
          <w:p>
            <w:r/>
            <w:r>
              <w:rPr>
                <w:sz w:val="18"/>
              </w:rPr>
              <w:t>5.4%</w:t>
            </w:r>
          </w:p>
        </w:tc>
        <w:tc>
          <w:tcPr>
            <w:tcW w:type="dxa" w:w="2160"/>
          </w:tcPr>
          <w:p>
            <w:r/>
            <w:r>
              <w:rPr>
                <w:sz w:val="18"/>
              </w:rPr>
              <w:t>Specimen collection was the binding constraint</w:t>
            </w:r>
          </w:p>
        </w:tc>
      </w:tr>
      <w:tr>
        <w:tc>
          <w:tcPr>
            <w:tcW w:type="dxa" w:w="2160"/>
          </w:tcPr>
          <w:p>
            <w:r/>
            <w:r>
              <w:rPr>
                <w:sz w:val="18"/>
              </w:rPr>
              <w:t>Culture result recorded</w:t>
            </w:r>
          </w:p>
        </w:tc>
        <w:tc>
          <w:tcPr>
            <w:tcW w:type="dxa" w:w="2160"/>
          </w:tcPr>
          <w:p>
            <w:r/>
            <w:r>
              <w:rPr>
                <w:sz w:val="18"/>
              </w:rPr>
              <w:t>3</w:t>
            </w:r>
          </w:p>
        </w:tc>
        <w:tc>
          <w:tcPr>
            <w:tcW w:type="dxa" w:w="2160"/>
          </w:tcPr>
          <w:p>
            <w:r/>
            <w:r>
              <w:rPr>
                <w:sz w:val="18"/>
              </w:rPr>
              <w:t>4.1%</w:t>
            </w:r>
          </w:p>
        </w:tc>
        <w:tc>
          <w:tcPr>
            <w:tcW w:type="dxa" w:w="2160"/>
          </w:tcPr>
          <w:p>
            <w:r/>
            <w:r>
              <w:rPr>
                <w:sz w:val="18"/>
              </w:rPr>
              <w:t>Of which: 1 positive, 1 negative, 1 awaiting</w:t>
            </w:r>
          </w:p>
        </w:tc>
      </w:tr>
      <w:tr>
        <w:tc>
          <w:tcPr>
            <w:tcW w:type="dxa" w:w="2160"/>
          </w:tcPr>
          <w:p>
            <w:r/>
            <w:r>
              <w:rPr>
                <w:sz w:val="18"/>
              </w:rPr>
              <w:t>Culture-confirmed V. cholerae</w:t>
            </w:r>
          </w:p>
        </w:tc>
        <w:tc>
          <w:tcPr>
            <w:tcW w:type="dxa" w:w="2160"/>
          </w:tcPr>
          <w:p>
            <w:r/>
            <w:r>
              <w:rPr>
                <w:sz w:val="18"/>
              </w:rPr>
              <w:t>1</w:t>
            </w:r>
          </w:p>
        </w:tc>
        <w:tc>
          <w:tcPr>
            <w:tcW w:type="dxa" w:w="2160"/>
          </w:tcPr>
          <w:p>
            <w:r/>
            <w:r>
              <w:rPr>
                <w:sz w:val="18"/>
              </w:rPr>
              <w:t>1.4%</w:t>
            </w:r>
          </w:p>
        </w:tc>
        <w:tc>
          <w:tcPr>
            <w:tcW w:type="dxa" w:w="2160"/>
          </w:tcPr>
          <w:p>
            <w:r/>
            <w:r>
              <w:rPr>
                <w:sz w:val="18"/>
              </w:rPr>
              <w:t>Only laboratory-confirmed case in the pilot</w:t>
            </w:r>
          </w:p>
        </w:tc>
      </w:tr>
      <w:tr>
        <w:tc>
          <w:tcPr>
            <w:tcW w:type="dxa" w:w="2160"/>
          </w:tcPr>
          <w:p>
            <w:r/>
            <w:r>
              <w:rPr>
                <w:sz w:val="18"/>
              </w:rPr>
              <w:t>RDT result recorded</w:t>
            </w:r>
          </w:p>
        </w:tc>
        <w:tc>
          <w:tcPr>
            <w:tcW w:type="dxa" w:w="2160"/>
          </w:tcPr>
          <w:p>
            <w:r/>
            <w:r>
              <w:rPr>
                <w:sz w:val="18"/>
              </w:rPr>
              <w:t>2</w:t>
            </w:r>
          </w:p>
        </w:tc>
        <w:tc>
          <w:tcPr>
            <w:tcW w:type="dxa" w:w="2160"/>
          </w:tcPr>
          <w:p>
            <w:r/>
            <w:r>
              <w:rPr>
                <w:sz w:val="18"/>
              </w:rPr>
              <w:t>2.7%</w:t>
            </w:r>
          </w:p>
        </w:tc>
        <w:tc>
          <w:tcPr>
            <w:tcW w:type="dxa" w:w="2160"/>
          </w:tcPr>
          <w:p>
            <w:r/>
            <w:r>
              <w:rPr>
                <w:sz w:val="18"/>
              </w:rPr>
              <w:t>1 positive, 1 negative</w:t>
            </w:r>
          </w:p>
        </w:tc>
      </w:tr>
      <w:tr>
        <w:tc>
          <w:tcPr>
            <w:tcW w:type="dxa" w:w="2160"/>
          </w:tcPr>
          <w:p>
            <w:r/>
            <w:r>
              <w:rPr>
                <w:sz w:val="18"/>
              </w:rPr>
              <w:t>No laboratory result</w:t>
            </w:r>
          </w:p>
        </w:tc>
        <w:tc>
          <w:tcPr>
            <w:tcW w:type="dxa" w:w="2160"/>
          </w:tcPr>
          <w:p>
            <w:r/>
            <w:r>
              <w:rPr>
                <w:sz w:val="18"/>
              </w:rPr>
              <w:t>70</w:t>
            </w:r>
          </w:p>
        </w:tc>
        <w:tc>
          <w:tcPr>
            <w:tcW w:type="dxa" w:w="2160"/>
          </w:tcPr>
          <w:p>
            <w:r/>
            <w:r>
              <w:rPr>
                <w:sz w:val="18"/>
              </w:rPr>
              <w:t>94.6%</w:t>
            </w:r>
          </w:p>
        </w:tc>
        <w:tc>
          <w:tcPr>
            <w:tcW w:type="dxa" w:w="2160"/>
          </w:tcPr>
          <w:p>
            <w:r/>
            <w:r>
              <w:rPr>
                <w:sz w:val="18"/>
              </w:rPr>
              <w:t>Clinically / epidemiologically defined</w:t>
            </w:r>
          </w:p>
        </w:tc>
      </w:tr>
    </w:tbl>
    <w:p>
      <w:pPr>
        <w:jc w:val="both"/>
      </w:pPr>
      <w:r>
        <w:rPr>
          <w:b w:val="0"/>
          <w:i w:val="0"/>
          <w:sz w:val="22"/>
        </w:rPr>
        <w:t>Record hygiene was also addressed during ingestion. The raw line-list contained 77 rows, of which 1 was flagged by the field epidemiologist as not a case and 2 carried no LGA attribution; these 3 rows were excluded. Administrative names appeared in inconsistent forms (for example 'Yakurr' and 'YAKURR'; 'CAL MUNICIPAL' with leading whitespace) and were normalized to GRID3 canonical names before the spatial join. After normalization the ingested totals reconcile exactly to 74 cases and 4 deaths across four LGAs, as reported in Table 4.</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(Huffman et al., 2020)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6126480" cy="2348484"/>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126480" cy="2348484"/>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2"/>
      </w:pPr>
      <w:r>
        <w:rPr>
          <w:color w:val="000000"/>
        </w:rPr>
        <w:t>3.6 Observed Flood-Exposure Covariates for the Pilot LGAs</w:t>
      </w:r>
    </w:p>
    <w:p>
      <w:pPr>
        <w:jc w:val="both"/>
      </w:pPr>
      <w:r>
        <w:t>Google Earth Engine retrieval is implemented in the platform and, for this revision, was executed against an activated Earth Engine project (project-bf60cdc9), enabling direct computation of the satellite covariates for the four pilot LGAs (reported in Section 4). To provide an independent, optically cloud-robust measure of flood exposure alongside the Earth Engine indices, environmental exposure was additionally computed from a dated historical flood-polygon archive of 2,646,302 records spanning January 2000 to February 2026. The two sources are complementary: the flood archive gives a long-run, all-weather exposure history, while the Earth Engine indices give contemporaneous surface-water, vegetation-moisture and precipitation conditions for the outbreak year.</w:t>
      </w:r>
    </w:p>
    <w:p>
      <w:pPr>
        <w:jc w:val="both"/>
      </w:pPr>
      <w:r>
        <w:rPr>
          <w:b w:val="0"/>
          <w:i w:val="0"/>
          <w:sz w:val="22"/>
        </w:rPr>
        <w:t>Flood polygons were reprojected to the Africa Albers Equal-Area projection (ESRI:102022) and intersected with GRID3 Admin-2 boundaries for the four pilot LGAs. Two quantities are reported. Event count is the number of distinct dated flood polygons intersecting an LGA. Flooded-area footprint is the geometric union of all such polygons clipped to the LGA boundary; the union is used rather than the sum because flood polygons overlap in time — the same ground floods repeatedly — and summing event areas therefore double-counts and can exceed the area of the LGA itself. The union footprint is bounded above by the LGA area by construction, which provides a built-in validity check on the computation.</w:t>
      </w:r>
    </w:p>
    <w:p>
      <w:pPr>
        <w:jc w:val="both"/>
      </w:pPr>
      <w:r>
        <w:rPr>
          <w:b w:val="0"/>
          <w:i w:val="0"/>
          <w:sz w:val="22"/>
        </w:rPr>
        <w:t>A pre-outbreak exposure window of 2011–2020 is additionally reported. This decade precedes the 2021 pilot year and therefore represents information that would have been available to a risk score ex ante, without leakage from the outbreak being described.</w:t>
      </w:r>
    </w:p>
    <w:p>
      <w:pPr>
        <w:pStyle w:val="Heading2"/>
      </w:pPr>
      <w:r>
        <w:rPr>
          <w:color w:val="000000"/>
        </w:rPr>
        <w:t>3.7 AI Surveillance Copilot: Architecture and Evaluation Design</w:t>
      </w:r>
    </w:p>
    <w:p>
      <w:pPr>
        <w:jc w:val="both"/>
      </w:pPr>
      <w:r>
        <w:rPr>
          <w:b w:val="0"/>
          <w:i w:val="0"/>
          <w:sz w:val="22"/>
        </w:rPr>
        <w:t>The platform includes a conversational Surveillance Copilot intended to lower the technical barrier for state health officers who must interpret unfamiliar datasets without a data analyst. It is implemented as a streaming, provider-agnostic agent with a bounded tool surface of three functions: query_db, which executes read-only SQL SELECT statements against the surveillance tables and rejects any non-SELECT statement; analyze_file, which performs descriptive pandas operations (head, describe, corr) on an uploaded CSV or Excel file; and generate_ui_spec, which emits a declarative JSON dashboard specification of typed widgets (KPI, chart, map, table) bound to named columns of the uploaded file. The agent runs a bounded tool-use loop of at most ten turns, and the final turn is executed without tools so that a text answer is always produced. In the deployment evaluated here the agent was served by Google Gemini through Vertex AI.</w:t>
      </w:r>
    </w:p>
    <w:p>
      <w:pPr>
        <w:jc w:val="both"/>
      </w:pPr>
      <w:r>
        <w:rPr>
          <w:b w:val="0"/>
          <w:i w:val="0"/>
          <w:sz w:val="22"/>
        </w:rPr>
        <w:t>Two properties of this design are relevant to evaluation. First, because generate_ui_spec binds widgets to column names supplied by the model, an incorrect or invented column name produces a dashboard that renders but displays nothing — a silent failure, which is the most dangerous class of failure in an operational surveillance setting. Second, the agent implementation contains an offline fallback path that emits a fixed template dashboard when no provider credential is present. All results reported in Section 6 were generated with live credentials, and every trial was programmatically asserted not to have entered the fallback path; any trial doing so would have been discarded.</w:t>
      </w:r>
    </w:p>
    <w:p>
      <w:pPr>
        <w:jc w:val="both"/>
      </w:pPr>
      <w:r>
        <w:rPr>
          <w:b w:val="0"/>
          <w:i w:val="0"/>
          <w:sz w:val="22"/>
        </w:rPr>
        <w:t>Evaluation followed a schema-perturbation design. Twelve variants of the pilot dataset were constructed in which the underlying observed data are identical — the same 74 cases, 4 deaths and 4 LGAs — and only the presentation of the schema changes. This isolates schema-detection capability from data content. Variants span seven difficulty classes: canonical headers, abbreviated NCDC-style headers, dirty headers with stray whitespace and inconsistent casing, decoy schemas containing additional count-like and score-like columns that compete with the true fields, wide tables carrying irrelevant administrative columns, opaque coded headers such as adm2_name and epi_n that carry no domain tokens, and a reduced schema in which the deaths field is absent altogether.</w:t>
      </w:r>
    </w:p>
    <w:p>
      <w:pPr>
        <w:jc w:val="both"/>
      </w:pPr>
      <w:r>
        <w:rPr>
          <w:b w:val="0"/>
          <w:i w:val="0"/>
          <w:sz w:val="22"/>
        </w:rPr>
        <w:t>Each variant was evaluated under two prompting conditions. In the unconstrained condition the agent is asked to detect the appropriate columns itself. In the schema-grounded condition the agent is instructed to call analyze_file first to read the true column names, to use only names appearing verbatim in that output, and to omit any widget whose required field does not exist. Each variant–condition pair was repeated three times, giving 72 live invocations. Outcomes were scored automatically against ground-truth semantic roles: schema grounding (whether every column referenced by the emitted specification exists in the file), and correct binding of the LGA, case-count and death-count fields. Infrastructure failures such as HTTP 429 quota responses were detected, retried with exponential backoff, and excluded from scoring so that transport errors could never be recorded as detection failures.</w:t>
      </w:r>
    </w:p>
    <w:p>
      <w:pPr>
        <w:pStyle w:val="Heading1"/>
      </w:pPr>
      <w:r>
        <w:rPr>
          <w:color w:val="000000"/>
        </w:rPr>
        <w:t>4. Cross River Sentinel Pilot: LGA-Level Technical Validation</w:t>
      </w:r>
    </w:p>
    <w:p>
      <w:pPr>
        <w:jc w:val="both"/>
      </w:pPr>
      <w:r>
        <w:rPr>
          <w:b w:val="0"/>
          <w:i w:val="0"/>
          <w:sz w:val="22"/>
        </w:rPr>
        <w:t>This section reports the sub-national tier of evidence. Everything in it derives from a single state and four LGAs, and nothing in it should be read as a national result; national figures are reported separately in Section 5.</w:t>
      </w:r>
    </w:p>
    <w:p>
      <w:pPr>
        <w:pStyle w:val="Heading2"/>
      </w:pPr>
      <w:r>
        <w:rPr>
          <w:color w:val="000000"/>
        </w:rPr>
        <w:t>4.1 Pilot Line-List and Ingestion</w:t>
      </w:r>
    </w:p>
    <w:p>
      <w:pPr>
        <w:jc w:val="both"/>
      </w:pPr>
      <w:r>
        <w:rPr>
          <w:b w:val="0"/>
          <w:i w:val="0"/>
          <w:sz w:val="22"/>
        </w:rPr>
        <w:t>The hub's ingestion and risk-rendering capability was validated using the Cross River 2021 cholera line-list. After the record-hygiene steps described in Section 3.2.1, the ingested pilot comprised 74 suspected cases and 4 deaths (case fatality rate 5.4%) distributed across four LGAs, with onset spanning epidemiological weeks 6 to 46. One case was culture-confirmed for Vibrio cholerae. The pilot exercised dashboard ingestion, spatial joins to GRID3 LGA boundaries, and automated risk categorization; it is a technical demonstration of the workflow rather than an epidemiological effect estimate. Table 4 summarizes the ingested pilot line-list.</w:t>
      </w:r>
    </w:p>
    <w:p>
      <w:pPr>
        <w:jc w:val="both"/>
      </w:pPr>
      <w:r>
        <w:rPr>
          <w:b/>
          <w:i w:val="0"/>
          <w:sz w:val="20"/>
        </w:rPr>
        <w:t>Table 4: Cross River 2021 sentinel pilot line-list summary (suspected cases; 1 culture-confirmed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Suspected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both"/>
      </w:pPr>
      <w:r>
        <w:rPr>
          <w:b w:val="0"/>
          <w:i w:val="0"/>
          <w:sz w:val="22"/>
        </w:rPr>
        <w:t>Two cautions attach to Table 4. First, the LGA-level case fatality ratios are computed on very small denominators: the 60.0% ratio for Bakassi reflects 3 deaths among 5 recorded cases and is not a stable estimate of lethality, but rather an indication that only the most severe presentations in that LGA reached a reporting facility. Second, the pilot case fatality rate of 5.4% is not comparable with the 3.2% national ratio reported in Section 5: the former is computed on 74 line-list records from four LGAs, the latter on 111,062 suspected cases reported nationally. The two are different quantities at different tiers and are never combined in this paper.</w:t>
      </w:r>
    </w:p>
    <w:p>
      <w:pPr>
        <w:pStyle w:val="Heading2"/>
      </w:pPr>
      <w:r>
        <w:rPr>
          <w:color w:val="000000"/>
        </w:rPr>
        <w:t>4.2 Observed Flood Exposure in the Pilot LGAs</w:t>
      </w:r>
    </w:p>
    <w:p>
      <w:pPr>
        <w:jc w:val="both"/>
      </w:pPr>
      <w:r>
        <w:rPr>
          <w:b w:val="0"/>
          <w:i w:val="0"/>
          <w:sz w:val="22"/>
        </w:rPr>
        <w:t>Intersecting the dated flood archive with the pilot LGA boundaries yielded 191 distinct flood events over the four-LGA footprint across 2000–2026. Table 5 reports event counts and union flooded-area footprints, and Figure 3 visualizes them alongside reported case burden.</w:t>
      </w:r>
    </w:p>
    <w:p>
      <w:pPr>
        <w:jc w:val="both"/>
      </w:pPr>
      <w:r>
        <w:rPr>
          <w:b/>
          <w:i w:val="0"/>
          <w:sz w:val="20"/>
        </w:rPr>
        <w:t>Table 5: Observed flood exposure for the four pilot LGAs (Groundsource dated flood archive intersected with GRID3 boundaries).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Sentinel LGA</w:t>
            </w:r>
          </w:p>
        </w:tc>
        <w:tc>
          <w:tcPr>
            <w:tcW w:type="dxa" w:w="1080"/>
          </w:tcPr>
          <w:p>
            <w:r/>
            <w:r>
              <w:rPr>
                <w:b/>
                <w:sz w:val="18"/>
              </w:rPr>
              <w:t>LGA area (km²)</w:t>
            </w:r>
          </w:p>
        </w:tc>
        <w:tc>
          <w:tcPr>
            <w:tcW w:type="dxa" w:w="1080"/>
          </w:tcPr>
          <w:p>
            <w:r/>
            <w:r>
              <w:rPr>
                <w:b/>
                <w:sz w:val="18"/>
              </w:rPr>
              <w:t>Flood events 2000–2026</w:t>
            </w:r>
          </w:p>
        </w:tc>
        <w:tc>
          <w:tcPr>
            <w:tcW w:type="dxa" w:w="1080"/>
          </w:tcPr>
          <w:p>
            <w:r/>
            <w:r>
              <w:rPr>
                <w:b/>
                <w:sz w:val="18"/>
              </w:rPr>
              <w:t>Years with flooding</w:t>
            </w:r>
          </w:p>
        </w:tc>
        <w:tc>
          <w:tcPr>
            <w:tcW w:type="dxa" w:w="1080"/>
          </w:tcPr>
          <w:p>
            <w:r/>
            <w:r>
              <w:rPr>
                <w:b/>
                <w:sz w:val="18"/>
              </w:rPr>
              <w:t>Union flooded area (km²)</w:t>
            </w:r>
          </w:p>
        </w:tc>
        <w:tc>
          <w:tcPr>
            <w:tcW w:type="dxa" w:w="1080"/>
          </w:tcPr>
          <w:p>
            <w:r/>
            <w:r>
              <w:rPr>
                <w:b/>
                <w:sz w:val="18"/>
              </w:rPr>
              <w:t>Union as % of LGA</w:t>
            </w:r>
          </w:p>
        </w:tc>
        <w:tc>
          <w:tcPr>
            <w:tcW w:type="dxa" w:w="1080"/>
          </w:tcPr>
          <w:p>
            <w:r/>
            <w:r>
              <w:rPr>
                <w:b/>
                <w:sz w:val="18"/>
              </w:rPr>
              <w:t>Pre-outbreak events 2011–2020</w:t>
            </w:r>
          </w:p>
        </w:tc>
        <w:tc>
          <w:tcPr>
            <w:tcW w:type="dxa" w:w="1080"/>
          </w:tcPr>
          <w:p>
            <w:r/>
            <w:r>
              <w:rPr>
                <w:b/>
                <w:sz w:val="18"/>
              </w:rPr>
              <w:t>Suspected cases 2021</w:t>
            </w:r>
          </w:p>
        </w:tc>
      </w:tr>
      <w:tr>
        <w:tc>
          <w:tcPr>
            <w:tcW w:type="dxa" w:w="1080"/>
          </w:tcPr>
          <w:p>
            <w:r/>
            <w:r>
              <w:rPr>
                <w:sz w:val="18"/>
              </w:rPr>
              <w:t>Yakurr</w:t>
            </w:r>
          </w:p>
        </w:tc>
        <w:tc>
          <w:tcPr>
            <w:tcW w:type="dxa" w:w="1080"/>
          </w:tcPr>
          <w:p>
            <w:r/>
            <w:r>
              <w:rPr>
                <w:sz w:val="18"/>
              </w:rPr>
              <w:t>659.1</w:t>
            </w:r>
          </w:p>
        </w:tc>
        <w:tc>
          <w:tcPr>
            <w:tcW w:type="dxa" w:w="1080"/>
          </w:tcPr>
          <w:p>
            <w:r/>
            <w:r>
              <w:rPr>
                <w:sz w:val="18"/>
              </w:rPr>
              <w:t>18</w:t>
            </w:r>
          </w:p>
        </w:tc>
        <w:tc>
          <w:tcPr>
            <w:tcW w:type="dxa" w:w="1080"/>
          </w:tcPr>
          <w:p>
            <w:r/>
            <w:r>
              <w:rPr>
                <w:sz w:val="18"/>
              </w:rPr>
              <w:t>8</w:t>
            </w:r>
          </w:p>
        </w:tc>
        <w:tc>
          <w:tcPr>
            <w:tcW w:type="dxa" w:w="1080"/>
          </w:tcPr>
          <w:p>
            <w:r/>
            <w:r>
              <w:rPr>
                <w:sz w:val="18"/>
              </w:rPr>
              <w:t>6.11</w:t>
            </w:r>
          </w:p>
        </w:tc>
        <w:tc>
          <w:tcPr>
            <w:tcW w:type="dxa" w:w="1080"/>
          </w:tcPr>
          <w:p>
            <w:r/>
            <w:r>
              <w:rPr>
                <w:sz w:val="18"/>
              </w:rPr>
              <w:t>0.9%</w:t>
            </w:r>
          </w:p>
        </w:tc>
        <w:tc>
          <w:tcPr>
            <w:tcW w:type="dxa" w:w="1080"/>
          </w:tcPr>
          <w:p>
            <w:r/>
            <w:r>
              <w:rPr>
                <w:sz w:val="18"/>
              </w:rPr>
              <w:t>16</w:t>
            </w:r>
          </w:p>
        </w:tc>
        <w:tc>
          <w:tcPr>
            <w:tcW w:type="dxa" w:w="1080"/>
          </w:tcPr>
          <w:p>
            <w:r/>
            <w:r>
              <w:rPr>
                <w:sz w:val="18"/>
              </w:rPr>
              <w:t>53</w:t>
            </w:r>
          </w:p>
        </w:tc>
      </w:tr>
      <w:tr>
        <w:tc>
          <w:tcPr>
            <w:tcW w:type="dxa" w:w="1080"/>
          </w:tcPr>
          <w:p>
            <w:r/>
            <w:r>
              <w:rPr>
                <w:sz w:val="18"/>
              </w:rPr>
              <w:t>Biase</w:t>
            </w:r>
          </w:p>
        </w:tc>
        <w:tc>
          <w:tcPr>
            <w:tcW w:type="dxa" w:w="1080"/>
          </w:tcPr>
          <w:p>
            <w:r/>
            <w:r>
              <w:rPr>
                <w:sz w:val="18"/>
              </w:rPr>
              <w:t>1,292.7</w:t>
            </w:r>
          </w:p>
        </w:tc>
        <w:tc>
          <w:tcPr>
            <w:tcW w:type="dxa" w:w="1080"/>
          </w:tcPr>
          <w:p>
            <w:r/>
            <w:r>
              <w:rPr>
                <w:sz w:val="18"/>
              </w:rPr>
              <w:t>35</w:t>
            </w:r>
          </w:p>
        </w:tc>
        <w:tc>
          <w:tcPr>
            <w:tcW w:type="dxa" w:w="1080"/>
          </w:tcPr>
          <w:p>
            <w:r/>
            <w:r>
              <w:rPr>
                <w:sz w:val="18"/>
              </w:rPr>
              <w:t>11</w:t>
            </w:r>
          </w:p>
        </w:tc>
        <w:tc>
          <w:tcPr>
            <w:tcW w:type="dxa" w:w="1080"/>
          </w:tcPr>
          <w:p>
            <w:r/>
            <w:r>
              <w:rPr>
                <w:sz w:val="18"/>
              </w:rPr>
              <w:t>1,277.80</w:t>
            </w:r>
          </w:p>
        </w:tc>
        <w:tc>
          <w:tcPr>
            <w:tcW w:type="dxa" w:w="1080"/>
          </w:tcPr>
          <w:p>
            <w:r/>
            <w:r>
              <w:rPr>
                <w:sz w:val="18"/>
              </w:rPr>
              <w:t>98.8%</w:t>
            </w:r>
          </w:p>
        </w:tc>
        <w:tc>
          <w:tcPr>
            <w:tcW w:type="dxa" w:w="1080"/>
          </w:tcPr>
          <w:p>
            <w:r/>
            <w:r>
              <w:rPr>
                <w:sz w:val="18"/>
              </w:rPr>
              <w:t>22</w:t>
            </w:r>
          </w:p>
        </w:tc>
        <w:tc>
          <w:tcPr>
            <w:tcW w:type="dxa" w:w="1080"/>
          </w:tcPr>
          <w:p>
            <w:r/>
            <w:r>
              <w:rPr>
                <w:sz w:val="18"/>
              </w:rPr>
              <w:t>10</w:t>
            </w:r>
          </w:p>
        </w:tc>
      </w:tr>
      <w:tr>
        <w:tc>
          <w:tcPr>
            <w:tcW w:type="dxa" w:w="1080"/>
          </w:tcPr>
          <w:p>
            <w:r/>
            <w:r>
              <w:rPr>
                <w:sz w:val="18"/>
              </w:rPr>
              <w:t>Calabar Municipal</w:t>
            </w:r>
          </w:p>
        </w:tc>
        <w:tc>
          <w:tcPr>
            <w:tcW w:type="dxa" w:w="1080"/>
          </w:tcPr>
          <w:p>
            <w:r/>
            <w:r>
              <w:rPr>
                <w:sz w:val="18"/>
              </w:rPr>
              <w:t>137.5</w:t>
            </w:r>
          </w:p>
        </w:tc>
        <w:tc>
          <w:tcPr>
            <w:tcW w:type="dxa" w:w="1080"/>
          </w:tcPr>
          <w:p>
            <w:r/>
            <w:r>
              <w:rPr>
                <w:sz w:val="18"/>
              </w:rPr>
              <w:t>136</w:t>
            </w:r>
          </w:p>
        </w:tc>
        <w:tc>
          <w:tcPr>
            <w:tcW w:type="dxa" w:w="1080"/>
          </w:tcPr>
          <w:p>
            <w:r/>
            <w:r>
              <w:rPr>
                <w:sz w:val="18"/>
              </w:rPr>
              <w:t>17</w:t>
            </w:r>
          </w:p>
        </w:tc>
        <w:tc>
          <w:tcPr>
            <w:tcW w:type="dxa" w:w="1080"/>
          </w:tcPr>
          <w:p>
            <w:r/>
            <w:r>
              <w:rPr>
                <w:sz w:val="18"/>
              </w:rPr>
              <w:t>130.71</w:t>
            </w:r>
          </w:p>
        </w:tc>
        <w:tc>
          <w:tcPr>
            <w:tcW w:type="dxa" w:w="1080"/>
          </w:tcPr>
          <w:p>
            <w:r/>
            <w:r>
              <w:rPr>
                <w:sz w:val="18"/>
              </w:rPr>
              <w:t>95.0%</w:t>
            </w:r>
          </w:p>
        </w:tc>
        <w:tc>
          <w:tcPr>
            <w:tcW w:type="dxa" w:w="1080"/>
          </w:tcPr>
          <w:p>
            <w:r/>
            <w:r>
              <w:rPr>
                <w:sz w:val="18"/>
              </w:rPr>
              <w:t>92</w:t>
            </w:r>
          </w:p>
        </w:tc>
        <w:tc>
          <w:tcPr>
            <w:tcW w:type="dxa" w:w="1080"/>
          </w:tcPr>
          <w:p>
            <w:r/>
            <w:r>
              <w:rPr>
                <w:sz w:val="18"/>
              </w:rPr>
              <w:t>6</w:t>
            </w:r>
          </w:p>
        </w:tc>
      </w:tr>
      <w:tr>
        <w:tc>
          <w:tcPr>
            <w:tcW w:type="dxa" w:w="1080"/>
          </w:tcPr>
          <w:p>
            <w:r/>
            <w:r>
              <w:rPr>
                <w:sz w:val="18"/>
              </w:rPr>
              <w:t>Bakassi</w:t>
            </w:r>
          </w:p>
        </w:tc>
        <w:tc>
          <w:tcPr>
            <w:tcW w:type="dxa" w:w="1080"/>
          </w:tcPr>
          <w:p>
            <w:r/>
            <w:r>
              <w:rPr>
                <w:sz w:val="18"/>
              </w:rPr>
              <w:t>4.2</w:t>
            </w:r>
          </w:p>
        </w:tc>
        <w:tc>
          <w:tcPr>
            <w:tcW w:type="dxa" w:w="1080"/>
          </w:tcPr>
          <w:p>
            <w:r/>
            <w:r>
              <w:rPr>
                <w:sz w:val="18"/>
              </w:rPr>
              <w:t>2</w:t>
            </w:r>
          </w:p>
        </w:tc>
        <w:tc>
          <w:tcPr>
            <w:tcW w:type="dxa" w:w="1080"/>
          </w:tcPr>
          <w:p>
            <w:r/>
            <w:r>
              <w:rPr>
                <w:sz w:val="18"/>
              </w:rPr>
              <w:t>2</w:t>
            </w:r>
          </w:p>
        </w:tc>
        <w:tc>
          <w:tcPr>
            <w:tcW w:type="dxa" w:w="1080"/>
          </w:tcPr>
          <w:p>
            <w:r/>
            <w:r>
              <w:rPr>
                <w:sz w:val="18"/>
              </w:rPr>
              <w:t>4.20</w:t>
            </w:r>
          </w:p>
        </w:tc>
        <w:tc>
          <w:tcPr>
            <w:tcW w:type="dxa" w:w="1080"/>
          </w:tcPr>
          <w:p>
            <w:r/>
            <w:r>
              <w:rPr>
                <w:sz w:val="18"/>
              </w:rPr>
              <w:t>100.0%</w:t>
            </w:r>
          </w:p>
        </w:tc>
        <w:tc>
          <w:tcPr>
            <w:tcW w:type="dxa" w:w="1080"/>
          </w:tcPr>
          <w:p>
            <w:r/>
            <w:r>
              <w:rPr>
                <w:sz w:val="18"/>
              </w:rPr>
              <w:t>2</w:t>
            </w:r>
          </w:p>
        </w:tc>
        <w:tc>
          <w:tcPr>
            <w:tcW w:type="dxa" w:w="1080"/>
          </w:tcPr>
          <w:p>
            <w:r/>
            <w:r>
              <w:rPr>
                <w:sz w:val="18"/>
              </w:rPr>
              <w:t>5</w:t>
            </w:r>
          </w:p>
        </w:tc>
      </w:tr>
    </w:tbl>
    <w:p>
      <w:pPr>
        <w:pStyle w:val="Heading2"/>
      </w:pPr>
      <w:r>
        <w:t>4.2.1 Earth Engine Environmental Covariates for the Pilot LGAs</w:t>
      </w:r>
    </w:p>
    <w:p>
      <w:r>
        <w:t>With Earth Engine activated, the satellite covariates specified in the risk model — precipitation (GPM-IMERG v07), NDWI (Sentinel-2 SR Harmonized) and NDVI (computed independently from both Sentinel-2 and Landsat-8 Collection-2 surface reflectance) — were computed directly for the four pilot LGAs over the 2021 wet season (1 June–31 October) against the same GRID3 Admin-2 geometry used for the flood archive, with a 2021 dry-season window (1 January–31 March) as an anomaly baseline. Table 6 reports the results. Wet-season precipitation follows a clear coastal-to-inland gradient, rising from 1,089 mm at inland Yakurr to 1,380 mm at coastal Bakassi, with wet-minus-dry anomalies of roughly +1,000 to +1,220 mm — a large and physically coherent rainy-season signal. The two independent NDVI products agree closely for the clear-sky inland LGAs (Yakurr 0.33 vs 0.34; Biase 0.36 vs 0.31) and diverge for the persistently cloudy coastal LGAs, where scene availability and acquisition dates differ between sensors. NDWI is reported through its maximum and its &gt;0.3 water-area fraction rather than its areal mean, which is negative in these vegetated units.</w:t>
      </w:r>
    </w:p>
    <w:p>
      <w:pPr/>
      <w:r>
        <w:t>Table 6: Earth Engine environmental covariates for the four pilot LGAs, 2021 (GPM-IMERG v07 precipitation; Sentinel-2 NDWI; NDVI from Sentinel-2 and Landsat-8). Computed live on Earth Engine project project-bf60cdc9.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Pilot LGA</w:t>
            </w:r>
          </w:p>
        </w:tc>
        <w:tc>
          <w:tcPr>
            <w:tcW w:type="dxa" w:w="960"/>
          </w:tcPr>
          <w:p>
            <w:r>
              <w:t>Precip wet (mm)</w:t>
            </w:r>
          </w:p>
        </w:tc>
        <w:tc>
          <w:tcPr>
            <w:tcW w:type="dxa" w:w="960"/>
          </w:tcPr>
          <w:p>
            <w:r>
              <w:t>Precip mm/day</w:t>
            </w:r>
          </w:p>
        </w:tc>
        <w:tc>
          <w:tcPr>
            <w:tcW w:type="dxa" w:w="960"/>
          </w:tcPr>
          <w:p>
            <w:r>
              <w:t>Precip anomaly (mm)</w:t>
            </w:r>
          </w:p>
        </w:tc>
        <w:tc>
          <w:tcPr>
            <w:tcW w:type="dxa" w:w="960"/>
          </w:tcPr>
          <w:p>
            <w:r>
              <w:t>NDWI max</w:t>
            </w:r>
          </w:p>
        </w:tc>
        <w:tc>
          <w:tcPr>
            <w:tcW w:type="dxa" w:w="960"/>
          </w:tcPr>
          <w:p>
            <w:r>
              <w:t>Water % (&gt;0.3)</w:t>
            </w:r>
          </w:p>
        </w:tc>
        <w:tc>
          <w:tcPr>
            <w:tcW w:type="dxa" w:w="960"/>
          </w:tcPr>
          <w:p>
            <w:r>
              <w:t>NDVI (S2)</w:t>
            </w:r>
          </w:p>
        </w:tc>
        <w:tc>
          <w:tcPr>
            <w:tcW w:type="dxa" w:w="960"/>
          </w:tcPr>
          <w:p>
            <w:r>
              <w:t>NDVI (Landsat)</w:t>
            </w:r>
          </w:p>
        </w:tc>
        <w:tc>
          <w:tcPr>
            <w:tcW w:type="dxa" w:w="960"/>
          </w:tcPr>
          <w:p>
            <w:r>
              <w:t>S2 scenes</w:t>
            </w:r>
          </w:p>
        </w:tc>
      </w:tr>
      <w:tr>
        <w:tc>
          <w:tcPr>
            <w:tcW w:type="dxa" w:w="960"/>
          </w:tcPr>
          <w:p>
            <w:r>
              <w:t>Yakurr</w:t>
            </w:r>
          </w:p>
        </w:tc>
        <w:tc>
          <w:tcPr>
            <w:tcW w:type="dxa" w:w="960"/>
          </w:tcPr>
          <w:p>
            <w:r>
              <w:t>1,089</w:t>
            </w:r>
          </w:p>
        </w:tc>
        <w:tc>
          <w:tcPr>
            <w:tcW w:type="dxa" w:w="960"/>
          </w:tcPr>
          <w:p>
            <w:r>
              <w:t>7.16</w:t>
            </w:r>
          </w:p>
        </w:tc>
        <w:tc>
          <w:tcPr>
            <w:tcW w:type="dxa" w:w="960"/>
          </w:tcPr>
          <w:p>
            <w:r>
              <w:t>996</w:t>
            </w:r>
          </w:p>
        </w:tc>
        <w:tc>
          <w:tcPr>
            <w:tcW w:type="dxa" w:w="960"/>
          </w:tcPr>
          <w:p>
            <w:r>
              <w:t>0.160</w:t>
            </w:r>
          </w:p>
        </w:tc>
        <w:tc>
          <w:tcPr>
            <w:tcW w:type="dxa" w:w="960"/>
          </w:tcPr>
          <w:p>
            <w:r>
              <w:t>0.00</w:t>
            </w:r>
          </w:p>
        </w:tc>
        <w:tc>
          <w:tcPr>
            <w:tcW w:type="dxa" w:w="960"/>
          </w:tcPr>
          <w:p>
            <w:r>
              <w:t>0.332</w:t>
            </w:r>
          </w:p>
        </w:tc>
        <w:tc>
          <w:tcPr>
            <w:tcW w:type="dxa" w:w="960"/>
          </w:tcPr>
          <w:p>
            <w:r>
              <w:t>0.343</w:t>
            </w:r>
          </w:p>
        </w:tc>
        <w:tc>
          <w:tcPr>
            <w:tcW w:type="dxa" w:w="960"/>
          </w:tcPr>
          <w:p>
            <w:r>
              <w:t>3</w:t>
            </w:r>
          </w:p>
        </w:tc>
      </w:tr>
      <w:tr>
        <w:tc>
          <w:tcPr>
            <w:tcW w:type="dxa" w:w="960"/>
          </w:tcPr>
          <w:p>
            <w:r>
              <w:t>Biase</w:t>
            </w:r>
          </w:p>
        </w:tc>
        <w:tc>
          <w:tcPr>
            <w:tcW w:type="dxa" w:w="960"/>
          </w:tcPr>
          <w:p>
            <w:r>
              <w:t>1,174</w:t>
            </w:r>
          </w:p>
        </w:tc>
        <w:tc>
          <w:tcPr>
            <w:tcW w:type="dxa" w:w="960"/>
          </w:tcPr>
          <w:p>
            <w:r>
              <w:t>7.73</w:t>
            </w:r>
          </w:p>
        </w:tc>
        <w:tc>
          <w:tcPr>
            <w:tcW w:type="dxa" w:w="960"/>
          </w:tcPr>
          <w:p>
            <w:r>
              <w:t>1,052</w:t>
            </w:r>
          </w:p>
        </w:tc>
        <w:tc>
          <w:tcPr>
            <w:tcW w:type="dxa" w:w="960"/>
          </w:tcPr>
          <w:p>
            <w:r>
              <w:t>0.366</w:t>
            </w:r>
          </w:p>
        </w:tc>
        <w:tc>
          <w:tcPr>
            <w:tcW w:type="dxa" w:w="960"/>
          </w:tcPr>
          <w:p>
            <w:r>
              <w:t>0.02</w:t>
            </w:r>
          </w:p>
        </w:tc>
        <w:tc>
          <w:tcPr>
            <w:tcW w:type="dxa" w:w="960"/>
          </w:tcPr>
          <w:p>
            <w:r>
              <w:t>0.359</w:t>
            </w:r>
          </w:p>
        </w:tc>
        <w:tc>
          <w:tcPr>
            <w:tcW w:type="dxa" w:w="960"/>
          </w:tcPr>
          <w:p>
            <w:r>
              <w:t>0.313</w:t>
            </w:r>
          </w:p>
        </w:tc>
        <w:tc>
          <w:tcPr>
            <w:tcW w:type="dxa" w:w="960"/>
          </w:tcPr>
          <w:p>
            <w:r>
              <w:t>3</w:t>
            </w:r>
          </w:p>
        </w:tc>
      </w:tr>
      <w:tr>
        <w:tc>
          <w:tcPr>
            <w:tcW w:type="dxa" w:w="960"/>
          </w:tcPr>
          <w:p>
            <w:r>
              <w:t>Calabar Municipal</w:t>
            </w:r>
          </w:p>
        </w:tc>
        <w:tc>
          <w:tcPr>
            <w:tcW w:type="dxa" w:w="960"/>
          </w:tcPr>
          <w:p>
            <w:r>
              <w:t>1,271</w:t>
            </w:r>
          </w:p>
        </w:tc>
        <w:tc>
          <w:tcPr>
            <w:tcW w:type="dxa" w:w="960"/>
          </w:tcPr>
          <w:p>
            <w:r>
              <w:t>8.36</w:t>
            </w:r>
          </w:p>
        </w:tc>
        <w:tc>
          <w:tcPr>
            <w:tcW w:type="dxa" w:w="960"/>
          </w:tcPr>
          <w:p>
            <w:r>
              <w:t>1,127</w:t>
            </w:r>
          </w:p>
        </w:tc>
        <w:tc>
          <w:tcPr>
            <w:tcW w:type="dxa" w:w="960"/>
          </w:tcPr>
          <w:p>
            <w:r>
              <w:t>0.578</w:t>
            </w:r>
          </w:p>
        </w:tc>
        <w:tc>
          <w:tcPr>
            <w:tcW w:type="dxa" w:w="960"/>
          </w:tcPr>
          <w:p>
            <w:r>
              <w:t>1.50</w:t>
            </w:r>
          </w:p>
        </w:tc>
        <w:tc>
          <w:tcPr>
            <w:tcW w:type="dxa" w:w="960"/>
          </w:tcPr>
          <w:p>
            <w:r>
              <w:t>0.436</w:t>
            </w:r>
          </w:p>
        </w:tc>
        <w:tc>
          <w:tcPr>
            <w:tcW w:type="dxa" w:w="960"/>
          </w:tcPr>
          <w:p>
            <w:r>
              <w:t>0.191</w:t>
            </w:r>
          </w:p>
        </w:tc>
        <w:tc>
          <w:tcPr>
            <w:tcW w:type="dxa" w:w="960"/>
          </w:tcPr>
          <w:p>
            <w:r>
              <w:t>10</w:t>
            </w:r>
          </w:p>
        </w:tc>
      </w:tr>
      <w:tr>
        <w:tc>
          <w:tcPr>
            <w:tcW w:type="dxa" w:w="960"/>
          </w:tcPr>
          <w:p>
            <w:r>
              <w:t>Bakassi</w:t>
            </w:r>
          </w:p>
        </w:tc>
        <w:tc>
          <w:tcPr>
            <w:tcW w:type="dxa" w:w="960"/>
          </w:tcPr>
          <w:p>
            <w:r>
              <w:t>1,380</w:t>
            </w:r>
          </w:p>
        </w:tc>
        <w:tc>
          <w:tcPr>
            <w:tcW w:type="dxa" w:w="960"/>
          </w:tcPr>
          <w:p>
            <w:r>
              <w:t>9.08</w:t>
            </w:r>
          </w:p>
        </w:tc>
        <w:tc>
          <w:tcPr>
            <w:tcW w:type="dxa" w:w="960"/>
          </w:tcPr>
          <w:p>
            <w:r>
              <w:t>1,216</w:t>
            </w:r>
          </w:p>
        </w:tc>
        <w:tc>
          <w:tcPr>
            <w:tcW w:type="dxa" w:w="960"/>
          </w:tcPr>
          <w:p>
            <w:r>
              <w:t>0.239</w:t>
            </w:r>
          </w:p>
        </w:tc>
        <w:tc>
          <w:tcPr>
            <w:tcW w:type="dxa" w:w="960"/>
          </w:tcPr>
          <w:p>
            <w:r>
              <w:t>0.00</w:t>
            </w:r>
          </w:p>
        </w:tc>
        <w:tc>
          <w:tcPr>
            <w:tcW w:type="dxa" w:w="960"/>
          </w:tcPr>
          <w:p>
            <w:r>
              <w:t>0.540</w:t>
            </w:r>
          </w:p>
        </w:tc>
        <w:tc>
          <w:tcPr>
            <w:tcW w:type="dxa" w:w="960"/>
          </w:tcPr>
          <w:p>
            <w:r>
              <w:t>0.299</w:t>
            </w:r>
          </w:p>
        </w:tc>
        <w:tc>
          <w:tcPr>
            <w:tcW w:type="dxa" w:w="960"/>
          </w:tcPr>
          <w:p>
            <w:r>
              <w:t>10</w:t>
            </w:r>
          </w:p>
        </w:tc>
      </w:tr>
    </w:tbl>
    <w:p>
      <w:r>
        <w:t>Sources and method: precipitation NASA/GPM_L3/IMERG_V07 (precipitationCal, summed); NDWI=(B3-B8)/(B3+B8) and NDVI=(B8-B4)/(B8+B4) from COPERNICUS/S2_SR_HARMONIZED (20 m); Landsat NDVI=(SR_B5-SR_B4)/(SR_B5+SR_B4) from LANDSAT/LC08/C02/T1_L2 (30 m), QA_PIXEL cloud/shadow masked. Yakurr/Biase 40% scene-cloud filter; Calabar Municipal/Bakassi 80% + per-pixel SCL masking. Reductions over GRID3 Admin-2. Computed 2026-08-31.</w:t>
      </w:r>
    </w:p>
    <w:p>
      <w:pPr>
        <w:jc w:val="center"/>
      </w:pPr>
      <w:r>
        <w:drawing>
          <wp:inline xmlns:a="http://schemas.openxmlformats.org/drawingml/2006/main" xmlns:pic="http://schemas.openxmlformats.org/drawingml/2006/picture">
            <wp:extent cx="6126480" cy="1891148"/>
            <wp:docPr id="3" name="Picture 3"/>
            <wp:cNvGraphicFramePr>
              <a:graphicFrameLocks noChangeAspect="1"/>
            </wp:cNvGraphicFramePr>
            <a:graphic>
              <a:graphicData uri="http://schemas.openxmlformats.org/drawingml/2006/picture">
                <pic:pic>
                  <pic:nvPicPr>
                    <pic:cNvPr id="0" name="fig_pilot_flood.png"/>
                    <pic:cNvPicPr/>
                  </pic:nvPicPr>
                  <pic:blipFill>
                    <a:blip r:embed="rId11"/>
                    <a:stretch>
                      <a:fillRect/>
                    </a:stretch>
                  </pic:blipFill>
                  <pic:spPr>
                    <a:xfrm>
                      <a:off x="0" y="0"/>
                      <a:ext cx="6126480" cy="1891148"/>
                    </a:xfrm>
                    <a:prstGeom prst="rect"/>
                  </pic:spPr>
                </pic:pic>
              </a:graphicData>
            </a:graphic>
          </wp:inline>
        </w:drawing>
      </w:r>
    </w:p>
    <w:p>
      <w:pPr>
        <w:jc w:val="center"/>
      </w:pPr>
      <w:r>
        <w:rPr>
          <w:i/>
          <w:sz w:val="18"/>
        </w:rPr>
        <w:t>Figure 3: Observed flood exposure for the four Cross River sentinel LGAs. (a) Count of dated flood events intersecting each LGA, 2000–2026. (b) Cumulative union flooded area for the pre-outbreak decade 2011–2020, expressed as a percentage of LGA area. (c) Pre-outbreak flood exposure against reported 2021 suspected cases. Panel (c) is illustrative only: with four units it supports no inference, and the relationship shown is inverse rather than positive.</w:t>
      </w:r>
    </w:p>
    <w:p>
      <w:pPr>
        <w:jc w:val="both"/>
      </w:pPr>
      <w:r>
        <w:rPr>
          <w:b w:val="0"/>
          <w:i w:val="0"/>
          <w:sz w:val="22"/>
        </w:rPr>
        <w:t>The result in Figure 3(c) is reported as observed and is deliberately not presented as supporting the hypothesis. Yakurr, the LGA with by far the largest reported case load (53 of 74), has the lowest flood exposure of the four (0.9% of its area inundated over the pre-outbreak decade), while Bakassi and Biase, which are almost entirely flood-exposed, reported 5 and 10 cases respectively. With four spatial units this is not evidence against the environmental hypothesis — it is a sample far too small to test it, and it is strongly confounded by population distribution, health-seeking behaviour, reporting intensity, and the location of the reporting facilities themselves. Calabar Municipal illustrates the confounding directly: it records 136 flood events, by far the most of the four, but this partly reflects that a dense urban LGA is more comprehensively observed than a sparsely populated one.</w:t>
      </w:r>
    </w:p>
    <w:p>
      <w:pPr>
        <w:jc w:val="both"/>
      </w:pPr>
      <w:r>
        <w:rPr>
          <w:b w:val="0"/>
          <w:i w:val="0"/>
          <w:sz w:val="22"/>
        </w:rPr>
        <w:t>The methodological point stands independently of the direction of the association. The platform ingested an observed epidemiological line-list and an observed 2.65-million-polygon environmental archive, reconciled them to a common administrative geometry, and produced per-LGA exposure measures that satisfy a physical validity constraint. That is the capability being validated here; establishing an environmental association requires the calibrated, adequately powered design set out in Section 8.</w:t>
      </w:r>
    </w:p>
    <w:p>
      <w:pPr>
        <w:pStyle w:val="Heading2"/>
      </w:pPr>
      <w:r>
        <w:rPr>
          <w:color w:val="000000"/>
        </w:rPr>
        <w:t>4.3 Dashboard and Map Rendering</w:t>
      </w:r>
    </w:p>
    <w:p>
      <w:pPr>
        <w:jc w:val="both"/>
      </w:pPr>
      <w:r>
        <w:rPr>
          <w:b w:val="0"/>
          <w:i w:val="0"/>
          <w:sz w:val="22"/>
        </w:rPr>
        <w:t>The dashboard and map successfully rendered geospatial risk layers, LGA-level surveillance reports, and correlation analytics from the ingested line-list, confirming the operational readiness of the ingestion and visualization pipeline. Figures 4 and 5 show the operational national interface; Figure 6 shows the pilot case and death distribution derived directly from the ingested line-list. The map component is built against the full 774-LGA GRID3 boundary set; in this study it is populated with observed case data only for the four pilot LGAs where line-list evidence exists, and unpopulated units are rendered as no-data rather than as zero risk.</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app_dashboard.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18"/>
        </w:rPr>
        <w:t>Figure 4: National risk dashboard — 774-LGA choropleth, KPI strip, exploratory flood–cholera lag panel, multi-factor vulnerability ranking, and active-alert rail.</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app_map.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18"/>
        </w:rPr>
        <w:t>Figure 5: Full-screen national map view for LGA-level risk exploration and spatial navigation across the Federal Republic of Nigeria.</w:t>
      </w:r>
    </w:p>
    <w:p>
      <w:pPr>
        <w:jc w:val="center"/>
      </w:pPr>
      <w:r>
        <w:drawing>
          <wp:inline xmlns:a="http://schemas.openxmlformats.org/drawingml/2006/main" xmlns:pic="http://schemas.openxmlformats.org/drawingml/2006/picture">
            <wp:extent cx="6126480" cy="3327014"/>
            <wp:docPr id="6" name="Picture 6"/>
            <wp:cNvGraphicFramePr>
              <a:graphicFrameLocks noChangeAspect="1"/>
            </wp:cNvGraphicFramePr>
            <a:graphic>
              <a:graphicData uri="http://schemas.openxmlformats.org/drawingml/2006/picture">
                <pic:pic>
                  <pic:nvPicPr>
                    <pic:cNvPr id="0" name="fig_crossriver_pilot.png"/>
                    <pic:cNvPicPr/>
                  </pic:nvPicPr>
                  <pic:blipFill>
                    <a:blip r:embed="rId14"/>
                    <a:stretch>
                      <a:fillRect/>
                    </a:stretch>
                  </pic:blipFill>
                  <pic:spPr>
                    <a:xfrm>
                      <a:off x="0" y="0"/>
                      <a:ext cx="6126480" cy="3327014"/>
                    </a:xfrm>
                    <a:prstGeom prst="rect"/>
                  </pic:spPr>
                </pic:pic>
              </a:graphicData>
            </a:graphic>
          </wp:inline>
        </w:drawing>
      </w:r>
    </w:p>
    <w:p>
      <w:pPr>
        <w:jc w:val="center"/>
      </w:pPr>
      <w:r>
        <w:rPr>
          <w:i/>
          <w:sz w:val="18"/>
        </w:rPr>
        <w:t>Figure 6: Cross River 2021 sentinel pilot — cases and deaths by LGA from the anonymized line-list aggregate (not a national LGA panel).</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7) to support response planning.</w:t>
      </w:r>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app_facilities.png"/>
                    <pic:cNvPicPr/>
                  </pic:nvPicPr>
                  <pic:blipFill>
                    <a:blip r:embed="rId15"/>
                    <a:stretch>
                      <a:fillRect/>
                    </a:stretch>
                  </pic:blipFill>
                  <pic:spPr>
                    <a:xfrm>
                      <a:off x="0" y="0"/>
                      <a:ext cx="6126480" cy="3446145"/>
                    </a:xfrm>
                    <a:prstGeom prst="rect"/>
                  </pic:spPr>
                </pic:pic>
              </a:graphicData>
            </a:graphic>
          </wp:inline>
        </w:drawing>
      </w:r>
    </w:p>
    <w:p>
      <w:pPr>
        <w:jc w:val="center"/>
      </w:pPr>
      <w:r>
        <w:rPr>
          <w:i/>
          <w:sz w:val="18"/>
        </w:rPr>
        <w:t>Figure 7: FMOH health-facility registry browser (inventory view with filters); counts reflect registry presence, not independently re-validated facility audits.</w:t>
      </w:r>
    </w:p>
    <w:p>
      <w:pPr>
        <w:pStyle w:val="Heading1"/>
      </w:pPr>
      <w:r>
        <w:rPr>
          <w:color w:val="000000"/>
        </w:rPr>
        <w:t>5. Nationally Reported Cholera Burden, 2021–2025</w:t>
      </w:r>
    </w:p>
    <w:p>
      <w:pPr>
        <w:jc w:val="both"/>
      </w:pPr>
      <w:r>
        <w:rPr>
          <w:b w:val="0"/>
          <w:i w:val="0"/>
          <w:sz w:val="22"/>
        </w:rPr>
        <w:t>This section reports the national tier of evidence. All figures are official NCDC state-level counts covering the federation. They are independent of the Cross River pilot in Section 4, are not derived from it, and are not disaggregated by this study into a sub-national panel. Development began with the Cross River sentinel line-list; the architecture was then generalized nationwide, and national figures were compiled from publicly issued NCDC situation reports and annual summaries rather than by fabricating a 774-LGA national case panel.</w:t>
      </w:r>
    </w:p>
    <w:p>
      <w:pPr>
        <w:jc w:val="both"/>
      </w:pPr>
      <w:r>
        <w:t>Officially reported cholera figures were compiled from NCDC situation reports (Table 7). The national burden is dominated by the 2021 epidemic — the largest in recent years — followed by markedly lower burdens in 2022–2025, with year-to-year fluctuation driven by rainfall, flooding, displacement, and WASH conditions.</w:t>
      </w:r>
    </w:p>
    <w:p>
      <w:pPr>
        <w:jc w:val="both"/>
      </w:pPr>
      <w:r>
        <w:t>Table 7: Nationally reported cholera burden, Nigeria (NCDC situation reports).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Year</w:t>
            </w:r>
          </w:p>
        </w:tc>
        <w:tc>
          <w:tcPr>
            <w:tcW w:type="dxa" w:w="1234"/>
          </w:tcPr>
          <w:p>
            <w:r/>
            <w:r>
              <w:rPr>
                <w:b/>
                <w:sz w:val="18"/>
              </w:rPr>
              <w:t>Suspected Cases</w:t>
            </w:r>
          </w:p>
        </w:tc>
        <w:tc>
          <w:tcPr>
            <w:tcW w:type="dxa" w:w="1234"/>
          </w:tcPr>
          <w:p>
            <w:r/>
            <w:r>
              <w:rPr>
                <w:b/>
                <w:sz w:val="18"/>
              </w:rPr>
              <w:t>Deaths</w:t>
            </w:r>
          </w:p>
        </w:tc>
        <w:tc>
          <w:tcPr>
            <w:tcW w:type="dxa" w:w="1234"/>
          </w:tcPr>
          <w:p>
            <w:r/>
            <w:r>
              <w:rPr>
                <w:b/>
                <w:sz w:val="18"/>
              </w:rPr>
              <w:t>CFR</w:t>
            </w:r>
          </w:p>
        </w:tc>
        <w:tc>
          <w:tcPr>
            <w:tcW w:type="dxa" w:w="1234"/>
          </w:tcPr>
          <w:p>
            <w:r/>
            <w:r>
              <w:rPr>
                <w:b/>
                <w:sz w:val="18"/>
              </w:rPr>
              <w:t>States Reporting</w:t>
            </w:r>
          </w:p>
        </w:tc>
        <w:tc>
          <w:tcPr>
            <w:tcW w:type="dxa" w:w="1234"/>
          </w:tcPr>
          <w:p>
            <w:r/>
            <w:r>
              <w:rPr>
                <w:b/>
                <w:sz w:val="18"/>
              </w:rPr>
              <w:t>Reporting basis</w:t>
            </w:r>
          </w:p>
        </w:tc>
        <w:tc>
          <w:tcPr>
            <w:tcW w:type="dxa" w:w="1234"/>
          </w:tcPr>
          <w:p>
            <w:r/>
            <w:r>
              <w:rPr>
                <w:b/>
                <w:sz w:val="18"/>
              </w:rPr>
              <w:t>Source</w:t>
            </w:r>
          </w:p>
        </w:tc>
      </w:tr>
      <w:tr>
        <w:tc>
          <w:tcPr>
            <w:tcW w:type="dxa" w:w="1234"/>
          </w:tcPr>
          <w:p>
            <w:r/>
            <w:r>
              <w:rPr>
                <w:sz w:val="18"/>
              </w:rPr>
              <w:t>2021</w:t>
            </w:r>
          </w:p>
        </w:tc>
        <w:tc>
          <w:tcPr>
            <w:tcW w:type="dxa" w:w="1234"/>
          </w:tcPr>
          <w:p>
            <w:r/>
            <w:r>
              <w:rPr>
                <w:sz w:val="18"/>
              </w:rPr>
              <w:t>111,062</w:t>
            </w:r>
          </w:p>
        </w:tc>
        <w:tc>
          <w:tcPr>
            <w:tcW w:type="dxa" w:w="1234"/>
          </w:tcPr>
          <w:p>
            <w:r/>
            <w:r>
              <w:rPr>
                <w:sz w:val="18"/>
              </w:rPr>
              <w:t>3,604</w:t>
            </w:r>
          </w:p>
        </w:tc>
        <w:tc>
          <w:tcPr>
            <w:tcW w:type="dxa" w:w="1234"/>
          </w:tcPr>
          <w:p>
            <w:r/>
            <w:r>
              <w:rPr>
                <w:sz w:val="18"/>
              </w:rPr>
              <w:t>3.2%</w:t>
            </w:r>
          </w:p>
        </w:tc>
        <w:tc>
          <w:tcPr>
            <w:tcW w:type="dxa" w:w="1234"/>
          </w:tcPr>
          <w:p>
            <w:r/>
            <w:r>
              <w:rPr>
                <w:sz w:val="18"/>
              </w:rPr>
              <w:t>33 states + FCT</w:t>
            </w:r>
          </w:p>
        </w:tc>
        <w:tc>
          <w:tcPr>
            <w:tcW w:type="dxa" w:w="1234"/>
          </w:tcPr>
          <w:p>
            <w:r/>
            <w:r>
              <w:rPr>
                <w:sz w:val="18"/>
              </w:rPr>
              <w:t>Full year, Epi Wk 1–52</w:t>
            </w:r>
          </w:p>
        </w:tc>
        <w:tc>
          <w:tcPr>
            <w:tcW w:type="dxa" w:w="1234"/>
          </w:tcPr>
          <w:p>
            <w:r/>
            <w:r>
              <w:rPr>
                <w:sz w:val="18"/>
              </w:rPr>
              <w:t>NCDC SitRep Epi Wk 52, 2021</w:t>
            </w:r>
          </w:p>
        </w:tc>
      </w:tr>
      <w:tr>
        <w:tc>
          <w:tcPr>
            <w:tcW w:type="dxa" w:w="1234"/>
          </w:tcPr>
          <w:p>
            <w:r/>
            <w:r>
              <w:rPr>
                <w:sz w:val="18"/>
              </w:rPr>
              <w:t>2022</w:t>
            </w:r>
          </w:p>
        </w:tc>
        <w:tc>
          <w:tcPr>
            <w:tcW w:type="dxa" w:w="1234"/>
          </w:tcPr>
          <w:p>
            <w:r/>
            <w:r>
              <w:rPr>
                <w:sz w:val="18"/>
              </w:rPr>
              <w:t>≈23,550</w:t>
            </w:r>
          </w:p>
        </w:tc>
        <w:tc>
          <w:tcPr>
            <w:tcW w:type="dxa" w:w="1234"/>
          </w:tcPr>
          <w:p>
            <w:r/>
            <w:r>
              <w:rPr>
                <w:sz w:val="18"/>
              </w:rPr>
              <w:t>≥583</w:t>
            </w:r>
          </w:p>
        </w:tc>
        <w:tc>
          <w:tcPr>
            <w:tcW w:type="dxa" w:w="1234"/>
          </w:tcPr>
          <w:p>
            <w:r/>
            <w:r>
              <w:rPr>
                <w:sz w:val="18"/>
              </w:rPr>
              <w:t>2.5%</w:t>
            </w:r>
          </w:p>
        </w:tc>
        <w:tc>
          <w:tcPr>
            <w:tcW w:type="dxa" w:w="1234"/>
          </w:tcPr>
          <w:p>
            <w:r/>
            <w:r>
              <w:rPr>
                <w:sz w:val="18"/>
              </w:rPr>
              <w:t>33 states, 270 LGAs</w:t>
            </w:r>
          </w:p>
        </w:tc>
        <w:tc>
          <w:tcPr>
            <w:tcW w:type="dxa" w:w="1234"/>
          </w:tcPr>
          <w:p>
            <w:r/>
            <w:r>
              <w:rPr>
                <w:sz w:val="18"/>
              </w:rPr>
              <w:t>Cumulative to Epi Wk 47</w:t>
            </w:r>
          </w:p>
        </w:tc>
        <w:tc>
          <w:tcPr>
            <w:tcW w:type="dxa" w:w="1234"/>
          </w:tcPr>
          <w:p>
            <w:r/>
            <w:r>
              <w:rPr>
                <w:sz w:val="18"/>
              </w:rPr>
              <w:t>NCDC SitRep Wks 44–47, 2022</w:t>
            </w:r>
          </w:p>
        </w:tc>
      </w:tr>
      <w:tr>
        <w:tc>
          <w:tcPr>
            <w:tcW w:type="dxa" w:w="1234"/>
          </w:tcPr>
          <w:p>
            <w:r/>
            <w:r>
              <w:rPr>
                <w:sz w:val="18"/>
              </w:rPr>
              <w:t>2023</w:t>
            </w:r>
          </w:p>
        </w:tc>
        <w:tc>
          <w:tcPr>
            <w:tcW w:type="dxa" w:w="1234"/>
          </w:tcPr>
          <w:p>
            <w:r/>
            <w:r>
              <w:rPr>
                <w:sz w:val="18"/>
              </w:rPr>
              <w:t>Not published as an absolute annual total</w:t>
            </w:r>
          </w:p>
        </w:tc>
        <w:tc>
          <w:tcPr>
            <w:tcW w:type="dxa" w:w="1234"/>
          </w:tcPr>
          <w:p>
            <w:r/>
            <w:r>
              <w:rPr>
                <w:sz w:val="18"/>
              </w:rPr>
              <w:t>—</w:t>
            </w:r>
          </w:p>
        </w:tc>
        <w:tc>
          <w:tcPr>
            <w:tcW w:type="dxa" w:w="1234"/>
          </w:tcPr>
          <w:p>
            <w:r/>
            <w:r>
              <w:rPr>
                <w:sz w:val="18"/>
              </w:rPr>
              <w:t>—</w:t>
            </w:r>
          </w:p>
        </w:tc>
        <w:tc>
          <w:tcPr>
            <w:tcW w:type="dxa" w:w="1234"/>
          </w:tcPr>
          <w:p>
            <w:r/>
            <w:r>
              <w:rPr>
                <w:sz w:val="18"/>
              </w:rPr>
              <w:t>Variable</w:t>
            </w:r>
          </w:p>
        </w:tc>
        <w:tc>
          <w:tcPr>
            <w:tcW w:type="dxa" w:w="1234"/>
          </w:tcPr>
          <w:p>
            <w:r/>
            <w:r>
              <w:rPr>
                <w:sz w:val="18"/>
              </w:rPr>
              <w:t>NCDC reported a reduction of approximately 85% in cases and 79% in deaths relative to 2022</w:t>
            </w:r>
          </w:p>
        </w:tc>
        <w:tc>
          <w:tcPr>
            <w:tcW w:type="dxa" w:w="1234"/>
          </w:tcPr>
          <w:p>
            <w:r/>
            <w:r>
              <w:rPr>
                <w:sz w:val="18"/>
              </w:rPr>
              <w:t>NCDC SitRep Wks 48–52, 2023</w:t>
            </w:r>
          </w:p>
        </w:tc>
      </w:tr>
      <w:tr>
        <w:tc>
          <w:tcPr>
            <w:tcW w:type="dxa" w:w="1234"/>
          </w:tcPr>
          <w:p>
            <w:r/>
            <w:r>
              <w:rPr>
                <w:sz w:val="18"/>
              </w:rPr>
              <w:t>2024</w:t>
            </w:r>
          </w:p>
        </w:tc>
        <w:tc>
          <w:tcPr>
            <w:tcW w:type="dxa" w:w="1234"/>
          </w:tcPr>
          <w:p>
            <w:r/>
            <w:r>
              <w:rPr>
                <w:sz w:val="18"/>
              </w:rPr>
              <w:t>4,809</w:t>
            </w:r>
          </w:p>
        </w:tc>
        <w:tc>
          <w:tcPr>
            <w:tcW w:type="dxa" w:w="1234"/>
          </w:tcPr>
          <w:p>
            <w:r/>
            <w:r>
              <w:rPr>
                <w:sz w:val="18"/>
              </w:rPr>
              <w:t>156</w:t>
            </w:r>
          </w:p>
        </w:tc>
        <w:tc>
          <w:tcPr>
            <w:tcW w:type="dxa" w:w="1234"/>
          </w:tcPr>
          <w:p>
            <w:r/>
            <w:r>
              <w:rPr>
                <w:sz w:val="18"/>
              </w:rPr>
              <w:t>3.2%</w:t>
            </w:r>
          </w:p>
        </w:tc>
        <w:tc>
          <w:tcPr>
            <w:tcW w:type="dxa" w:w="1234"/>
          </w:tcPr>
          <w:p>
            <w:r/>
            <w:r>
              <w:rPr>
                <w:sz w:val="18"/>
              </w:rPr>
              <w:t>35 states</w:t>
            </w:r>
          </w:p>
        </w:tc>
        <w:tc>
          <w:tcPr>
            <w:tcW w:type="dxa" w:w="1234"/>
          </w:tcPr>
          <w:p>
            <w:r/>
            <w:r>
              <w:rPr>
                <w:sz w:val="18"/>
              </w:rPr>
              <w:t>Cumulative to 21 July 2024</w:t>
            </w:r>
          </w:p>
        </w:tc>
        <w:tc>
          <w:tcPr>
            <w:tcW w:type="dxa" w:w="1234"/>
          </w:tcPr>
          <w:p>
            <w:r/>
            <w:r>
              <w:rPr>
                <w:sz w:val="18"/>
              </w:rPr>
              <w:t>NCDC SitRep 2024</w:t>
            </w:r>
          </w:p>
        </w:tc>
      </w:tr>
      <w:tr>
        <w:tc>
          <w:tcPr>
            <w:tcW w:type="dxa" w:w="1234"/>
          </w:tcPr>
          <w:p>
            <w:r/>
            <w:r>
              <w:rPr>
                <w:sz w:val="18"/>
              </w:rPr>
              <w:t>2025</w:t>
            </w:r>
          </w:p>
        </w:tc>
        <w:tc>
          <w:tcPr>
            <w:tcW w:type="dxa" w:w="1234"/>
          </w:tcPr>
          <w:p>
            <w:r/>
            <w:r>
              <w:rPr>
                <w:sz w:val="18"/>
              </w:rPr>
              <w:t>1,307</w:t>
            </w:r>
          </w:p>
        </w:tc>
        <w:tc>
          <w:tcPr>
            <w:tcW w:type="dxa" w:w="1234"/>
          </w:tcPr>
          <w:p>
            <w:r/>
            <w:r>
              <w:rPr>
                <w:sz w:val="18"/>
              </w:rPr>
              <w:t>34</w:t>
            </w:r>
          </w:p>
        </w:tc>
        <w:tc>
          <w:tcPr>
            <w:tcW w:type="dxa" w:w="1234"/>
          </w:tcPr>
          <w:p>
            <w:r/>
            <w:r>
              <w:rPr>
                <w:sz w:val="18"/>
              </w:rPr>
              <w:t>2.6%</w:t>
            </w:r>
          </w:p>
        </w:tc>
        <w:tc>
          <w:tcPr>
            <w:tcW w:type="dxa" w:w="1234"/>
          </w:tcPr>
          <w:p>
            <w:r/>
            <w:r>
              <w:rPr>
                <w:sz w:val="18"/>
              </w:rPr>
              <w:t>30 states, 98 LGAs</w:t>
            </w:r>
          </w:p>
        </w:tc>
        <w:tc>
          <w:tcPr>
            <w:tcW w:type="dxa" w:w="1234"/>
          </w:tcPr>
          <w:p>
            <w:r/>
            <w:r>
              <w:rPr>
                <w:sz w:val="18"/>
              </w:rPr>
              <w:t>Cumulative to 20 April 2025</w:t>
            </w:r>
          </w:p>
        </w:tc>
        <w:tc>
          <w:tcPr>
            <w:tcW w:type="dxa" w:w="1234"/>
          </w:tcPr>
          <w:p>
            <w:r/>
            <w:r>
              <w:rPr>
                <w:sz w:val="18"/>
              </w:rPr>
              <w:t>UNICEF/NCDC, 2025</w:t>
            </w:r>
          </w:p>
        </w:tc>
      </w:tr>
    </w:tbl>
    <w:p>
      <w:pPr>
        <w:jc w:val="both"/>
      </w:pPr>
      <w:r>
        <w:t>Table 7 must be read as a series of officially published reporting snapshots rather than as a set of directly comparable annual totals. The 2021 figure is a completed full-year count, whereas the 2024 and 2025 figures are cumulative year-to-date counts truncated in July and April respectively (NCDC, 2024; UNICEF/NCDC, 2025) and will therefore understate their full years. For 2023, NCDC published a proportional reduction rather than an absolute annual total; that relative figure is reported here as published and no absolute value has been imputed for it. Cross-year comparison of these values without accounting for differing reporting windows would be misleading.</w:t>
      </w:r>
    </w:p>
    <w:p>
      <w:pPr>
        <w:jc w:val="center"/>
      </w:pPr>
      <w:r>
        <w:drawing>
          <wp:inline xmlns:a="http://schemas.openxmlformats.org/drawingml/2006/main" xmlns:pic="http://schemas.openxmlformats.org/drawingml/2006/picture">
            <wp:extent cx="6126480" cy="3515764"/>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16"/>
                    <a:stretch>
                      <a:fillRect/>
                    </a:stretch>
                  </pic:blipFill>
                  <pic:spPr>
                    <a:xfrm>
                      <a:off x="0" y="0"/>
                      <a:ext cx="6126480" cy="3515764"/>
                    </a:xfrm>
                    <a:prstGeom prst="rect"/>
                  </pic:spPr>
                </pic:pic>
              </a:graphicData>
            </a:graphic>
          </wp:inline>
        </w:drawing>
      </w:r>
    </w:p>
    <w:p>
      <w:pPr>
        <w:jc w:val="center"/>
      </w:pPr>
      <w:r>
        <w:rPr>
          <w:i/>
          <w:sz w:val="18"/>
        </w:rPr>
        <w:t>Figure 8: Nationally reported cholera burden, Nigeria (NCDC annual/SitRep compilation, 2021–2025). The 2021 epidemic (111,062 suspected cases; 3,604 deaths) is the largest recent national outbreak. Bars for 2024 and 2025 reflect part-year cumulative reporting and are not directly comparable with the completed 2021 full-year count. State-level official reporting; not disaggregated to 774 LGAs.</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6126480" cy="3212916"/>
            <wp:docPr id="9" name="Picture 9"/>
            <wp:cNvGraphicFramePr>
              <a:graphicFrameLocks noChangeAspect="1"/>
            </wp:cNvGraphicFramePr>
            <a:graphic>
              <a:graphicData uri="http://schemas.openxmlformats.org/drawingml/2006/picture">
                <pic:pic>
                  <pic:nvPicPr>
                    <pic:cNvPr id="0" name="fig_lag_signal.png"/>
                    <pic:cNvPicPr/>
                  </pic:nvPicPr>
                  <pic:blipFill>
                    <a:blip r:embed="rId17"/>
                    <a:stretch>
                      <a:fillRect/>
                    </a:stretch>
                  </pic:blipFill>
                  <pic:spPr>
                    <a:xfrm>
                      <a:off x="0" y="0"/>
                      <a:ext cx="6126480" cy="3212916"/>
                    </a:xfrm>
                    <a:prstGeom prst="rect"/>
                  </pic:spPr>
                </pic:pic>
              </a:graphicData>
            </a:graphic>
          </wp:inline>
        </w:drawing>
      </w:r>
    </w:p>
    <w:p>
      <w:pPr>
        <w:jc w:val="center"/>
      </w:pPr>
      <w:r>
        <w:rPr>
          <w:i/>
          <w:sz w:val="18"/>
        </w:rPr>
        <w:t>Figure 9: Exploratory flood–cholera temporal association (decision-support signal). Dependence and multiplicity are not corrected; no causal or predictive claim is made.</w:t>
      </w:r>
    </w:p>
    <w:p>
      <w:pPr>
        <w:pStyle w:val="Heading1"/>
      </w:pPr>
      <w:r>
        <w:rPr>
          <w:color w:val="000000"/>
        </w:rPr>
        <w:t>6. AI Surveillance Copilot: Capability and Measured Limits</w:t>
      </w:r>
    </w:p>
    <w:p>
      <w:pPr>
        <w:jc w:val="both"/>
      </w:pPr>
      <w:r>
        <w:rPr>
          <w:b w:val="0"/>
          <w:i w:val="0"/>
          <w:sz w:val="22"/>
        </w:rPr>
        <w:t>This section reports the fourth tier of evidence: a measurement of software behaviour. It makes no epidemiological claim. Its purpose is to establish what the assisted-analytics layer can and cannot reliably do, because an unmeasured AI component in a surveillance platform is an operational liability rather than a feature.</w:t>
      </w:r>
    </w:p>
    <w:p>
      <w:pPr>
        <w:pStyle w:val="Heading2"/>
      </w:pPr>
      <w:r>
        <w:rPr>
          <w:color w:val="000000"/>
        </w:rPr>
        <w:t>6.1 Rule-Based Alerting and Assisted Analytics</w:t>
      </w:r>
    </w:p>
    <w:p>
      <w:pPr>
        <w:jc w:val="both"/>
      </w:pPr>
      <w:r>
        <w:rPr>
          <w:b w:val="0"/>
          <w:i w:val="0"/>
          <w:sz w:val="22"/>
        </w:rPr>
        <w:t>Beyond the epidemiological demonstrations, the platform provides a configurable rule-based alert engine (Figure 10) supporting case-surge, high-risk-score and recent-flooding triggers, together with PDF and CSV report export. The alert engine's epidemiological performance — alert sensitivity, specificity and timeliness against observed outbreaks — requires prospective evaluation and is not claimed here.</w:t>
      </w:r>
    </w:p>
    <w:p>
      <w:pPr>
        <w:jc w:val="center"/>
      </w:pPr>
      <w:r>
        <w:drawing>
          <wp:inline xmlns:a="http://schemas.openxmlformats.org/drawingml/2006/main" xmlns:pic="http://schemas.openxmlformats.org/drawingml/2006/picture">
            <wp:extent cx="6126480" cy="3446145"/>
            <wp:docPr id="10" name="Picture 10"/>
            <wp:cNvGraphicFramePr>
              <a:graphicFrameLocks noChangeAspect="1"/>
            </wp:cNvGraphicFramePr>
            <a:graphic>
              <a:graphicData uri="http://schemas.openxmlformats.org/drawingml/2006/picture">
                <pic:pic>
                  <pic:nvPicPr>
                    <pic:cNvPr id="0" name="app_alerts.png"/>
                    <pic:cNvPicPr/>
                  </pic:nvPicPr>
                  <pic:blipFill>
                    <a:blip r:embed="rId18"/>
                    <a:stretch>
                      <a:fillRect/>
                    </a:stretch>
                  </pic:blipFill>
                  <pic:spPr>
                    <a:xfrm>
                      <a:off x="0" y="0"/>
                      <a:ext cx="6126480" cy="3446145"/>
                    </a:xfrm>
                    <a:prstGeom prst="rect"/>
                  </pic:spPr>
                </pic:pic>
              </a:graphicData>
            </a:graphic>
          </wp:inline>
        </w:drawing>
      </w:r>
    </w:p>
    <w:p>
      <w:pPr>
        <w:jc w:val="center"/>
      </w:pPr>
      <w:r>
        <w:rPr>
          <w:i/>
          <w:sz w:val="18"/>
        </w:rPr>
        <w:t>Figure 10: Alerts &amp; Notifications with populated severity-ranked alerts (case spike, flood exposure, rainfall threshold, risk-band change) spanning Cross River pilot LGAs and national LGAs. Screenshot captured with active alert rows.</w:t>
      </w:r>
    </w:p>
    <w:p>
      <w:pPr>
        <w:jc w:val="both"/>
      </w:pPr>
      <w:r>
        <w:rPr>
          <w:b w:val="0"/>
          <w:i w:val="0"/>
          <w:sz w:val="22"/>
        </w:rPr>
        <w:t>Figure 11 shows the AI Surveillance Copilot sidebar open on the national dashboard during a live query. Figure 12 shows the dedicated Agent Explorer page used for copilot-assisted interactive dashboards. The Cross River 2021 pilot aggregate is used here as a grounded demonstration dataset; the national architecture remains 774 LGAs.</w:t>
      </w:r>
    </w:p>
    <w:p>
      <w:pPr>
        <w:jc w:val="center"/>
      </w:pPr>
      <w:r>
        <w:drawing>
          <wp:inline xmlns:a="http://schemas.openxmlformats.org/drawingml/2006/main" xmlns:pic="http://schemas.openxmlformats.org/drawingml/2006/picture">
            <wp:extent cx="6126480" cy="3446145"/>
            <wp:docPr id="11" name="Picture 11"/>
            <wp:cNvGraphicFramePr>
              <a:graphicFrameLocks noChangeAspect="1"/>
            </wp:cNvGraphicFramePr>
            <a:graphic>
              <a:graphicData uri="http://schemas.openxmlformats.org/drawingml/2006/picture">
                <pic:pic>
                  <pic:nvPicPr>
                    <pic:cNvPr id="0" name="app_surveillance_copilot.png"/>
                    <pic:cNvPicPr/>
                  </pic:nvPicPr>
                  <pic:blipFill>
                    <a:blip r:embed="rId19"/>
                    <a:stretch>
                      <a:fillRect/>
                    </a:stretch>
                  </pic:blipFill>
                  <pic:spPr>
                    <a:xfrm>
                      <a:off x="0" y="0"/>
                      <a:ext cx="6126480" cy="3446145"/>
                    </a:xfrm>
                    <a:prstGeom prst="rect"/>
                  </pic:spPr>
                </pic:pic>
              </a:graphicData>
            </a:graphic>
          </wp:inline>
        </w:drawing>
      </w:r>
    </w:p>
    <w:p>
      <w:pPr>
        <w:jc w:val="center"/>
      </w:pPr>
      <w:r>
        <w:rPr>
          <w:i/>
          <w:sz w:val="18"/>
        </w:rPr>
        <w:t>Figure 11: AI Surveillance Copilot (sidebar assistant) open on the national dashboard with a live surveillance query spanning the 774-LGA risk context and Cross River pilot signals. The assistant is a grounded analytics aid, not an autonomous outbreak-confirmation instrument.</w:t>
      </w:r>
    </w:p>
    <w:p>
      <w:pPr>
        <w:jc w:val="center"/>
      </w:pPr>
      <w:r>
        <w:drawing>
          <wp:inline xmlns:a="http://schemas.openxmlformats.org/drawingml/2006/main" xmlns:pic="http://schemas.openxmlformats.org/drawingml/2006/picture">
            <wp:extent cx="6126480" cy="3446145"/>
            <wp:docPr id="12" name="Picture 12"/>
            <wp:cNvGraphicFramePr>
              <a:graphicFrameLocks noChangeAspect="1"/>
            </wp:cNvGraphicFramePr>
            <a:graphic>
              <a:graphicData uri="http://schemas.openxmlformats.org/drawingml/2006/picture">
                <pic:pic>
                  <pic:nvPicPr>
                    <pic:cNvPr id="0" name="app_agent_explorer.png"/>
                    <pic:cNvPicPr/>
                  </pic:nvPicPr>
                  <pic:blipFill>
                    <a:blip r:embed="rId20"/>
                    <a:stretch>
                      <a:fillRect/>
                    </a:stretch>
                  </pic:blipFill>
                  <pic:spPr>
                    <a:xfrm>
                      <a:off x="0" y="0"/>
                      <a:ext cx="6126480" cy="3446145"/>
                    </a:xfrm>
                    <a:prstGeom prst="rect"/>
                  </pic:spPr>
                </pic:pic>
              </a:graphicData>
            </a:graphic>
          </wp:inline>
        </w:drawing>
      </w:r>
    </w:p>
    <w:p>
      <w:pPr>
        <w:jc w:val="center"/>
      </w:pPr>
      <w:r>
        <w:rPr>
          <w:i/>
          <w:sz w:val="18"/>
        </w:rPr>
        <w:t>Figure 12: Agent Explorer dedicated page — copilot-assisted interactive dashboard workspace demonstrated with the Cross River 2021 sentinel pilot line-list aggregate.</w:t>
      </w:r>
    </w:p>
    <w:p>
      <w:pPr>
        <w:pStyle w:val="Heading2"/>
      </w:pPr>
      <w:r>
        <w:rPr>
          <w:color w:val="000000"/>
        </w:rPr>
        <w:t>6.2 Schema-Detection Benchmark</w:t>
      </w:r>
    </w:p>
    <w:p>
      <w:pPr>
        <w:jc w:val="both"/>
      </w:pPr>
      <w:r>
        <w:t>A single successful demonstration such as Figure 12 establishes that the capability exists; it does not establish that it is reliable. The benchmark described in Section 3.7 was therefore run over twelve schema variants of the same observed dataset under two prompting conditions, with three repetitions each. All 72 invocations were live; none entered the offline fallback path. One trial returned an HTTP 429 quota response, was retried after backoff, and completed successfully. Results are reported in Table 8 and Figure 13.</w:t>
      </w:r>
    </w:p>
    <w:p>
      <w:pPr>
        <w:jc w:val="both"/>
      </w:pPr>
      <w:r>
        <w:t>Table 8: Surveillance Copilot schema-detection performance, 72 live trials (percentages of trials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Unconstrained prompt (n=36)</w:t>
            </w:r>
          </w:p>
        </w:tc>
        <w:tc>
          <w:tcPr>
            <w:tcW w:type="dxa" w:w="2880"/>
          </w:tcPr>
          <w:p>
            <w:r/>
            <w:r>
              <w:rPr>
                <w:b/>
                <w:sz w:val="18"/>
              </w:rPr>
              <w:t>Schema-grounded prompt (n=36)</w:t>
            </w:r>
          </w:p>
        </w:tc>
      </w:tr>
      <w:tr>
        <w:tc>
          <w:tcPr>
            <w:tcW w:type="dxa" w:w="2880"/>
          </w:tcPr>
          <w:p>
            <w:r/>
            <w:r>
              <w:rPr>
                <w:sz w:val="18"/>
              </w:rPr>
              <w:t>Tool invoked (generate_ui_spec called)</w:t>
            </w:r>
          </w:p>
        </w:tc>
        <w:tc>
          <w:tcPr>
            <w:tcW w:type="dxa" w:w="2880"/>
          </w:tcPr>
          <w:p>
            <w:r/>
            <w:r>
              <w:rPr>
                <w:sz w:val="18"/>
              </w:rPr>
              <w:t>100.0%</w:t>
            </w:r>
          </w:p>
        </w:tc>
        <w:tc>
          <w:tcPr>
            <w:tcW w:type="dxa" w:w="2880"/>
          </w:tcPr>
          <w:p>
            <w:r/>
            <w:r>
              <w:rPr>
                <w:sz w:val="18"/>
              </w:rPr>
              <w:t>100.0%</w:t>
            </w:r>
          </w:p>
        </w:tc>
      </w:tr>
      <w:tr>
        <w:tc>
          <w:tcPr>
            <w:tcW w:type="dxa" w:w="2880"/>
          </w:tcPr>
          <w:p>
            <w:r/>
            <w:r>
              <w:rPr>
                <w:sz w:val="18"/>
              </w:rPr>
              <w:t>Emitted a syntactically valid specification</w:t>
            </w:r>
          </w:p>
        </w:tc>
        <w:tc>
          <w:tcPr>
            <w:tcW w:type="dxa" w:w="2880"/>
          </w:tcPr>
          <w:p>
            <w:r/>
            <w:r>
              <w:rPr>
                <w:sz w:val="18"/>
              </w:rPr>
              <w:t>100.0%</w:t>
            </w:r>
          </w:p>
        </w:tc>
        <w:tc>
          <w:tcPr>
            <w:tcW w:type="dxa" w:w="2880"/>
          </w:tcPr>
          <w:p>
            <w:r/>
            <w:r>
              <w:rPr>
                <w:sz w:val="18"/>
              </w:rPr>
              <w:t>100.0%</w:t>
            </w:r>
          </w:p>
        </w:tc>
      </w:tr>
      <w:tr>
        <w:tc>
          <w:tcPr>
            <w:tcW w:type="dxa" w:w="2880"/>
          </w:tcPr>
          <w:p>
            <w:r/>
            <w:r>
              <w:rPr>
                <w:sz w:val="18"/>
              </w:rPr>
              <w:t>Schema grounding (no invented column names)</w:t>
            </w:r>
          </w:p>
        </w:tc>
        <w:tc>
          <w:tcPr>
            <w:tcW w:type="dxa" w:w="2880"/>
          </w:tcPr>
          <w:p>
            <w:r/>
            <w:r>
              <w:rPr>
                <w:sz w:val="18"/>
              </w:rPr>
              <w:t>2.8%</w:t>
            </w:r>
          </w:p>
        </w:tc>
        <w:tc>
          <w:tcPr>
            <w:tcW w:type="dxa" w:w="2880"/>
          </w:tcPr>
          <w:p>
            <w:r/>
            <w:r>
              <w:rPr>
                <w:sz w:val="18"/>
              </w:rPr>
              <w:t>100.0%</w:t>
            </w:r>
          </w:p>
        </w:tc>
      </w:tr>
      <w:tr>
        <w:tc>
          <w:tcPr>
            <w:tcW w:type="dxa" w:w="2880"/>
          </w:tcPr>
          <w:p>
            <w:r/>
            <w:r>
              <w:rPr>
                <w:sz w:val="18"/>
              </w:rPr>
              <w:t>LGA field correctly bound</w:t>
            </w:r>
          </w:p>
        </w:tc>
        <w:tc>
          <w:tcPr>
            <w:tcW w:type="dxa" w:w="2880"/>
          </w:tcPr>
          <w:p>
            <w:r/>
            <w:r>
              <w:rPr>
                <w:sz w:val="18"/>
              </w:rPr>
              <w:t>47.2%</w:t>
            </w:r>
          </w:p>
        </w:tc>
        <w:tc>
          <w:tcPr>
            <w:tcW w:type="dxa" w:w="2880"/>
          </w:tcPr>
          <w:p>
            <w:r/>
            <w:r>
              <w:rPr>
                <w:sz w:val="18"/>
              </w:rPr>
              <w:t>88.9%</w:t>
            </w:r>
          </w:p>
        </w:tc>
      </w:tr>
      <w:tr>
        <w:tc>
          <w:tcPr>
            <w:tcW w:type="dxa" w:w="2880"/>
          </w:tcPr>
          <w:p>
            <w:r/>
            <w:r>
              <w:rPr>
                <w:sz w:val="18"/>
              </w:rPr>
              <w:t>Case-count field correctly bound</w:t>
            </w:r>
          </w:p>
        </w:tc>
        <w:tc>
          <w:tcPr>
            <w:tcW w:type="dxa" w:w="2880"/>
          </w:tcPr>
          <w:p>
            <w:r/>
            <w:r>
              <w:rPr>
                <w:sz w:val="18"/>
              </w:rPr>
              <w:t>33.3%</w:t>
            </w:r>
          </w:p>
        </w:tc>
        <w:tc>
          <w:tcPr>
            <w:tcW w:type="dxa" w:w="2880"/>
          </w:tcPr>
          <w:p>
            <w:r/>
            <w:r>
              <w:rPr>
                <w:sz w:val="18"/>
              </w:rPr>
              <w:t>91.7%</w:t>
            </w:r>
          </w:p>
        </w:tc>
      </w:tr>
      <w:tr>
        <w:tc>
          <w:tcPr>
            <w:tcW w:type="dxa" w:w="2880"/>
          </w:tcPr>
          <w:p>
            <w:r/>
            <w:r>
              <w:rPr>
                <w:sz w:val="18"/>
              </w:rPr>
              <w:t>Death-count field correctly bound</w:t>
            </w:r>
          </w:p>
        </w:tc>
        <w:tc>
          <w:tcPr>
            <w:tcW w:type="dxa" w:w="2880"/>
          </w:tcPr>
          <w:p>
            <w:r/>
            <w:r>
              <w:rPr>
                <w:sz w:val="18"/>
              </w:rPr>
              <w:t>24.2%</w:t>
            </w:r>
          </w:p>
        </w:tc>
        <w:tc>
          <w:tcPr>
            <w:tcW w:type="dxa" w:w="2880"/>
          </w:tcPr>
          <w:p>
            <w:r/>
            <w:r>
              <w:rPr>
                <w:sz w:val="18"/>
              </w:rPr>
              <w:t>90.9%</w:t>
            </w:r>
          </w:p>
        </w:tc>
      </w:tr>
      <w:tr>
        <w:tc>
          <w:tcPr>
            <w:tcW w:type="dxa" w:w="2880"/>
          </w:tcPr>
          <w:p>
            <w:r/>
            <w:r>
              <w:rPr>
                <w:sz w:val="18"/>
              </w:rPr>
              <w:t>Total invented column references</w:t>
            </w:r>
          </w:p>
        </w:tc>
        <w:tc>
          <w:tcPr>
            <w:tcW w:type="dxa" w:w="2880"/>
          </w:tcPr>
          <w:p>
            <w:r/>
            <w:r>
              <w:rPr>
                <w:sz w:val="18"/>
              </w:rPr>
              <w:t>160</w:t>
            </w:r>
          </w:p>
        </w:tc>
        <w:tc>
          <w:tcPr>
            <w:tcW w:type="dxa" w:w="2880"/>
          </w:tcPr>
          <w:p>
            <w:r/>
            <w:r>
              <w:rPr>
                <w:sz w:val="18"/>
              </w:rPr>
              <w:t>0</w:t>
            </w:r>
          </w:p>
        </w:tc>
      </w:tr>
      <w:tr>
        <w:tc>
          <w:tcPr>
            <w:tcW w:type="dxa" w:w="2880"/>
          </w:tcPr>
          <w:p>
            <w:r/>
            <w:r>
              <w:rPr>
                <w:sz w:val="18"/>
              </w:rPr>
              <w:t>Mean latency per invocation</w:t>
            </w:r>
          </w:p>
        </w:tc>
        <w:tc>
          <w:tcPr>
            <w:tcW w:type="dxa" w:w="2880"/>
          </w:tcPr>
          <w:p>
            <w:r/>
            <w:r>
              <w:rPr>
                <w:sz w:val="18"/>
              </w:rPr>
              <w:t>10.3 s</w:t>
            </w:r>
          </w:p>
        </w:tc>
        <w:tc>
          <w:tcPr>
            <w:tcW w:type="dxa" w:w="2880"/>
          </w:tcPr>
          <w:p>
            <w:r/>
            <w:r>
              <w:rPr>
                <w:sz w:val="18"/>
              </w:rPr>
              <w:t>9.9 s</w:t>
            </w:r>
          </w:p>
        </w:tc>
      </w:tr>
    </w:tbl>
    <w:p>
      <w:pPr>
        <w:jc w:val="center"/>
      </w:pPr>
      <w:r>
        <w:drawing>
          <wp:inline xmlns:a="http://schemas.openxmlformats.org/drawingml/2006/main" xmlns:pic="http://schemas.openxmlformats.org/drawingml/2006/picture">
            <wp:extent cx="6217920" cy="2292609"/>
            <wp:docPr id="13" name="Picture 13"/>
            <wp:cNvGraphicFramePr>
              <a:graphicFrameLocks noChangeAspect="1"/>
            </wp:cNvGraphicFramePr>
            <a:graphic>
              <a:graphicData uri="http://schemas.openxmlformats.org/drawingml/2006/picture">
                <pic:pic>
                  <pic:nvPicPr>
                    <pic:cNvPr id="0" name="fig_copilot_bench.png"/>
                    <pic:cNvPicPr/>
                  </pic:nvPicPr>
                  <pic:blipFill>
                    <a:blip r:embed="rId21"/>
                    <a:stretch>
                      <a:fillRect/>
                    </a:stretch>
                  </pic:blipFill>
                  <pic:spPr>
                    <a:xfrm>
                      <a:off x="0" y="0"/>
                      <a:ext cx="6217920" cy="2292609"/>
                    </a:xfrm>
                    <a:prstGeom prst="rect"/>
                  </pic:spPr>
                </pic:pic>
              </a:graphicData>
            </a:graphic>
          </wp:inline>
        </w:drawing>
      </w:r>
    </w:p>
    <w:p>
      <w:pPr>
        <w:jc w:val="center"/>
      </w:pPr>
      <w:r>
        <w:rPr>
          <w:i/>
          <w:sz w:val="18"/>
        </w:rPr>
        <w:t>Figure 13: Surveillance Copilot schema-detection benchmark (72 live Vertex AI invocations). (a) Effect of requiring a file-inspection tool call before dashboard generation, across four correctness metrics. (b) Schema grounding rate by schema difficulty class. Requiring the agent to read the file before describing it eliminates schema hallucination in every difficulty class.</w:t>
      </w:r>
    </w:p>
    <w:p>
      <w:pPr>
        <w:jc w:val="both"/>
      </w:pPr>
      <w:r>
        <w:rPr>
          <w:b w:val="0"/>
          <w:i w:val="0"/>
          <w:sz w:val="22"/>
        </w:rPr>
        <w:t>The headline finding is a failure mode, and it is severe. Under unconstrained prompting the assistant emitted at least one non-existent column name in 97.2% of trials — 160 invented column references in total across 36 invocations. The pattern of invention is diagnostic: the most frequently invented names were Latitude and Longitude (26 references each), Date (23), and the canonical epidemiological labels Deaths (17), Cases (15) and LGA (15). The model was not reading the uploaded file; it was reproducing the schema that a cholera surveillance dataset conventionally has. On the opaque variant, whose real columns are adm2_name, epi_n and epi_d, the agent confidently emitted a dashboard bound to LGA, Cases and Deaths — a specification that is syntactically valid, renders without error, and displays nothing at all.</w:t>
      </w:r>
    </w:p>
    <w:p>
      <w:pPr>
        <w:jc w:val="both"/>
      </w:pPr>
      <w:r>
        <w:rPr>
          <w:b w:val="0"/>
          <w:i w:val="0"/>
          <w:sz w:val="22"/>
        </w:rPr>
        <w:t>This is precisely the silent-failure class identified in Section 3.7, and it is the reason a single successful demonstration is inadequate evidence for an operational claim. A health officer presented with such a dashboard sees an empty chart, not an error message, and has no indication that the underlying binding was fabricated.</w:t>
      </w:r>
    </w:p>
    <w:p>
      <w:pPr>
        <w:jc w:val="both"/>
      </w:pPr>
      <w:r>
        <w:rPr>
          <w:b w:val="0"/>
          <w:i w:val="0"/>
          <w:sz w:val="22"/>
        </w:rPr>
        <w:t>The mitigation is a design change rather than a change of model. Instructing the agent to call analyze_file and read the true column names before generating a specification eliminated schema hallucination completely: 100% grounding across all twelve variants and all seven difficulty classes, with zero invented column references in 36 invocations. Correct binding of the case-count field rose from 33.3% to 91.7%, of the death-count field from 24.2% to 90.9%, and of the LGA field from 47.2% to 88.9%. The improvement carried no latency penalty — mean invocation time was marginally lower at 9.9 seconds against 10.3 seconds — because the additional tool call is offset by shorter deliberation.</w:t>
      </w:r>
    </w:p>
    <w:p>
      <w:pPr>
        <w:jc w:val="both"/>
      </w:pPr>
      <w:r>
        <w:rPr>
          <w:b w:val="0"/>
          <w:i w:val="0"/>
          <w:sz w:val="22"/>
        </w:rPr>
        <w:t>Two residual limitations are reported. First, grounding is not the same as correctness: in the dirty-header variant, where column names carry stray leading and trailing whitespace and inconsistent casing, the grounded agent referenced only real columns but still bound the wrong column to the LGA role in all three repetitions, giving 0% role accuracy on that variant despite 100% grounding. Whitespace-bearing headers therefore require deterministic normalization at ingestion rather than reliance on the model. Second, the benchmark measures schema binding on a four-row aggregate dataset from a single disease domain; generalization to large multi-sheet field returns, to other diseases, and to other model providers is not established.</w:t>
      </w:r>
    </w:p>
    <w:p>
      <w:pPr>
        <w:jc w:val="both"/>
      </w:pPr>
      <w:r>
        <w:rPr>
          <w:b w:val="0"/>
          <w:i w:val="0"/>
          <w:sz w:val="22"/>
        </w:rPr>
        <w:t>The operational conclusion is that the assisted-analytics layer is fit for use only when constrained to ground itself in the data before describing it, and that the deterministic ingestion path documented in Section 3.2.1 — not the conversational agent — must remain the authoritative route for surveillance data entering the system. The agent's value is in lowering the exploration barrier for non-specialist users, not in serving as a trusted parser.</w:t>
      </w:r>
    </w:p>
    <w:p>
      <w:pPr>
        <w:pStyle w:val="Heading1"/>
      </w:pPr>
      <w:r>
        <w:rPr>
          <w:color w:val="000000"/>
        </w:rPr>
        <w:t>7. Discussion</w:t>
      </w:r>
    </w:p>
    <w:p>
      <w:pPr>
        <w:pStyle w:val="Heading2"/>
      </w:pPr>
      <w:r>
        <w:rPr>
          <w:color w:val="000000"/>
        </w:rPr>
        <w:t>7.1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7.2 Comparison with Existing Systems</w:t>
      </w:r>
    </w:p>
    <w:p>
      <w:pPr>
        <w:jc w:val="both"/>
      </w:pPr>
      <w:r>
        <w:t>Table 9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 The comparison is one of design intent and architecture; the platforms listed are mature operational systems, whereas the hub described here is validated at pilot scale only, and Table 9 should be read with that asymmetry in mind.</w:t>
      </w:r>
    </w:p>
    <w:p>
      <w:pPr>
        <w:jc w:val="both"/>
      </w:pPr>
      <w:r>
        <w:t>Table 9: Comparative framework of climate-health intelligence platforms.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Platform</w:t>
            </w:r>
          </w:p>
        </w:tc>
        <w:tc>
          <w:tcPr>
            <w:tcW w:type="dxa" w:w="1234"/>
          </w:tcPr>
          <w:p>
            <w:r/>
            <w:r>
              <w:rPr>
                <w:b/>
                <w:sz w:val="18"/>
              </w:rPr>
              <w:t>Spatial Resolution</w:t>
            </w:r>
          </w:p>
        </w:tc>
        <w:tc>
          <w:tcPr>
            <w:tcW w:type="dxa" w:w="1234"/>
          </w:tcPr>
          <w:p>
            <w:r/>
            <w:r>
              <w:rPr>
                <w:b/>
                <w:sz w:val="18"/>
              </w:rPr>
              <w:t>Sensor Integration</w:t>
            </w:r>
          </w:p>
        </w:tc>
        <w:tc>
          <w:tcPr>
            <w:tcW w:type="dxa" w:w="1234"/>
          </w:tcPr>
          <w:p>
            <w:r/>
            <w:r>
              <w:rPr>
                <w:b/>
                <w:sz w:val="18"/>
              </w:rPr>
              <w:t>Latency</w:t>
            </w:r>
          </w:p>
        </w:tc>
        <w:tc>
          <w:tcPr>
            <w:tcW w:type="dxa" w:w="1234"/>
          </w:tcPr>
          <w:p>
            <w:r/>
            <w:r>
              <w:rPr>
                <w:b/>
                <w:sz w:val="18"/>
              </w:rPr>
              <w:t>Data Sovereignty</w:t>
            </w:r>
          </w:p>
        </w:tc>
        <w:tc>
          <w:tcPr>
            <w:tcW w:type="dxa" w:w="1234"/>
          </w:tcPr>
          <w:p>
            <w:r/>
            <w:r>
              <w:rPr>
                <w:b/>
                <w:sz w:val="18"/>
              </w:rPr>
              <w:t>Decision Support</w:t>
            </w:r>
          </w:p>
        </w:tc>
        <w:tc>
          <w:tcPr>
            <w:tcW w:type="dxa" w:w="1234"/>
          </w:tcPr>
          <w:p>
            <w:r/>
            <w:r>
              <w:rPr>
                <w:b/>
                <w:sz w:val="18"/>
              </w:rPr>
              <w:t>Validation status</w:t>
            </w:r>
          </w:p>
        </w:tc>
      </w:tr>
      <w:tr>
        <w:tc>
          <w:tcPr>
            <w:tcW w:type="dxa" w:w="1234"/>
          </w:tcPr>
          <w:p>
            <w:r/>
            <w:r>
              <w:rPr>
                <w:sz w:val="18"/>
              </w:rPr>
              <w:t>UNICEF cholera platform</w:t>
            </w:r>
          </w:p>
        </w:tc>
        <w:tc>
          <w:tcPr>
            <w:tcW w:type="dxa" w:w="1234"/>
          </w:tcPr>
          <w:p>
            <w:r/>
            <w:r>
              <w:rPr>
                <w:sz w:val="18"/>
              </w:rPr>
              <w:t>Global / Admin-1</w:t>
            </w:r>
          </w:p>
        </w:tc>
        <w:tc>
          <w:tcPr>
            <w:tcW w:type="dxa" w:w="1234"/>
          </w:tcPr>
          <w:p>
            <w:r/>
            <w:r>
              <w:rPr>
                <w:sz w:val="18"/>
              </w:rPr>
              <w:t>Precipitation, temperature</w:t>
            </w:r>
          </w:p>
        </w:tc>
        <w:tc>
          <w:tcPr>
            <w:tcW w:type="dxa" w:w="1234"/>
          </w:tcPr>
          <w:p>
            <w:r/>
            <w:r>
              <w:rPr>
                <w:sz w:val="18"/>
              </w:rPr>
              <w:t>Monthly batch</w:t>
            </w:r>
          </w:p>
        </w:tc>
        <w:tc>
          <w:tcPr>
            <w:tcW w:type="dxa" w:w="1234"/>
          </w:tcPr>
          <w:p>
            <w:r/>
            <w:r>
              <w:rPr>
                <w:sz w:val="18"/>
              </w:rPr>
              <w:t>Foreign cloud</w:t>
            </w:r>
          </w:p>
        </w:tc>
        <w:tc>
          <w:tcPr>
            <w:tcW w:type="dxa" w:w="1234"/>
          </w:tcPr>
          <w:p>
            <w:r/>
            <w:r>
              <w:rPr>
                <w:sz w:val="18"/>
              </w:rPr>
              <w:t>Static risk mapping</w:t>
            </w:r>
          </w:p>
        </w:tc>
        <w:tc>
          <w:tcPr>
            <w:tcW w:type="dxa" w:w="1234"/>
          </w:tcPr>
          <w:p>
            <w:r/>
            <w:r>
              <w:rPr>
                <w:sz w:val="18"/>
              </w:rPr>
              <w:t>Operational</w:t>
            </w:r>
          </w:p>
        </w:tc>
      </w:tr>
      <w:tr>
        <w:tc>
          <w:tcPr>
            <w:tcW w:type="dxa" w:w="1234"/>
          </w:tcPr>
          <w:p>
            <w:r/>
            <w:r>
              <w:rPr>
                <w:sz w:val="18"/>
              </w:rPr>
              <w:t>WHO Health-Earth</w:t>
            </w:r>
          </w:p>
        </w:tc>
        <w:tc>
          <w:tcPr>
            <w:tcW w:type="dxa" w:w="1234"/>
          </w:tcPr>
          <w:p>
            <w:r/>
            <w:r>
              <w:rPr>
                <w:sz w:val="18"/>
              </w:rPr>
              <w:t>Regional / continental</w:t>
            </w:r>
          </w:p>
        </w:tc>
        <w:tc>
          <w:tcPr>
            <w:tcW w:type="dxa" w:w="1234"/>
          </w:tcPr>
          <w:p>
            <w:r/>
            <w:r>
              <w:rPr>
                <w:sz w:val="18"/>
              </w:rPr>
              <w:t>Precipitation, SST</w:t>
            </w:r>
          </w:p>
        </w:tc>
        <w:tc>
          <w:tcPr>
            <w:tcW w:type="dxa" w:w="1234"/>
          </w:tcPr>
          <w:p>
            <w:r/>
            <w:r>
              <w:rPr>
                <w:sz w:val="18"/>
              </w:rPr>
              <w:t>Bi-weekly / monthly</w:t>
            </w:r>
          </w:p>
        </w:tc>
        <w:tc>
          <w:tcPr>
            <w:tcW w:type="dxa" w:w="1234"/>
          </w:tcPr>
          <w:p>
            <w:r/>
            <w:r>
              <w:rPr>
                <w:sz w:val="18"/>
              </w:rPr>
              <w:t>International servers</w:t>
            </w:r>
          </w:p>
        </w:tc>
        <w:tc>
          <w:tcPr>
            <w:tcW w:type="dxa" w:w="1234"/>
          </w:tcPr>
          <w:p>
            <w:r/>
            <w:r>
              <w:rPr>
                <w:sz w:val="18"/>
              </w:rPr>
              <w:t>Predictive modelling</w:t>
            </w:r>
          </w:p>
        </w:tc>
        <w:tc>
          <w:tcPr>
            <w:tcW w:type="dxa" w:w="1234"/>
          </w:tcPr>
          <w:p>
            <w:r/>
            <w:r>
              <w:rPr>
                <w:sz w:val="18"/>
              </w:rPr>
              <w:t>Operational</w:t>
            </w:r>
          </w:p>
        </w:tc>
      </w:tr>
      <w:tr>
        <w:tc>
          <w:tcPr>
            <w:tcW w:type="dxa" w:w="1234"/>
          </w:tcPr>
          <w:p>
            <w:r/>
            <w:r>
              <w:rPr>
                <w:sz w:val="18"/>
              </w:rPr>
              <w:t>ECDC EWARS</w:t>
            </w:r>
          </w:p>
        </w:tc>
        <w:tc>
          <w:tcPr>
            <w:tcW w:type="dxa" w:w="1234"/>
          </w:tcPr>
          <w:p>
            <w:r/>
            <w:r>
              <w:rPr>
                <w:sz w:val="18"/>
              </w:rPr>
              <w:t>National / regional</w:t>
            </w:r>
          </w:p>
        </w:tc>
        <w:tc>
          <w:tcPr>
            <w:tcW w:type="dxa" w:w="1234"/>
          </w:tcPr>
          <w:p>
            <w:r/>
            <w:r>
              <w:rPr>
                <w:sz w:val="18"/>
              </w:rPr>
              <w:t>Meteorological grids, land cover</w:t>
            </w:r>
          </w:p>
        </w:tc>
        <w:tc>
          <w:tcPr>
            <w:tcW w:type="dxa" w:w="1234"/>
          </w:tcPr>
          <w:p>
            <w:r/>
            <w:r>
              <w:rPr>
                <w:sz w:val="18"/>
              </w:rPr>
              <w:t>Weekly sitreps</w:t>
            </w:r>
          </w:p>
        </w:tc>
        <w:tc>
          <w:tcPr>
            <w:tcW w:type="dxa" w:w="1234"/>
          </w:tcPr>
          <w:p>
            <w:r/>
            <w:r>
              <w:rPr>
                <w:sz w:val="18"/>
              </w:rPr>
              <w:t>European cloud</w:t>
            </w:r>
          </w:p>
        </w:tc>
        <w:tc>
          <w:tcPr>
            <w:tcW w:type="dxa" w:w="1234"/>
          </w:tcPr>
          <w:p>
            <w:r/>
            <w:r>
              <w:rPr>
                <w:sz w:val="18"/>
              </w:rPr>
              <w:t>Rule-based alerts</w:t>
            </w:r>
          </w:p>
        </w:tc>
        <w:tc>
          <w:tcPr>
            <w:tcW w:type="dxa" w:w="1234"/>
          </w:tcPr>
          <w:p>
            <w:r/>
            <w:r>
              <w:rPr>
                <w:sz w:val="18"/>
              </w:rPr>
              <w:t>Operational</w:t>
            </w:r>
          </w:p>
        </w:tc>
      </w:tr>
      <w:tr>
        <w:tc>
          <w:tcPr>
            <w:tcW w:type="dxa" w:w="1234"/>
          </w:tcPr>
          <w:p>
            <w:r/>
            <w:r>
              <w:rPr>
                <w:sz w:val="18"/>
              </w:rPr>
              <w:t>NASRDA EO-Hub (this study)</w:t>
            </w:r>
          </w:p>
        </w:tc>
        <w:tc>
          <w:tcPr>
            <w:tcW w:type="dxa" w:w="1234"/>
          </w:tcPr>
          <w:p>
            <w:r/>
            <w:r>
              <w:rPr>
                <w:sz w:val="18"/>
              </w:rPr>
              <w:t>Sub-national (LGA) design; state where reported</w:t>
            </w:r>
          </w:p>
        </w:tc>
        <w:tc>
          <w:tcPr>
            <w:tcW w:type="dxa" w:w="1234"/>
          </w:tcPr>
          <w:p>
            <w:r/>
            <w:r>
              <w:rPr>
                <w:sz w:val="18"/>
              </w:rPr>
              <w:t>GPM-IMERG, Sentinel-2 NDWI, Landsat NDVI, Sentinel-1 SAR, dated flood archive</w:t>
            </w:r>
          </w:p>
        </w:tc>
        <w:tc>
          <w:tcPr>
            <w:tcW w:type="dxa" w:w="1234"/>
          </w:tcPr>
          <w:p>
            <w:r/>
            <w:r>
              <w:rPr>
                <w:sz w:val="18"/>
              </w:rPr>
              <w:t>On-demand retrieval</w:t>
            </w:r>
          </w:p>
        </w:tc>
        <w:tc>
          <w:tcPr>
            <w:tcW w:type="dxa" w:w="1234"/>
          </w:tcPr>
          <w:p>
            <w:r/>
            <w:r>
              <w:rPr>
                <w:sz w:val="18"/>
              </w:rPr>
              <w:t>Sovereign Nigerian infrastructure + NASRDA archives</w:t>
            </w:r>
          </w:p>
        </w:tc>
        <w:tc>
          <w:tcPr>
            <w:tcW w:type="dxa" w:w="1234"/>
          </w:tcPr>
          <w:p>
            <w:r/>
            <w:r>
              <w:rPr>
                <w:sz w:val="18"/>
              </w:rPr>
              <w:t>Rule-based alerts + benchmarked assisted analytics</w:t>
            </w:r>
          </w:p>
        </w:tc>
        <w:tc>
          <w:tcPr>
            <w:tcW w:type="dxa" w:w="1234"/>
          </w:tcPr>
          <w:p>
            <w:r/>
            <w:r>
              <w:rPr>
                <w:sz w:val="18"/>
              </w:rPr>
              <w:t>Pilot only (4 LGAs); not operationally validated</w:t>
            </w:r>
          </w:p>
        </w:tc>
      </w:tr>
    </w:tbl>
    <w:p>
      <w:pPr>
        <w:pStyle w:val="Heading2"/>
      </w:pPr>
      <w:r>
        <w:rPr>
          <w:color w:val="000000"/>
        </w:rPr>
        <w:t>7.3 Assisted Analytics as a Surveillance Capability</w:t>
      </w:r>
    </w:p>
    <w:p>
      <w:pPr>
        <w:jc w:val="both"/>
      </w:pPr>
      <w:r>
        <w:rPr>
          <w:b w:val="0"/>
          <w:i w:val="0"/>
          <w:sz w:val="22"/>
        </w:rPr>
        <w:t>The benchmark in Section 6 has implications beyond this platform. Conversational assistants are being added rapidly to public-health tooling, and their failure modes differ qualitatively from those of conventional software. A schema mis-binding does not raise an exception: it produces a plausible, well-formed, empty dashboard. In a surveillance setting where the user is a district health officer under outbreak conditions rather than a data engineer, that failure is unlikely to be noticed and may be acted upon.</w:t>
      </w:r>
    </w:p>
    <w:p>
      <w:pPr>
        <w:jc w:val="both"/>
      </w:pPr>
      <w:r>
        <w:rPr>
          <w:b w:val="0"/>
          <w:i w:val="0"/>
          <w:sz w:val="22"/>
        </w:rPr>
        <w:t>The mitigation demonstrated here is architectural and inexpensive: constrain the agent to inspect the data before describing it, and treat any column name it emits that does not appear verbatim in the source as a hard error rather than a rendering nuisance. This shifts the agent from an authority on the data to a navigator of it. The result also argues for a general reporting norm — that AI components in surveillance platforms should be published with a measured failure rate and a stated mitigation, in the same way a diagnostic assay is published with a sensitivity and a specificity, rather than illustrated with a single successful screenshot.</w:t>
      </w:r>
    </w:p>
    <w:p>
      <w:pPr>
        <w:pStyle w:val="Heading2"/>
      </w:pPr>
      <w:r>
        <w:rPr>
          <w:color w:val="000000"/>
        </w:rPr>
        <w:t>7.4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7.5 Limitations</w:t>
      </w:r>
    </w:p>
    <w:p>
      <w:pPr>
        <w:jc w:val="both"/>
      </w:pPr>
      <w:r>
        <w:rPr>
          <w:b w:val="0"/>
          <w:i w:val="0"/>
          <w:sz w:val="22"/>
        </w:rPr>
        <w:t>This study acknowledges the following limitations, stated explicitly so that the evidence base is not overread.</w:t>
      </w:r>
    </w:p>
    <w:p>
      <w:pPr>
        <w:jc w:val="both"/>
      </w:pPr>
      <w:r>
        <w:rPr>
          <w:b w:val="0"/>
          <w:i w:val="0"/>
          <w:sz w:val="22"/>
        </w:rPr>
        <w:t>Diagnostic confirmation. The pilot line-list comprises suspected cases meeting the national case definition. Specimens were obtained for 4 of 74 records and only 1 was culture-confirmed for Vibrio cholerae. The pilot therefore describes reported cholera-like illness, not laboratory-confirmed cholera incidence, and the reported case fatality ratios inherit that uncertainty.</w:t>
      </w:r>
    </w:p>
    <w:p>
      <w:pPr>
        <w:jc w:val="both"/>
      </w:pPr>
      <w:r>
        <w:rPr>
          <w:b w:val="0"/>
          <w:i w:val="0"/>
          <w:sz w:val="22"/>
        </w:rPr>
        <w:t>Pilot scope and statistical power. The Cross River demonstration covers four LGAs in one state. Sub-national analyses with four spatial units support no inferential conclusion; the inverse exposure–burden relationship observed in Figure 3(c) is reported for transparency and is not interpreted as evidence for or against the environmental hypothesis.</w:t>
      </w:r>
    </w:p>
    <w:p>
      <w:pPr>
        <w:jc w:val="both"/>
      </w:pPr>
      <w:r>
        <w:rPr>
          <w:b w:val="0"/>
          <w:i w:val="0"/>
          <w:sz w:val="22"/>
        </w:rPr>
        <w:t>National panel not constructed. Because NCDC publishes at state level, a complete 774-LGA longitudinal panel cannot be constructed from official national reports. A candidate national panel was inspected, found irreconcilable with official NCDC totals, and excluded; nothing in this paper is derived from it. The 774-LGA map component is therefore populated with observed data for four LGAs only.</w:t>
      </w:r>
    </w:p>
    <w:p>
      <w:pPr>
        <w:jc w:val="both"/>
      </w:pPr>
      <w:r>
        <w:t>Earth Engine covariates. For this revision, Google Earth Engine was activated on the study project and the precipitation, NDWI and NDVI covariates were computed and are reported for the four pilot LGAs (Section 4, Table 6). NDVI was computed independently from Sentinel-2 and Landsat-8 as a cross-sensor check. Optical indices remain subject to cloud obstruction during the peak rainy season: the two coastal LGAs (Calabar Municipal and Bakassi) yielded no usable Sentinel-2 scene under a 40% scene-cloud filter and required a relaxed 80% filter with per-pixel scene-classification cloud masking to recover ten usable scenes each, whereas Yakurr and Biase were characterised from three clear scenes; the two NDVI products consequently agree for the inland LGAs and diverge at the coast. Areal-mean NDWI is negative across all four land-dominated LGAs, so the localized open-water signal is captured by the NDWI maximum and the fraction of area exceeding the 0.3 water threshold rather than by the areal mean. Sentinel-1 SAR, which is unaffected by cloud, is implemented for visualization but was not reduced to per-LGA statistics in this revision.</w:t>
      </w:r>
    </w:p>
    <w:p>
      <w:pPr>
        <w:jc w:val="both"/>
      </w:pPr>
      <w:r>
        <w:rPr>
          <w:b w:val="0"/>
          <w:i w:val="0"/>
          <w:sz w:val="22"/>
        </w:rPr>
        <w:t>Flood-archive constraints. The archive is a derived product whose per-event detection sensitivity is not characterized here, its coverage density varies with observation frequency — denser in urban Calabar Municipal than in rural Bakassi, which confounds event counts with observability — and it recorded no events within the pilot LGAs during 2021 itself, so exposure is characterized over historical windows rather than contemporaneously with the outbreak.</w:t>
      </w:r>
    </w:p>
    <w:p>
      <w:pPr>
        <w:jc w:val="both"/>
      </w:pPr>
      <w:r>
        <w:rPr>
          <w:b w:val="0"/>
          <w:i w:val="0"/>
          <w:sz w:val="22"/>
        </w:rPr>
        <w:t>Risk-score validation. The risk-scoring algorithm uses fixed heuristic weights, incorporates contemporaneous case counts as an input, and has not been prospectively validated against an independent real-time outbreak dataset. The flood–cholera association is exploratory and does not correct for temporal autocorrelation, spatial dependence, or multiple comparisons.</w:t>
      </w:r>
    </w:p>
    <w:p>
      <w:pPr>
        <w:jc w:val="both"/>
      </w:pPr>
      <w:r>
        <w:rPr>
          <w:b w:val="0"/>
          <w:i w:val="0"/>
          <w:sz w:val="22"/>
        </w:rPr>
        <w:t>Copilot benchmark scope. The benchmark evaluates schema binding on small aggregate tables from one disease domain against a single model provider. Grounding does not guarantee correct role assignment, as the dirty-header variant demonstrates. Generalization to large multi-sheet field returns, other diseases, and other providers is not established.</w:t>
      </w:r>
    </w:p>
    <w:p>
      <w:pPr>
        <w:jc w:val="both"/>
      </w:pPr>
      <w:r>
        <w:rPr>
          <w:b w:val="0"/>
          <w:i w:val="0"/>
          <w:sz w:val="22"/>
        </w:rPr>
        <w:t>Integration and sustainability. Live NCDC/SORMAS synchronization and multi-provider AI operation are design features and roadmap items, not evidenced production integrations. Health-facility records are ingested as supplied and are not record-level validated. Operation requires stable connectivity and technical skills that may not be uniformly available in state health offices, and long-term sustainability depends on institutional commitment, funding, and data-governance agreements.</w:t>
      </w:r>
    </w:p>
    <w:p>
      <w:pPr>
        <w:pStyle w:val="Heading1"/>
      </w:pPr>
      <w:r>
        <w:rPr>
          <w:color w:val="000000"/>
        </w:rPr>
        <w:t>8. Future Roadmap</w:t>
      </w:r>
    </w:p>
    <w:p>
      <w:pPr>
        <w:jc w:val="both"/>
      </w:pPr>
      <w:r>
        <w:rPr>
          <w:b w:val="0"/>
          <w:i w:val="0"/>
          <w:sz w:val="22"/>
        </w:rPr>
        <w:t>The evolution of the hub encompasses six priorities. First, laboratory-confirmation linkage: integrating culture and rapid-diagnostic results from the national reference laboratory network so that confirmed and suspected cases can be distinguished at ingestion rather than reconstructed by audit, directly addressing the 1-in-74 confirmation rate documented in Section 3.2.1. Second,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Third,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across an adequately powered multi-state sentinel network rather than four LGAs. Fourth, programmatic NCDC surveillance synchronization: establishing a governed API linkage (including SORMAS interoperability) to replace manual extraction with automated case and death ingestion. Fifth, sovereign EO expansion: activating Earth Engine entitlement on the production host, and integrating NASRDA historical archives and the planned four-satellite constellation (three optical, one SAR) to reduce dependence on foreign data and improve cloud-penetrating flood mapping. Sixth, hardened assisted analytics: enforcing the schema-grounding constraint validated in Section 6 as a system-level invariant rather than a prompt convention, adding deterministic header normalization to close the dirty-header failure mode, rejecting any generated specification that references a non-existent column, and extending the assistant to parse field sitreps and community alerts into clean georeferenced records with human verification, alongside multi-disease coverage for typhoid, dysentery, malaria, and dengue.</w:t>
      </w:r>
    </w:p>
    <w:p>
      <w:pPr>
        <w:jc w:val="center"/>
      </w:pPr>
      <w:r>
        <w:drawing>
          <wp:inline xmlns:a="http://schemas.openxmlformats.org/drawingml/2006/main" xmlns:pic="http://schemas.openxmlformats.org/drawingml/2006/picture">
            <wp:extent cx="6126480" cy="4356608"/>
            <wp:docPr id="14" name="Picture 14"/>
            <wp:cNvGraphicFramePr>
              <a:graphicFrameLocks noChangeAspect="1"/>
            </wp:cNvGraphicFramePr>
            <a:graphic>
              <a:graphicData uri="http://schemas.openxmlformats.org/drawingml/2006/picture">
                <pic:pic>
                  <pic:nvPicPr>
                    <pic:cNvPr id="0" name="diag_roadmap.png"/>
                    <pic:cNvPicPr/>
                  </pic:nvPicPr>
                  <pic:blipFill>
                    <a:blip r:embed="rId22"/>
                    <a:stretch>
                      <a:fillRect/>
                    </a:stretch>
                  </pic:blipFill>
                  <pic:spPr>
                    <a:xfrm>
                      <a:off x="0" y="0"/>
                      <a:ext cx="6126480" cy="4356608"/>
                    </a:xfrm>
                    <a:prstGeom prst="rect"/>
                  </pic:spPr>
                </pic:pic>
              </a:graphicData>
            </a:graphic>
          </wp:inline>
        </w:drawing>
      </w:r>
    </w:p>
    <w:p>
      <w:pPr>
        <w:jc w:val="center"/>
      </w:pPr>
      <w:r>
        <w:rPr>
          <w:i/>
          <w:sz w:val="18"/>
        </w:rPr>
        <w:t>Figure 14: Advanced integration and automation roadmap — NCDC/SORMAS API, NASRDA satellite data hub, DHS microdata layer, laboratory-confirmation linkage, AI unstructured parser, and calibration/validation engine, unified through an integration gateway.</w:t>
      </w:r>
    </w:p>
    <w:p>
      <w:pPr>
        <w:pStyle w:val="Heading1"/>
      </w:pPr>
      <w:r>
        <w:rPr>
          <w:color w:val="000000"/>
        </w:rPr>
        <w:t>9. Conclusion</w:t>
      </w:r>
    </w:p>
    <w:p>
      <w:pPr>
        <w:jc w:val="both"/>
      </w:pPr>
      <w:r>
        <w:rPr>
          <w:b w:val="0"/>
          <w:i w:val="0"/>
          <w:sz w:val="22"/>
        </w:rPr>
        <w:t>This study presents the development and pilot validation of a scalable, Earth Observation-enabled environmental health intelligence hub for cholera surveillance in Nigeria, together with a design for national scale-up. Its contribution is reported across four clearly separated tiers of evidence, and the boundary between them is the paper's central methodological commitment.</w:t>
      </w:r>
    </w:p>
    <w:p>
      <w:pPr>
        <w:jc w:val="both"/>
      </w:pPr>
      <w:r>
        <w:rPr>
          <w:b w:val="0"/>
          <w:i w:val="0"/>
          <w:sz w:val="22"/>
        </w:rPr>
        <w:t>At the national tier, officially reported NCDC figures—led by the 111,062-case, 3,604-death 2021 epidemic—establish burden context at state resolution as published. At the sentinel tier, a Cross River line-list of 74 suspected cases and 4 deaths across four LGAs, of which one was culture-confirmed for Vibrio cholerae, was used to validate ingestion, record normalization, spatial joining and risk rendering. At the environmental tier, intersecting a 2.65-million-polygon dated flood archive with GRID3 boundaries produced observed exposure measures for the pilot LGAs that satisfy a physical validity constraint; the resulting exposure–burden relationship across four units is inverse, is reported as observed, and is explicitly not interpreted as evidence about the environmental hypothesis. At the capability tier, a benchmark of 72 live invocations established that the platform's AI copilot invents column names in 97.2% of unconstrained trials, and that requiring it to inspect the data before describing it eliminates that failure entirely while raising correct case-field binding from 33.3% to 91.7%.</w:t>
      </w:r>
    </w:p>
    <w:p>
      <w:pPr>
        <w:jc w:val="both"/>
      </w:pPr>
      <w:r>
        <w:rPr>
          <w:b w:val="0"/>
          <w:i w:val="0"/>
          <w:sz w:val="22"/>
        </w:rPr>
        <w:t>What the study does not establish is stated with equal clarity. It does not construct a 774-LGA national panel; it does not calibrate or prospectively validate the risk score; it does not demonstrate forecasting skill; it does not evidence live institutional integration; and it does not generalize its four-LGA pilot to the federation. A candidate national panel was inspected, found irreconcilable with official reporting, and excluded in full, and no synthetic epidemiological value appears anywhere in this work.</w:t>
      </w:r>
    </w:p>
    <w:p>
      <w:pPr>
        <w:jc w:val="both"/>
      </w:pPr>
      <w:r>
        <w:rPr>
          <w:b w:val="0"/>
          <w:i w:val="0"/>
          <w:sz w:val="22"/>
        </w:rPr>
        <w:t>Framed honestly against that evidence base, the hub represents a credible technical foundation for transitioning Nigerian cholera surveillance from reactive response toward proactive, environmentally contextualized, and sovereign public-health intelligence. The measured copilot failure mode and its architectural mitigation are offered as a transferable contribution: AI components entering public-health practice should be published with a failure rate and a stated mitigation, in the manner of a diagnostic assay, rather than demonstrated with a single successful screenshot.</w:t>
      </w:r>
    </w:p>
    <w:p>
      <w:pPr>
        <w:pStyle w:val="Heading1"/>
      </w:pPr>
      <w:r>
        <w:rPr>
          <w:color w:val="000000"/>
        </w:rPr>
        <w:t>10.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p>
      <w:pPr>
        <w:pStyle w:val="Heading1"/>
      </w:pPr>
      <w:r>
        <w:rPr>
          <w:color w:val="000000"/>
        </w:rPr>
        <w:t>Declarations</w:t>
      </w:r>
    </w:p>
    <w:p>
      <w:pPr>
        <w:jc w:val="both"/>
      </w:pPr>
      <w:r>
        <w:rPr>
          <w:b w:val="0"/>
          <w:i w:val="0"/>
          <w:sz w:val="20"/>
        </w:rPr>
        <w:t>Ethics approval. This study used publicly available, officially reported aggregate epidemiological data and an anonymized outbreak line-list supplied through official channels. No personally identifiable information was accessed and no human subjects research was undertaken.</w:t>
      </w:r>
    </w:p>
    <w:p>
      <w:pPr>
        <w:jc w:val="both"/>
      </w:pPr>
      <w:r>
        <w:rPr>
          <w:b w:val="0"/>
          <w:i w:val="0"/>
          <w:sz w:val="20"/>
        </w:rPr>
        <w:t>Data availability. Nationally reported cholera figures are available in the published NCDC situation reports cited in Section 10. The Cross River 2021 line-list contains outbreak response data and is available from the Cross River State Ministry of Health subject to their data-sharing governance. GRID3 administrative boundaries and the FMOH health-facility registry are publicly available from their respective providers.</w:t>
      </w:r>
      <w:r>
        <w:t xml:space="preserve"> The compiled state-level NCDC series (1,233 records, 2021-2025), its full data dictionary, a per-report extraction and correction log, and the 232 withheld records with their raw source strings preserved are available as supplementary files, each row traceable to its source situation-report PDF.</w:t>
      </w:r>
    </w:p>
    <w:p>
      <w:pPr>
        <w:jc w:val="both"/>
      </w:pPr>
      <w:r>
        <w:rPr>
          <w:b w:val="0"/>
          <w:i w:val="0"/>
          <w:sz w:val="20"/>
        </w:rPr>
        <w:t>Reproducibility of the copilot benchmark. The benchmark reported in Section 6 is fully reproducible from the pilot dataset. The twelve schema variants are generated deterministically from the observed line-list; the harness records every trial with its variant, condition, repetition, emitted specification, referenced columns, latency and outcome; infrastructure failures are detected, retried and excluded from scoring; and every trial is asserted to have used a live model invocation rather than the offline fallback path. Benchmark code and the complete 72-trial result set are available from the corresponding author on request.</w:t>
      </w:r>
    </w:p>
    <w:p>
      <w:pPr>
        <w:jc w:val="both"/>
      </w:pPr>
      <w:r>
        <w:rPr>
          <w:b w:val="0"/>
          <w:i w:val="0"/>
          <w:sz w:val="20"/>
        </w:rPr>
        <w:t>Author contributions. W.T. conceived the study, leads the Mission Planning programme under which it was undertaken, and supervised the work. A.M.O. contributed to the Earth Observation methodology and institutional framing. Y.T.U. implemented the platform, performed the data engineering, spatial analysis and copilot benchmark, and prepared the figures. All authors reviewed and approved the manuscript.</w:t>
      </w:r>
    </w:p>
    <w:p>
      <w:pPr>
        <w:jc w:val="both"/>
      </w:pPr>
      <w:r>
        <w:rPr>
          <w:b w:val="0"/>
          <w:i w:val="0"/>
          <w:sz w:val="20"/>
        </w:rPr>
        <w:t>Conflicts of interest. The authors declare no competing interests.</w:t>
      </w:r>
    </w:p>
    <w:p>
      <w:pPr>
        <w:jc w:val="both"/>
      </w:pPr>
      <w:r>
        <w:rPr>
          <w:b w:val="0"/>
          <w:i w:val="0"/>
          <w:sz w:val="20"/>
        </w:rPr>
        <w:t>Funding. This work was undertaken within the normal programme of the National Space Research and Development Agency (NASRDA). No external funding was received.</w:t>
      </w:r>
    </w:p>
    <w:p>
      <w:pPr>
        <w:jc w:val="both"/>
      </w:pPr>
      <w:r>
        <w:rPr>
          <w:b w:val="0"/>
          <w:i w:val="0"/>
          <w:sz w:val="20"/>
        </w:rPr>
        <w:t>Use of AI tools. An AI assistant integrated into the platform is a subject of study in Section 6 and its behaviour is reported as measured experimental data. AI-based tooling was additionally used to support data engineering and analysis scripting; all numerical results were computed programmatically from source data and verified by the authors, and no epidemiological value reported in this paper was generated by a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