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afterAutospacing="0"/>
        <w:jc w:val="center"/>
        <w:textAlignment w:val="center"/>
        <w:rPr>
          <w:rFonts w:hint="eastAsia" w:ascii="黑体" w:hAnsi="黑体" w:eastAsia="黑体" w:cs="黑体"/>
          <w:color w:val="auto"/>
          <w:sz w:val="24"/>
          <w:szCs w:val="24"/>
          <w:rtl w:val="0"/>
        </w:rPr>
      </w:pPr>
      <w:r>
        <w:rPr>
          <w:rFonts w:hint="eastAsia" w:ascii="黑体" w:hAnsi="黑体" w:eastAsia="黑体" w:cs="黑体"/>
          <w:color w:val="auto"/>
          <w:sz w:val="24"/>
          <w:szCs w:val="24"/>
          <w:rtl w:val="0"/>
        </w:rPr>
        <w:t>第一回 甄士隐梦幻识通灵 贾雨村风尘怀闺秀</w:t>
      </w:r>
    </w:p>
    <w:p>
      <w:pPr>
        <w:pageBreakBefore w:val="0"/>
        <w:widowControl w:val="0"/>
        <w:kinsoku/>
        <w:wordWrap/>
        <w:overflowPunct/>
        <w:topLinePunct w:val="0"/>
        <w:autoSpaceDE/>
        <w:autoSpaceDN/>
        <w:bidi w:val="0"/>
        <w:adjustRightInd/>
        <w:snapToGrid/>
        <w:jc w:val="center"/>
        <w:textAlignment w:val="center"/>
        <w:rPr>
          <w:rFonts w:hint="eastAsia"/>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内容梳理</w:t>
      </w:r>
      <w:r>
        <w:rPr>
          <w:rFonts w:hint="eastAsia" w:ascii="黑体" w:hAnsi="黑体" w:eastAsia="黑体" w:cs="黑体"/>
          <w:b/>
          <w:bCs/>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石头记》的来历：女娲炼石补天，所炼之石剩一块未用，此石已通灵性，因未被选中补天常悲伤自怨。经由茫茫大士、渺渺真人二仙师将它携至繁华的尘世走了一遭。空空道人经过这里，见石上刻着它那番经历，便从头到尾抄下，改《石头记》为《情僧录》，又由东鲁孔梅溪改名为《风月宝鉴》，最后曹雪芹在悼红轩披阅十载，增删五次，分出章回，题名《金陵十二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启发人生要脱俗，感到世人太俗，追求一种智慧人生。</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甄士隐梦幻识通灵（木石前盟）：</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灵河岸上的绛珠仙草经神瑛侍者灌溉使其久延岁月，神瑛侍者下凡造历，绛珠仙草为报答灌溉之恩，投胎为林黛玉。决定用一生的眼泪偿还甘露之恩。故有“木石前盟”之说。</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贾雨村风尘怀闺秀：</w:t>
      </w:r>
    </w:p>
    <w:p>
      <w:pPr>
        <w:pageBreakBefore w:val="0"/>
        <w:widowControl w:val="0"/>
        <w:kinsoku/>
        <w:wordWrap/>
        <w:overflowPunct/>
        <w:topLinePunct w:val="0"/>
        <w:autoSpaceDE/>
        <w:autoSpaceDN/>
        <w:bidi w:val="0"/>
        <w:adjustRightInd/>
        <w:snapToGrid/>
        <w:spacing w:afterAutospacing="0"/>
        <w:ind w:firstLine="63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姑苏有乡宦甄士隐（真事隐）与寄居庙内的穷儒贾雨村（谐音假语存），贾雨村造访甄士隐，无意中遇见甄家丫鬟娇杏，以为娇杏对其有意。中秋时节，甄士隐于家中宴请贾雨村，得知贾雨村的抱负后，赠银送衣以作贾雨村上京赴考之盘缠。贾雨村不辞而别便上路赴考。元宵之夜，甄家仆人丢失了甄士隐的女儿甄英莲（真应怜）。甄英莲的命运通僧道的谶语揭示出来，葫芦庙失火祸及甄家。甄士隐带妻子投奔岳丈，日子越过越差，甄士隐走投无路。道人唱《好了歌》，甄士隐注解《好了歌》，经道人点化，甄士隐随之出家。</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甄英莲：有命无运，累及爹娘。</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谶语</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惯养娇生笑你痴，</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菱花空对雪澌澌。</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好防佳节元宵后，</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便是烟消火灭时</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本回以甄士隐为主线：①梦一道一僧，闻“还泪之说”/木石前盟→②资助贾雨村→③祸不单行→④投奔岳父→⑤遇跛足道人，出家。</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特别值得注意的是，通过石头与空空道人的对话，作者明确地发表了自己对小说创作的主张，这也是全书的纲领。《红楼梦》正是作者的小说创作主张的实践。</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小说主要内容：家庭闺阁琐事，以及闲情诗词。几个异样女子，或情或痴，或小才微善。我半世亲睹亲闻的这几个女子，虽不敢说强似前代书中所有之人，但事迹原委，亦可以消愁破闷，也有几首歪诗熟话，可以喷饭供酒。至若离合悲欢，兴衰际遇，则又追踪蹑迹，不敢稍加穿凿，徒为供人之目而反失其真传者。其中大旨谈情，将儿女之真情发泄一二。</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对其他文学的批评：历来野史，皆蹈一辙。市井俗人喜看理治之书者甚少，爱适趣闲文者特多。风月笔墨坏人子弟；佳人才子等书，则又千部共出一套。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“甄士隐梦幻识通灵 贾雨村风尘怀闺秀”意思：甄士隐在睡梦中，见识了通灵宝玉，贾雨村颠沛流离之际，怀念这一位闺秀。</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最擅长的就是隐喻，本回中隐喻很多。大荒山、无稽崖合在一起暗指这补天遗漏之事荒唐更是无稽之谈。将石头放在青埂峰意味着这石头还是有情根的，石头无心却又有情根又是一件特别荒唐的事情。茫茫大士、渺渺真人在人间形态就是癞头和尚和跛足道人。寓意仙道虚无缥缈、茫茫无期。十里街即势利街仁清巷即人情巷葫芦庙即糊涂庙。人名中甄士隐即真事隐甄英莲即真应怜。贾雨村就是说这个人假语连篇，名化则表明此人全是假话。号时飞表明此人实非良人。严老爷来甄府暗示火要来了，仆人霍启表明甄家即将有祸事。岳父封肃表明他的岳父所做所谓皆当地风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lang w:eastAsia="zh-CN"/>
        </w:rPr>
      </w:pPr>
    </w:p>
    <w:p>
      <w:pPr>
        <w:keepNext w:val="0"/>
        <w:keepLines w:val="0"/>
        <w:pageBreakBefore w:val="0"/>
        <w:widowControl w:val="0"/>
        <w:kinsoku/>
        <w:wordWrap/>
        <w:overflowPunct/>
        <w:topLinePunct w:val="0"/>
        <w:autoSpaceDE/>
        <w:autoSpaceDN/>
        <w:bidi w:val="0"/>
        <w:adjustRightInd/>
        <w:snapToGrid/>
        <w:spacing w:afterAutospacing="0"/>
        <w:jc w:val="left"/>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本章练习】</w:t>
      </w:r>
    </w:p>
    <w:p>
      <w:pPr>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一、选择题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 .“木石前盟”是指开篇神话中①</w:t>
      </w:r>
      <w:r>
        <w:rPr>
          <w:rFonts w:hint="eastAsia" w:ascii="宋体" w:hAnsi="宋体" w:eastAsia="宋体" w:cs="宋体"/>
          <w:color w:val="auto"/>
          <w:sz w:val="21"/>
          <w:szCs w:val="21"/>
          <w:u w:val="single"/>
          <w:rtl w:val="0"/>
        </w:rPr>
        <w:t>   </w:t>
      </w:r>
      <w:r>
        <w:rPr>
          <w:rFonts w:hint="eastAsia" w:ascii="宋体" w:hAnsi="宋体" w:eastAsia="宋体" w:cs="宋体"/>
          <w:color w:val="auto"/>
          <w:sz w:val="21"/>
          <w:szCs w:val="21"/>
          <w:rtl w:val="0"/>
        </w:rPr>
        <w:t>和②</w:t>
      </w:r>
      <w:r>
        <w:rPr>
          <w:rFonts w:hint="eastAsia" w:ascii="宋体" w:hAnsi="宋体" w:eastAsia="宋体" w:cs="宋体"/>
          <w:color w:val="auto"/>
          <w:sz w:val="21"/>
          <w:szCs w:val="21"/>
          <w:u w:val="single"/>
          <w:rtl w:val="0"/>
        </w:rPr>
        <w:t>   </w:t>
      </w:r>
      <w:r>
        <w:rPr>
          <w:rFonts w:hint="eastAsia" w:ascii="宋体" w:hAnsi="宋体" w:eastAsia="宋体" w:cs="宋体"/>
          <w:color w:val="auto"/>
          <w:sz w:val="21"/>
          <w:szCs w:val="21"/>
          <w:rtl w:val="0"/>
        </w:rPr>
        <w:t>的“还泪之说”。</w:t>
      </w:r>
    </w:p>
    <w:tbl>
      <w:tblPr>
        <w:tblStyle w:val="3"/>
        <w:tblW w:w="5000" w:type="pct"/>
        <w:tblInd w:w="0" w:type="dxa"/>
        <w:tblLayout w:type="autofit"/>
        <w:tblCellMar>
          <w:top w:w="0" w:type="dxa"/>
          <w:left w:w="0" w:type="dxa"/>
          <w:bottom w:w="0" w:type="dxa"/>
          <w:right w:w="0" w:type="dxa"/>
        </w:tblCellMar>
      </w:tblPr>
      <w:tblGrid>
        <w:gridCol w:w="4873"/>
        <w:gridCol w:w="4873"/>
      </w:tblGrid>
      <w:tr>
        <w:tblPrEx>
          <w:tblCellMar>
            <w:top w:w="0" w:type="dxa"/>
            <w:left w:w="0" w:type="dxa"/>
            <w:bottom w:w="0" w:type="dxa"/>
            <w:right w:w="0" w:type="dxa"/>
          </w:tblCellMar>
        </w:tblPrEx>
        <w:tc>
          <w:tcPr>
            <w:tcW w:w="25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A．①绛珠仙草②神瑛侍者</w:t>
            </w:r>
          </w:p>
        </w:tc>
        <w:tc>
          <w:tcPr>
            <w:tcW w:w="25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B．①警幻仙子②补天之石</w:t>
            </w:r>
          </w:p>
        </w:tc>
      </w:tr>
      <w:tr>
        <w:tblPrEx>
          <w:tblCellMar>
            <w:top w:w="0" w:type="dxa"/>
            <w:left w:w="0" w:type="dxa"/>
            <w:bottom w:w="0" w:type="dxa"/>
            <w:right w:w="0" w:type="dxa"/>
          </w:tblCellMar>
        </w:tblPrEx>
        <w:tc>
          <w:tcPr>
            <w:tcW w:w="25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C．①空空道人②补天之石</w:t>
            </w:r>
          </w:p>
        </w:tc>
        <w:tc>
          <w:tcPr>
            <w:tcW w:w="25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D．①神瑛仙草②绛珠侍者</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【答案】A</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 .下列关于“木石前盟”和“金玉良缘”的说法有误的一项是</w:t>
      </w:r>
    </w:p>
    <w:tbl>
      <w:tblPr>
        <w:tblStyle w:val="3"/>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A．西方灵河岸边，三生石畔，生有一株绛珠草，赤霞宫神瑛侍者每天用甘露灌溉它，绛珠草得以延长生命，后来修成了人，后来，听说神瑛知侍者要下界，她也要下界，为的是报答神瑛侍者的恩情。</w:t>
            </w:r>
          </w:p>
        </w:tc>
      </w:tr>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B．神瑛侍者降世时变为宝玉，嘴里含着一块玉，这块玉便是女娲补天时剩下的那块石头，石头能大能小，思慕凡尘，一僧一道将其变成了美玉，含在宝玉嘴里下界历劫。而黛玉的前世便是那绛珠仙草。</w:t>
            </w:r>
          </w:p>
        </w:tc>
      </w:tr>
      <w:tr>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金是指薛宝钗佩戴的金锁，玉则是贾宝玉佩戴的通百灵宝玉。宝玉玉上的字“不离不弃，芳龄永继”正巧与宝钗锁上“莫失莫忘，仙寿永昌”组成一副对联：于是便有了“金玉良缘”的传言。后上演了一场“调包计”，宝玉与宝钗结为夫妻。</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癞头和尚送给宝钗金锁，找到有玉的才能相配，是人为的撮合，是现实姻缘。而木石前盟则是前世约定，是自然所然，在前世就已演绎一段情感，延续到现实，影响来生，所谓“三生石上旧精魂”“缘定三生”。</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【答案】C</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3 .下列说法中不正确的一项是（  ）</w:t>
      </w:r>
    </w:p>
    <w:tbl>
      <w:tblPr>
        <w:tblStyle w:val="3"/>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红楼梦》前几回中，“林黛玉进贾府”、“葫芦僧判断葫芦案”等都具有总纲性质，通过林黛玉进贾府，总体介绍了贾府的环境和人物。通过葫芦僧判断葫芦案的情节，总体介绍了贾、史、王、薛四大家族一损俱损、一荣俱荣的关系，明确了贾府的外部环境。</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红楼梦》一开始就出现的“甄士隐”、“贾雨村”两个人，含有“将真事隐去”，“用假语村言”的意思；宁荣二府四位小姐分别名为“元春”、“迎春”、“探春”、“惜春”，表示贾府四春“原应叹息”。</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林黛玉本是仙山上的绛珠仙草，而贾宝玉原是神瑛侍者。一天，神瑛侍者用仙水精心灌溉快枯死的绛珠仙草，终于让它重又存活，后来绛珠仙草投胎转世为一女子，就是林黛玉。所以贾宝玉第一次见了林黛玉，就有似曾相识的感觉。</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D．贾政长女元春被册封为妃，皇帝恩准探亲。宁国府为了迎接这一大典，修建极尽奢华的大观园，又采办女伶、女尼、女道士，出身世家、因病入空门的妙玉也进了荣府。</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4 .《红楼梦》第一回中，跛足道人念了几句言词，将其取名为《好了歌》，（   ）听到此歌后心中彻悟，并为它做了解注。</w:t>
      </w:r>
    </w:p>
    <w:tbl>
      <w:tblPr>
        <w:tblStyle w:val="3"/>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A．贾宝玉</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B．甄士隐</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C．甄宝玉</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D．贾雨村</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【答案】B</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5 .贾雨村最初是靠谁的接济，才得以进京赴试？</w:t>
      </w:r>
    </w:p>
    <w:tbl>
      <w:tblPr>
        <w:tblStyle w:val="3"/>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A．林如海</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B．贾政</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C．冷子兴</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D．甄士隐</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【答案】D</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6 .下列各项中对作品故事情节的表述，不正确的一项是</w:t>
      </w:r>
    </w:p>
    <w:tbl>
      <w:tblPr>
        <w:tblStyle w:val="3"/>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甄士隐的女儿英莲在元宵看社火灯花时走失，三月十五葫芦庙着火把隔壁的甄家烧成一片瓦砾。甄士隐从此渐渐露出下世的光景。疯跛道人吟唱了《好了歌》，甄士隐未能彻悟，道人又作《好了歌》解注，甄士隐听后便随疯跛道人出家去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林如海之祖曾袭过列侯，到林如海已是科第出身。着林家支庶不盛，子孙有限。林如海年已四十，原有一个三岁之子，偏又死了，膝下只有嫡妻贾敏所生的女儿林黛玉，年方五岁。夫妻无子爱之如珍宝，又见她聪明清秀，便延聘教师让她读书识字。</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赤瑕宫神瑛侍者以甘露之水浇灌西方灵河岸上三生石畔行将枯萎的绛珠草，使其“得延岁月”，修成女形。神瑛侍者欲下世为人，绛珠草感念他的恩惠，发誓用一生的眼泪来偿还他，跟随他下凡历劫，这就是所谓的“木石前盟”、“眼泪还债”。</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门子给贾雨村的护官符写着“贾不假，白玉为堂金为马。阿房宫，三百里，珍珠如土金如铁。”这门子向他讲述四大家族一荣俱荣、一损俱损的密切关系。贾雨村惧怕四大家族的势力，不思甄士隐赠银之恩，乱断了薛蟠夺走英莲并将原买主冯渊杀死一案。</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【答案】A</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7</w:t>
      </w:r>
      <w:r>
        <w:rPr>
          <w:rFonts w:hint="eastAsia" w:ascii="宋体" w:hAnsi="宋体" w:eastAsia="宋体" w:cs="宋体"/>
          <w:color w:val="auto"/>
          <w:sz w:val="21"/>
          <w:szCs w:val="21"/>
          <w:rtl w:val="0"/>
        </w:rPr>
        <w:t>.（题文）以下不属于《红楼梦》的别名的一项是：</w:t>
      </w:r>
    </w:p>
    <w:tbl>
      <w:tblPr>
        <w:tblStyle w:val="3"/>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A．《石头记》</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B．《风月宝鉴》</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C．《镜花缘》</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D．《情僧录》</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8</w:t>
      </w:r>
      <w:r>
        <w:rPr>
          <w:rFonts w:hint="eastAsia" w:ascii="宋体" w:hAnsi="宋体" w:eastAsia="宋体" w:cs="宋体"/>
          <w:color w:val="auto"/>
          <w:sz w:val="21"/>
          <w:szCs w:val="21"/>
          <w:rtl w:val="0"/>
        </w:rPr>
        <w:t>.下列说法错误的一项是（   ）</w:t>
      </w:r>
    </w:p>
    <w:tbl>
      <w:tblPr>
        <w:tblStyle w:val="3"/>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A．“木石前盟”是说，西方灵河岸上三生石旁，有降珠仙草一株，被神瑛侍者每天以甘露浇灌，得以修成女体，二者下世为人，前者把一生眼泪相还。二者分别是林黛玉与贾宝玉的前身。</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B．女娲炼石补天遗弃的一块顽石，幻化为一块美玉，在人间经历了一段悲欢离合的故事后，返本归真，在石头上自记了这段经历，故《红楼梦》又名《石头记》。</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C．“太虚幻境”的对联“假作真时真亦假，无为有处有还无。”在第一回和第五回分别出现在贾雨村和贾宝玉的梦中， 这是着意强调，借此点出贾雨村的遭遇和归宿是贾宝玉的人生遭际的缩影。</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D．《红楼梦》在人名地名命名上多使用谐音法。比如甄士隐、贾雨村，实为“真事隐去，假语存焉”。元春、迎春、探春、惜春四姐妹，谐音“原应叹息”，叹息她们短暂的青春。</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9</w:t>
      </w:r>
      <w:r>
        <w:rPr>
          <w:rFonts w:hint="eastAsia" w:ascii="宋体" w:hAnsi="宋体" w:eastAsia="宋体" w:cs="宋体"/>
          <w:color w:val="auto"/>
          <w:sz w:val="21"/>
          <w:szCs w:val="21"/>
          <w:rtl w:val="0"/>
        </w:rPr>
        <w:t xml:space="preserve"> .下列对《红楼梦》第一回内容赏析有误的一项是（）</w:t>
      </w:r>
    </w:p>
    <w:tbl>
      <w:tblPr>
        <w:tblStyle w:val="3"/>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A．作者自云，因曾历过一番梦幻之后，故将真事隐去，而借“通灵”之说，故曰“甄士隐”；虽我未学，下笔无文，又何妨用假语村言敷演出一段故事，故曰“贾雨村”。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B．癞头僧看见英莲，乃指着她大笑，口内念了四句言词道：惯养娇生笑你痴，菱花空对雪澌澌，好防佳节元宵后，便是烟消火灭时。后两句即暗示元宵佳节英莲丢失，甄家被烧。</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C．中秋佳节，贾雨村借着酒兴，口占一绝：时逢三五便团圆，满把清光护玉栏，天上一轮才捧出，人间万姓仰头看。这首诗对月寓怀，抒发了自己的抱负。</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D．西方灵河岸上三生石畔，有绛珠草一株，时有赤瑕宫神瑛侍者，日以甘露灌溉，这绛珠草始得久延岁月，得换人形，后来绛珠仙子用她一生的眼泪来还他。这就是金玉良缘。</w:t>
            </w:r>
          </w:p>
        </w:tc>
      </w:tr>
    </w:tbl>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二、</w:t>
      </w:r>
      <w:r>
        <w:rPr>
          <w:rFonts w:hint="eastAsia" w:ascii="宋体" w:hAnsi="宋体" w:eastAsia="宋体" w:cs="宋体"/>
          <w:color w:val="auto"/>
          <w:sz w:val="21"/>
          <w:szCs w:val="21"/>
          <w:rtl w:val="0"/>
        </w:rPr>
        <w:t>填空题</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宝黛二人“木石前盟”前世已定,宝玉前世曾是赤霞宫的__________，日以甘露灌溉西方灵河岸上的__________，这株仙草受天地精华，脱去草胎木质换成人形，因尚未酬报灌溉之德，故心中便郁结着一段缠绵不尽的心意。</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________________，一把辛酸泪，都云作者痴，谁解其中味。”这是我国古典文学名著《红楼梦》的开卷诗。“__________补天时剩下一块石头,被弃于大荒山无稽崖青埂峰下，后居于赤霞宫中。因有红尘之念，后被空空道士、渺渺真人念咒变成一块美玉带入红尘,在富贵温柔之乡上演了一出“悲金悼玉”的爱情婚姻悲剧。</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《红楼梦》原名__________，后空空道人改为 《情僧录》 ，曹雪芹在悼红轩批阅十载增删五次，将它题为__________。</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【答案】 神瑛侍者 絳珠仙草 林黛玉 满纸荒唐言 女娲 薛宝钗 林黛玉 多愁善感</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4、</w:t>
      </w:r>
      <w:r>
        <w:rPr>
          <w:rFonts w:hint="eastAsia" w:ascii="宋体" w:hAnsi="宋体" w:eastAsia="宋体" w:cs="宋体"/>
          <w:color w:val="auto"/>
          <w:sz w:val="21"/>
          <w:szCs w:val="21"/>
          <w:rtl w:val="0"/>
        </w:rPr>
        <w:t>“开谈不说《红楼梦》，读尽诗书也枉然。”一曲红楼多少梦？情天情海幻情身。作品塑造了三个悲剧人物：___________为爱情熬尽最后一滴眼泪，含恨而死；___________终于离弃“温柔富贵之乡”而遁入空门；___________虽成了荣府的“二奶奶”却没有赢得真正的爱情，陪伴她的是终生凄凉孤苦。</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“满纸荒唐言，___________，都云作者痴，谁解其中味。”这是我国古典文学名著《红楼梦》的开卷诗。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甄士隐女儿_____在_____节时走失，正应了疯癫的僧人的谶语：好防佳节元宵后，便是烟消火灭时。三月十五_____着火把隔壁的甄家烧成一片瓦砾。疯跛道人吟唱_____之后，甄士隐听后马上领悟，并为这首歌做了注解，之后随后来这个疯跛道人出家去了。而他的女儿被人称为“呆霸王”的_____强夺去，改名叫_____。</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7、</w:t>
      </w:r>
      <w:r>
        <w:rPr>
          <w:rFonts w:hint="eastAsia" w:ascii="宋体" w:hAnsi="宋体" w:eastAsia="宋体" w:cs="宋体"/>
          <w:color w:val="auto"/>
          <w:sz w:val="21"/>
          <w:szCs w:val="21"/>
          <w:rtl w:val="0"/>
        </w:rPr>
        <w:t>甄士隐的仆人（_________________）丢失了他的爱女（__________________），他的岳父（________________）又很势利，只有丫环（_______________）反成为“人上人”。</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8、</w:t>
      </w:r>
      <w:r>
        <w:rPr>
          <w:rFonts w:hint="eastAsia" w:ascii="宋体" w:hAnsi="宋体" w:eastAsia="宋体" w:cs="宋体"/>
          <w:color w:val="auto"/>
          <w:sz w:val="21"/>
          <w:szCs w:val="21"/>
          <w:rtl w:val="0"/>
        </w:rPr>
        <w:t>《红楼梦》中所说的“金玉良缘”的象征是（______________）的（____________）和（___________）的（___________），“木石前盟”是指开篇神话中（_______________）和（__________）的“还泪之说”。(请在空中填写人名及物名)</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9、</w:t>
      </w:r>
      <w:r>
        <w:rPr>
          <w:rFonts w:hint="eastAsia" w:ascii="宋体" w:hAnsi="宋体" w:eastAsia="宋体" w:cs="宋体"/>
          <w:color w:val="auto"/>
          <w:sz w:val="21"/>
          <w:szCs w:val="21"/>
          <w:rtl w:val="0"/>
        </w:rPr>
        <w:t>《红楼梦》第一回先用“________”、“木石前盟”两个神话作楔子。“木”指________（人名），“石”指________（人名）。</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10、</w:t>
      </w:r>
      <w:r>
        <w:rPr>
          <w:rFonts w:hint="eastAsia" w:ascii="宋体" w:hAnsi="宋体" w:eastAsia="宋体" w:cs="宋体"/>
          <w:color w:val="auto"/>
          <w:sz w:val="21"/>
          <w:szCs w:val="21"/>
          <w:rtl w:val="0"/>
        </w:rPr>
        <w:t>红楼梦最擅长的就是隐喻，本回中隐喻很多。大荒山、无稽崖合在一起暗指</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u w:val="none"/>
          <w:rtl w:val="0"/>
          <w:lang w:val="en-US" w:eastAsia="zh-CN"/>
        </w:rPr>
        <w:t>，</w:t>
      </w:r>
      <w:r>
        <w:rPr>
          <w:rFonts w:hint="eastAsia" w:ascii="宋体" w:hAnsi="宋体" w:eastAsia="宋体" w:cs="宋体"/>
          <w:color w:val="auto"/>
          <w:sz w:val="21"/>
          <w:szCs w:val="21"/>
          <w:rtl w:val="0"/>
        </w:rPr>
        <w:t>更是</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。将石头放在青埂峰意味着</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，石头无心却又有情根又是一件特别荒唐的事情。</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茫茫大士、渺渺真人在人间形态就是癞头和尚和跛足道人。寓意</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。十里街即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街</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仁清巷即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巷</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葫芦庙即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庙。人名中甄士隐即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甄英莲即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。贾雨村就是说这个人</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，名化则表明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。号时飞表明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。严老爷来甄府暗示火要来了，仆人霍启表明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。岳父封肃表明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w:t>
      </w:r>
    </w:p>
    <w:p>
      <w:pPr>
        <w:pStyle w:val="2"/>
        <w:pageBreakBefore w:val="0"/>
        <w:widowControl w:val="0"/>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rtl w:val="0"/>
          <w:lang w:val="en-US" w:eastAsia="zh-CN"/>
        </w:rPr>
      </w:pPr>
    </w:p>
    <w:p>
      <w:pPr>
        <w:pStyle w:val="2"/>
        <w:pageBreakBefore w:val="0"/>
        <w:widowControl w:val="0"/>
        <w:numPr>
          <w:ilvl w:val="0"/>
          <w:numId w:val="1"/>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rtl w:val="0"/>
        </w:rPr>
      </w:pPr>
      <w:r>
        <w:rPr>
          <w:rFonts w:hint="eastAsia" w:ascii="宋体" w:hAnsi="宋体" w:eastAsia="宋体" w:cs="宋体"/>
          <w:b w:val="0"/>
          <w:bCs w:val="0"/>
          <w:color w:val="auto"/>
          <w:sz w:val="21"/>
          <w:szCs w:val="21"/>
          <w:rtl w:val="0"/>
        </w:rPr>
        <w:t>简答题</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lang w:val="en-US" w:eastAsia="zh-CN"/>
        </w:rPr>
        <w:t>1、</w:t>
      </w:r>
      <w:r>
        <w:rPr>
          <w:rFonts w:hint="eastAsia" w:ascii="宋体" w:hAnsi="宋体" w:eastAsia="宋体" w:cs="宋体"/>
          <w:b w:val="0"/>
          <w:bCs w:val="0"/>
          <w:color w:val="auto"/>
          <w:sz w:val="21"/>
          <w:szCs w:val="21"/>
          <w:rtl w:val="0"/>
        </w:rPr>
        <w:t>请结合相关内容，简要分析《红楼梦》开篇“女娲补天”和“木石前盟”两个神话故事的作用。</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rPr>
        <w:t>【答案】（1）①“无材补天”的顽石，暗示宝玉是个不符合封建社会要求的“蠢物”,其“顽劣”性，难以为世俗改变。</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rPr>
        <w:t>②“木石前盟”交代这块顽石与绛珠仙草的关系，为宝黛初会埋下伏笔。“还泪”之说，也与正文部分黛玉的多泪、悲剧结局相照应。</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rPr>
        <w:t>③为贾宝玉和林黛玉的恋爱故事，染上了一层浪漫主义色彩。</w:t>
      </w:r>
    </w:p>
    <w:p>
      <w:pPr>
        <w:pStyle w:val="2"/>
        <w:pageBreakBefore w:val="0"/>
        <w:widowControl w:val="0"/>
        <w:numPr>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4"/>
          <w:szCs w:val="24"/>
          <w:rtl w:val="0"/>
        </w:rPr>
      </w:pP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lang w:val="en-US" w:eastAsia="zh-CN"/>
        </w:rPr>
        <w:t>2、</w:t>
      </w:r>
      <w:r>
        <w:rPr>
          <w:rFonts w:hint="eastAsia" w:ascii="宋体" w:hAnsi="宋体" w:eastAsia="宋体" w:cs="宋体"/>
          <w:b w:val="0"/>
          <w:bCs w:val="0"/>
          <w:color w:val="auto"/>
          <w:sz w:val="21"/>
          <w:szCs w:val="21"/>
          <w:rtl w:val="0"/>
        </w:rPr>
        <w:t>《红楼梦》第一回中，甄士隐抱着三岁女儿英莲上街看热闹，遇见一僧一道。那僧要甄士隐把女儿即所谓“有命无运，累及爹娘之物”舍给他，甄士隐不理睬。为什么说英莲“有命无运、累及爹娘”?请结合小说情节简要说明。</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rPr>
        <w:t>【答案】（1）①有命无运：出身乡宦之家；年幼被拐；被薛蟠强占为妾；遭夏金桂欺凌。②累及爹娘：爹娘思女成疾；甄士隐出家。</w:t>
      </w:r>
      <w:r>
        <w:rPr>
          <w:rFonts w:hint="eastAsia" w:ascii="宋体" w:hAnsi="宋体" w:eastAsia="宋体" w:cs="宋体"/>
          <w:b w:val="0"/>
          <w:bCs w:val="0"/>
          <w:color w:val="auto"/>
          <w:sz w:val="24"/>
          <w:szCs w:val="24"/>
          <w:rtl w:val="0"/>
        </w:rPr>
        <w:t>第一回 甄士隐梦幻识通灵 贾雨村风尘怀闺秀</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《红楼梦》的主要内容是林黛玉和贾宝玉的爱情悲剧及贾王史薛四大家族的兴衰，可小说开头却写甄士隐和贾雨村的故事，这是为什么？</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（1）推动情节发展。提纲挈领式的线索人物往往成对出现在重大转折中，推动故事情节的发展。</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（2）整部小说总纲：甄士隐的遭遇，为后文作铺垫，是贾府命运的缩影。对称的叙事结构：全书以梦开始，以梦结束，两人都同时出现，构成对称式的叙事结构。</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4、</w:t>
      </w:r>
      <w:bookmarkStart w:id="0" w:name="_GoBack"/>
      <w:bookmarkEnd w:id="0"/>
      <w:r>
        <w:rPr>
          <w:rFonts w:hint="eastAsia" w:ascii="宋体" w:hAnsi="宋体" w:eastAsia="宋体" w:cs="宋体"/>
          <w:color w:val="auto"/>
          <w:sz w:val="21"/>
          <w:szCs w:val="21"/>
          <w:rtl w:val="0"/>
        </w:rPr>
        <w:t>红楼梦》“木石前盟”之说，在第一回已有交待，请说说他们</w:t>
      </w:r>
      <w:r>
        <w:rPr>
          <w:rFonts w:hint="eastAsia" w:ascii="宋体" w:hAnsi="宋体" w:eastAsia="宋体" w:cs="宋体"/>
          <w:color w:val="auto"/>
          <w:sz w:val="21"/>
          <w:szCs w:val="21"/>
          <w:rtl w:val="0"/>
          <w:lang w:val="en-US" w:eastAsia="zh-CN"/>
        </w:rPr>
        <w:t>的</w:t>
      </w:r>
      <w:r>
        <w:rPr>
          <w:rFonts w:hint="eastAsia" w:ascii="宋体" w:hAnsi="宋体" w:eastAsia="宋体" w:cs="宋体"/>
          <w:color w:val="auto"/>
          <w:sz w:val="21"/>
          <w:szCs w:val="21"/>
          <w:rtl w:val="0"/>
        </w:rPr>
        <w:t>前缘</w:t>
      </w:r>
      <w:r>
        <w:rPr>
          <w:rFonts w:hint="eastAsia" w:ascii="宋体" w:hAnsi="宋体" w:eastAsia="宋体" w:cs="宋体"/>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西方灵河岸三生石畔的绛珠草，受神瑛侍者灌溉之恩化为人形。神瑛侍者下凡历劫投生为贾宝玉，恰女娲补天弃用的顽石思慕凡间，求得神仙将其化为美玉，随其一同投胎，是故宝玉衔玉而生。绛珠草为报灌溉之恩，随之下凡，愿以一生的眼泪偿还，是为林黛玉。</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《红楼梦》第一回交待该书成书的由来，请简要介绍。</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rPr>
        <w:t>①女娲炼石补天时，所炼之石剩一块未用，弃在青埂峰下。</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②此石已通灵性，因偶听一僧一道言红尘中荣华富贵事，便凡心大动，要求到凡间享受一番，于是和尚茫茫大士、道士渺渺真人施佛法将其变成鲜明光洁的美玉，将它携至富贵温柔乡走了一遭。</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③不知多长时间以后，空空道人经过这里，见石上刻着它那番经历，便从头到尾抄下，交曹雪芹披阅增删、分出章回，遂成《红楼梦》。</w:t>
      </w:r>
      <w:r>
        <w:rPr>
          <w:rFonts w:hint="eastAsia" w:ascii="宋体" w:hAnsi="宋体" w:eastAsia="宋体" w:cs="宋体"/>
          <w:color w:val="auto"/>
          <w:sz w:val="21"/>
          <w:szCs w:val="21"/>
          <w:rtl w:val="0"/>
        </w:rPr>
        <w:br w:type="textWrapping"/>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曹雪芹在《红楼梦》第一回说“将真事隐去”“用假语村言”，请简述作者的用意。</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①隐去真实的年代与背景，假托前朝人事；</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②隐去真实的事情，虚构了贾府中的人物变迁；</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③用谐音手法，虚构人物，并暗示作品中的人物命运。</w:t>
      </w:r>
    </w:p>
    <w:p>
      <w:pPr>
        <w:pageBreakBefore w:val="0"/>
        <w:widowControl w:val="0"/>
        <w:kinsoku/>
        <w:wordWrap/>
        <w:overflowPunct/>
        <w:topLinePunct w:val="0"/>
        <w:autoSpaceDE/>
        <w:autoSpaceDN/>
        <w:bidi w:val="0"/>
        <w:adjustRightInd/>
        <w:snapToGrid/>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textAlignment w:val="cente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952B7"/>
    <w:multiLevelType w:val="singleLevel"/>
    <w:tmpl w:val="8BF952B7"/>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80109A4"/>
    <w:rsid w:val="0EA13AE5"/>
    <w:rsid w:val="14F1532C"/>
    <w:rsid w:val="180109A4"/>
    <w:rsid w:val="1E067121"/>
    <w:rsid w:val="35BC5A84"/>
    <w:rsid w:val="61083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5462</Words>
  <Characters>5739</Characters>
  <Lines>0</Lines>
  <Paragraphs>0</Paragraphs>
  <TotalTime>33</TotalTime>
  <ScaleCrop>false</ScaleCrop>
  <LinksUpToDate>false</LinksUpToDate>
  <CharactersWithSpaces>5979</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2022-06-15T03:37:00Z</dcterms:created>
  <dc:creator>林纯均</dc:creator>
  <cp:lastModifiedBy>孤篷听雪</cp:lastModifiedBy>
  <dcterms:modified xsi:type="dcterms:W3CDTF">2022-08-06T23:41:47Z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F8DCB9D0474E4A1FA959513782FD7867</vt:lpwstr>
  </property>
</Properties>
</file>