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Regional EOG Artifact Removal</w:t>
      </w:r>
    </w:p>
    <w:p>
      <w:pPr>
        <w:pStyle w:val="Subtitle"/>
      </w:pPr>
      <w:r>
        <w:t>Experimental results</w:t>
      </w:r>
    </w:p>
    <w:p>
      <w:r>
        <w:t>Research results through 16 October 2026</w:t>
      </w:r>
    </w:p>
    <w:p>
      <w:pPr>
        <w:pStyle w:val="Heading1"/>
        <w:pageBreakBefore w:val="0"/>
      </w:pPr>
      <w:r>
        <w:t>1 Summary of measured outcomes</w:t>
      </w:r>
    </w:p>
    <w:p>
      <w:r>
        <w:t>The latest controlled development comparison achieved 17.804727 dB whole-head channel-first mean output SNR and 18.261209 dB frontal mean output SNR using an anchored frontal VMD correction with a solver-failure raw fallback and matched nonfrontal regression. The direct-regression control achieved 17.785746 dB and 18.182199 dB, respectively. The incremental whole-head difference was +0.018981 dB with a supplemental 95% interval spanning zero. VMD superiority is therefore not established.</w:t>
      </w:r>
    </w:p>
    <w:p>
      <w:r>
        <w:t>Native OSF evaluation showed reduced ocular association but excessive resting-signal modification. The classical teacher and EEG-only deployment model remain unqualified. This document presents measured results and their evaluation scope; historical branches use different corpora and must not be treated as one comparable leaderboard.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2664"/>
        <w:gridCol w:w="3888"/>
      </w:tblGrid>
      <w:tr>
        <w:trPr>
          <w:cantSplit/>
          <w:tblHeader/>
        </w:trPr>
        <w:tc>
          <w:tcPr>
            <w:tcW w:type="dxa" w:w="3096"/>
            <w:vAlign w:val="center"/>
            <w:shd w:fill="E9EEF3"/>
            <w:tcMar>
              <w:top w:w="65" w:type="dxa"/>
              <w:bottom w:w="65" w:type="dxa"/>
              <w:left w:w="90" w:type="dxa"/>
              <w:right w:w="90" w:type="dxa"/>
            </w:tcMar>
          </w:tcPr>
          <w:p>
            <w:pPr>
              <w:spacing w:after="0" w:line="245" w:lineRule="auto"/>
            </w:pPr>
            <w:r>
              <w:rPr>
                <w:b/>
                <w:sz w:val="19"/>
              </w:rPr>
              <w:t>Evidence set</w:t>
            </w:r>
          </w:p>
        </w:tc>
        <w:tc>
          <w:tcPr>
            <w:tcW w:type="dxa" w:w="2664"/>
            <w:vAlign w:val="center"/>
            <w:shd w:fill="E9EEF3"/>
            <w:tcMar>
              <w:top w:w="65" w:type="dxa"/>
              <w:bottom w:w="65" w:type="dxa"/>
              <w:left w:w="90" w:type="dxa"/>
              <w:right w:w="90" w:type="dxa"/>
            </w:tcMar>
          </w:tcPr>
          <w:p>
            <w:pPr>
              <w:spacing w:after="0" w:line="245" w:lineRule="auto"/>
            </w:pPr>
            <w:r>
              <w:rPr>
                <w:b/>
                <w:sz w:val="19"/>
              </w:rPr>
              <w:t>Scope</w:t>
            </w:r>
          </w:p>
        </w:tc>
        <w:tc>
          <w:tcPr>
            <w:tcW w:type="dxa" w:w="3888"/>
            <w:vAlign w:val="center"/>
            <w:shd w:fill="E9EEF3"/>
            <w:tcMar>
              <w:top w:w="65" w:type="dxa"/>
              <w:bottom w:w="65" w:type="dxa"/>
              <w:left w:w="90" w:type="dxa"/>
              <w:right w:w="90" w:type="dxa"/>
            </w:tcMar>
          </w:tcPr>
          <w:p>
            <w:pPr>
              <w:spacing w:after="0" w:line="245" w:lineRule="auto"/>
            </w:pPr>
            <w:r>
              <w:rPr>
                <w:b/>
                <w:sz w:val="19"/>
              </w:rPr>
              <w:t>Interpretation</w:t>
            </w:r>
          </w:p>
        </w:tc>
      </w:tr>
      <w:tr>
        <w:trPr>
          <w:cantSplit/>
        </w:trPr>
        <w:tc>
          <w:tcPr>
            <w:tcW w:type="dxa" w:w="3096"/>
            <w:vAlign w:val="center"/>
            <w:shd w:fill="FFFFFF"/>
            <w:tcMar>
              <w:top w:w="65" w:type="dxa"/>
              <w:bottom w:w="65" w:type="dxa"/>
              <w:left w:w="90" w:type="dxa"/>
              <w:right w:w="90" w:type="dxa"/>
            </w:tcMar>
          </w:tcPr>
          <w:p>
            <w:pPr>
              <w:spacing w:after="0" w:line="245" w:lineRule="auto"/>
            </w:pPr>
            <w:r>
              <w:rPr>
                <w:sz w:val="19"/>
              </w:rPr>
              <w:t>Historical Klados replay</w:t>
            </w:r>
          </w:p>
        </w:tc>
        <w:tc>
          <w:tcPr>
            <w:tcW w:type="dxa" w:w="2664"/>
            <w:vAlign w:val="center"/>
            <w:shd w:fill="FFFFFF"/>
            <w:tcMar>
              <w:top w:w="65" w:type="dxa"/>
              <w:bottom w:w="65" w:type="dxa"/>
              <w:left w:w="90" w:type="dxa"/>
              <w:right w:w="90" w:type="dxa"/>
            </w:tcMar>
          </w:tcPr>
          <w:p>
            <w:pPr>
              <w:spacing w:after="0" w:line="245" w:lineRule="auto"/>
            </w:pPr>
            <w:r>
              <w:rPr>
                <w:sz w:val="19"/>
              </w:rPr>
              <w:t>24 windows from eight reused records; electrode identities unknown</w:t>
            </w:r>
          </w:p>
        </w:tc>
        <w:tc>
          <w:tcPr>
            <w:tcW w:type="dxa" w:w="3888"/>
            <w:vAlign w:val="center"/>
            <w:shd w:fill="FFFFFF"/>
            <w:tcMar>
              <w:top w:w="65" w:type="dxa"/>
              <w:bottom w:w="65" w:type="dxa"/>
              <w:left w:w="90" w:type="dxa"/>
              <w:right w:w="90" w:type="dxa"/>
            </w:tcMar>
          </w:tcPr>
          <w:p>
            <w:pPr>
              <w:spacing w:after="0" w:line="245" w:lineRule="auto"/>
            </w:pPr>
            <w:r>
              <w:rPr>
                <w:sz w:val="19"/>
              </w:rPr>
              <w:t>Development-exposed EOG-assisted hybrid; not VMD alone</w:t>
            </w:r>
          </w:p>
        </w:tc>
      </w:tr>
      <w:tr>
        <w:trPr>
          <w:cantSplit/>
        </w:trPr>
        <w:tc>
          <w:tcPr>
            <w:tcW w:type="dxa" w:w="3096"/>
            <w:vAlign w:val="center"/>
            <w:shd w:fill="F7F8FA"/>
            <w:tcMar>
              <w:top w:w="65" w:type="dxa"/>
              <w:bottom w:w="65" w:type="dxa"/>
              <w:left w:w="90" w:type="dxa"/>
              <w:right w:w="90" w:type="dxa"/>
            </w:tcMar>
          </w:tcPr>
          <w:p>
            <w:pPr>
              <w:spacing w:after="0" w:line="245" w:lineRule="auto"/>
            </w:pPr>
            <w:r>
              <w:rPr>
                <w:sz w:val="19"/>
              </w:rPr>
              <w:t>Latest controlled LEMON OSF corpus</w:t>
            </w:r>
          </w:p>
        </w:tc>
        <w:tc>
          <w:tcPr>
            <w:tcW w:type="dxa" w:w="2664"/>
            <w:vAlign w:val="center"/>
            <w:shd w:fill="F7F8FA"/>
            <w:tcMar>
              <w:top w:w="65" w:type="dxa"/>
              <w:bottom w:w="65" w:type="dxa"/>
              <w:left w:w="90" w:type="dxa"/>
              <w:right w:w="90" w:type="dxa"/>
            </w:tcMar>
          </w:tcPr>
          <w:p>
            <w:pPr>
              <w:spacing w:after="0" w:line="245" w:lineRule="auto"/>
            </w:pPr>
            <w:r>
              <w:rPr>
                <w:sz w:val="19"/>
              </w:rPr>
              <w:t>320 examples; 32 recipient windows; five ocular donors</w:t>
            </w:r>
          </w:p>
        </w:tc>
        <w:tc>
          <w:tcPr>
            <w:tcW w:type="dxa" w:w="3888"/>
            <w:vAlign w:val="center"/>
            <w:shd w:fill="F7F8FA"/>
            <w:tcMar>
              <w:top w:w="65" w:type="dxa"/>
              <w:bottom w:w="65" w:type="dxa"/>
              <w:left w:w="90" w:type="dxa"/>
              <w:right w:w="90" w:type="dxa"/>
            </w:tcMar>
          </w:tcPr>
          <w:p>
            <w:pPr>
              <w:spacing w:after="0" w:line="245" w:lineRule="auto"/>
            </w:pPr>
            <w:r>
              <w:rPr>
                <w:sz w:val="19"/>
              </w:rPr>
              <w:t>Constructed contamination added to low-ocular reference EEG; not independent native ground truth</w:t>
            </w:r>
          </w:p>
        </w:tc>
      </w:tr>
      <w:tr>
        <w:trPr>
          <w:cantSplit/>
        </w:trPr>
        <w:tc>
          <w:tcPr>
            <w:tcW w:type="dxa" w:w="3096"/>
            <w:vAlign w:val="center"/>
            <w:shd w:fill="FFFFFF"/>
            <w:tcMar>
              <w:top w:w="65" w:type="dxa"/>
              <w:bottom w:w="65" w:type="dxa"/>
              <w:left w:w="90" w:type="dxa"/>
              <w:right w:w="90" w:type="dxa"/>
            </w:tcMar>
          </w:tcPr>
          <w:p>
            <w:pPr>
              <w:spacing w:after="0" w:line="245" w:lineRule="auto"/>
            </w:pPr>
            <w:r>
              <w:rPr>
                <w:sz w:val="19"/>
              </w:rPr>
              <w:t>Latest native OSF pilot</w:t>
            </w:r>
          </w:p>
        </w:tc>
        <w:tc>
          <w:tcPr>
            <w:tcW w:type="dxa" w:w="2664"/>
            <w:vAlign w:val="center"/>
            <w:shd w:fill="FFFFFF"/>
            <w:tcMar>
              <w:top w:w="65" w:type="dxa"/>
              <w:bottom w:w="65" w:type="dxa"/>
              <w:left w:w="90" w:type="dxa"/>
              <w:right w:w="90" w:type="dxa"/>
            </w:tcMar>
          </w:tcPr>
          <w:p>
            <w:pPr>
              <w:spacing w:after="0" w:line="245" w:lineRule="auto"/>
            </w:pPr>
            <w:r>
              <w:rPr>
                <w:sz w:val="19"/>
              </w:rPr>
              <w:t>Two development recordings; 51 scoring trials</w:t>
            </w:r>
          </w:p>
        </w:tc>
        <w:tc>
          <w:tcPr>
            <w:tcW w:type="dxa" w:w="3888"/>
            <w:vAlign w:val="center"/>
            <w:shd w:fill="FFFFFF"/>
            <w:tcMar>
              <w:top w:w="65" w:type="dxa"/>
              <w:bottom w:w="65" w:type="dxa"/>
              <w:left w:w="90" w:type="dxa"/>
              <w:right w:w="90" w:type="dxa"/>
            </w:tcMar>
          </w:tcPr>
          <w:p>
            <w:pPr>
              <w:spacing w:after="0" w:line="245" w:lineRule="auto"/>
            </w:pPr>
            <w:r>
              <w:rPr>
                <w:sz w:val="19"/>
              </w:rPr>
              <w:t>Ocular suppression and resting preservation; no reconstruction SNR</w:t>
            </w:r>
          </w:p>
        </w:tc>
      </w:tr>
      <w:tr>
        <w:trPr>
          <w:cantSplit/>
        </w:trPr>
        <w:tc>
          <w:tcPr>
            <w:tcW w:type="dxa" w:w="3096"/>
            <w:vAlign w:val="center"/>
            <w:shd w:fill="F7F8FA"/>
            <w:tcMar>
              <w:top w:w="65" w:type="dxa"/>
              <w:bottom w:w="65" w:type="dxa"/>
              <w:left w:w="90" w:type="dxa"/>
              <w:right w:w="90" w:type="dxa"/>
            </w:tcMar>
          </w:tcPr>
          <w:p>
            <w:pPr>
              <w:spacing w:after="0" w:line="245" w:lineRule="auto"/>
            </w:pPr>
            <w:r>
              <w:rPr>
                <w:sz w:val="19"/>
              </w:rPr>
              <w:t>Neural pilots</w:t>
            </w:r>
          </w:p>
        </w:tc>
        <w:tc>
          <w:tcPr>
            <w:tcW w:type="dxa" w:w="2664"/>
            <w:vAlign w:val="center"/>
            <w:shd w:fill="F7F8FA"/>
            <w:tcMar>
              <w:top w:w="65" w:type="dxa"/>
              <w:bottom w:w="65" w:type="dxa"/>
              <w:left w:w="90" w:type="dxa"/>
              <w:right w:w="90" w:type="dxa"/>
            </w:tcMar>
          </w:tcPr>
          <w:p>
            <w:pPr>
              <w:spacing w:after="0" w:line="245" w:lineRule="auto"/>
            </w:pPr>
            <w:r>
              <w:rPr>
                <w:sz w:val="19"/>
              </w:rPr>
              <w:t>Five epochs on bounded development data</w:t>
            </w:r>
          </w:p>
        </w:tc>
        <w:tc>
          <w:tcPr>
            <w:tcW w:type="dxa" w:w="3888"/>
            <w:vAlign w:val="center"/>
            <w:shd w:fill="F7F8FA"/>
            <w:tcMar>
              <w:top w:w="65" w:type="dxa"/>
              <w:bottom w:w="65" w:type="dxa"/>
              <w:left w:w="90" w:type="dxa"/>
              <w:right w:w="90" w:type="dxa"/>
            </w:tcMar>
          </w:tcPr>
          <w:p>
            <w:pPr>
              <w:spacing w:after="0" w:line="245" w:lineRule="auto"/>
            </w:pPr>
            <w:r>
              <w:rPr>
                <w:sz w:val="19"/>
              </w:rPr>
              <w:t>Preliminary learning results; no final model qualification</w:t>
            </w:r>
          </w:p>
        </w:tc>
      </w:tr>
    </w:tbl>
    <w:p>
      <w:pPr>
        <w:spacing w:after="0"/>
      </w:pPr>
    </w:p>
    <w:p>
      <w:r>
        <w:t>Output SNR compares retained reference energy with reconstruction-error energy. Channel-first mean SNR and mean pooled-window SNR use different aggregation and are reported separately. Native EEG has no paired clean target and receives correlation and preservation measures. All numerical results were produced on Kaggle; this document assembles saved evidence.</w:t>
      </w:r>
    </w:p>
    <w:p>
      <w:pPr>
        <w:pStyle w:val="Heading1"/>
        <w:pageBreakBefore/>
      </w:pPr>
      <w:r>
        <w:t>2 Literature and the fixed frontal correction screen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2664"/>
        <w:gridCol w:w="3888"/>
      </w:tblGrid>
      <w:tr>
        <w:trPr>
          <w:cantSplit/>
          <w:tblHeader/>
        </w:trPr>
        <w:tc>
          <w:tcPr>
            <w:tcW w:type="dxa" w:w="3096"/>
            <w:vAlign w:val="center"/>
            <w:shd w:fill="E9EEF3"/>
            <w:tcMar>
              <w:top w:w="65" w:type="dxa"/>
              <w:bottom w:w="65" w:type="dxa"/>
              <w:left w:w="90" w:type="dxa"/>
              <w:right w:w="90" w:type="dxa"/>
            </w:tcMar>
          </w:tcPr>
          <w:p>
            <w:pPr>
              <w:spacing w:after="0" w:line="245" w:lineRule="auto"/>
            </w:pPr>
            <w:r>
              <w:rPr>
                <w:b/>
                <w:sz w:val="19"/>
              </w:rPr>
              <w:t>Reference</w:t>
            </w:r>
          </w:p>
        </w:tc>
        <w:tc>
          <w:tcPr>
            <w:tcW w:type="dxa" w:w="2664"/>
            <w:vAlign w:val="center"/>
            <w:shd w:fill="E9EEF3"/>
            <w:tcMar>
              <w:top w:w="65" w:type="dxa"/>
              <w:bottom w:w="65" w:type="dxa"/>
              <w:left w:w="90" w:type="dxa"/>
              <w:right w:w="90" w:type="dxa"/>
            </w:tcMar>
          </w:tcPr>
          <w:p>
            <w:pPr>
              <w:spacing w:after="0" w:line="245" w:lineRule="auto"/>
            </w:pPr>
            <w:r>
              <w:rPr>
                <w:b/>
                <w:sz w:val="19"/>
              </w:rPr>
              <w:t>Idea affecting our design</w:t>
            </w:r>
          </w:p>
        </w:tc>
        <w:tc>
          <w:tcPr>
            <w:tcW w:type="dxa" w:w="3888"/>
            <w:vAlign w:val="center"/>
            <w:shd w:fill="E9EEF3"/>
            <w:tcMar>
              <w:top w:w="65" w:type="dxa"/>
              <w:bottom w:w="65" w:type="dxa"/>
              <w:left w:w="90" w:type="dxa"/>
              <w:right w:w="90" w:type="dxa"/>
            </w:tcMar>
          </w:tcPr>
          <w:p>
            <w:pPr>
              <w:spacing w:after="0" w:line="245" w:lineRule="auto"/>
            </w:pPr>
            <w:r>
              <w:rPr>
                <w:b/>
                <w:sz w:val="19"/>
              </w:rPr>
              <w:t>Implementation status</w:t>
            </w:r>
          </w:p>
        </w:tc>
      </w:tr>
      <w:tr>
        <w:trPr>
          <w:cantSplit/>
        </w:trPr>
        <w:tc>
          <w:tcPr>
            <w:tcW w:type="dxa" w:w="3096"/>
            <w:vAlign w:val="center"/>
            <w:shd w:fill="FFFFFF"/>
            <w:tcMar>
              <w:top w:w="65" w:type="dxa"/>
              <w:bottom w:w="65" w:type="dxa"/>
              <w:left w:w="90" w:type="dxa"/>
              <w:right w:w="90" w:type="dxa"/>
            </w:tcMar>
          </w:tcPr>
          <w:p>
            <w:pPr>
              <w:spacing w:after="0" w:line="245" w:lineRule="auto"/>
            </w:pPr>
            <w:r>
              <w:rPr>
                <w:sz w:val="19"/>
              </w:rPr>
              <w:t>Dora and Biswal 2020 [6]</w:t>
            </w:r>
          </w:p>
        </w:tc>
        <w:tc>
          <w:tcPr>
            <w:tcW w:type="dxa" w:w="2664"/>
            <w:vAlign w:val="center"/>
            <w:shd w:fill="FFFFFF"/>
            <w:tcMar>
              <w:top w:w="65" w:type="dxa"/>
              <w:bottom w:w="65" w:type="dxa"/>
              <w:left w:w="90" w:type="dxa"/>
              <w:right w:w="90" w:type="dxa"/>
            </w:tcMar>
          </w:tcPr>
          <w:p>
            <w:pPr>
              <w:spacing w:after="0" w:line="245" w:lineRule="auto"/>
            </w:pPr>
            <w:r>
              <w:rPr>
                <w:sz w:val="19"/>
              </w:rPr>
              <w:t>Detect contaminated segments, estimate ocular content with VMD, then regress</w:t>
            </w:r>
          </w:p>
        </w:tc>
        <w:tc>
          <w:tcPr>
            <w:tcW w:type="dxa" w:w="3888"/>
            <w:vAlign w:val="center"/>
            <w:shd w:fill="FFFFFF"/>
            <w:tcMar>
              <w:top w:w="65" w:type="dxa"/>
              <w:bottom w:w="65" w:type="dxa"/>
              <w:left w:w="90" w:type="dxa"/>
              <w:right w:w="90" w:type="dxa"/>
            </w:tcMar>
          </w:tcPr>
          <w:p>
            <w:pPr>
              <w:spacing w:after="0" w:line="245" w:lineRule="auto"/>
            </w:pPr>
            <w:r>
              <w:rPr>
                <w:sz w:val="19"/>
              </w:rPr>
              <w:t>Full numerical settings unavailable; exact reproduction deferred</w:t>
            </w:r>
          </w:p>
        </w:tc>
      </w:tr>
      <w:tr>
        <w:trPr>
          <w:cantSplit/>
        </w:trPr>
        <w:tc>
          <w:tcPr>
            <w:tcW w:type="dxa" w:w="3096"/>
            <w:vAlign w:val="center"/>
            <w:shd w:fill="F7F8FA"/>
            <w:tcMar>
              <w:top w:w="65" w:type="dxa"/>
              <w:bottom w:w="65" w:type="dxa"/>
              <w:left w:w="90" w:type="dxa"/>
              <w:right w:w="90" w:type="dxa"/>
            </w:tcMar>
          </w:tcPr>
          <w:p>
            <w:pPr>
              <w:spacing w:after="0" w:line="245" w:lineRule="auto"/>
            </w:pPr>
            <w:r>
              <w:rPr>
                <w:sz w:val="19"/>
              </w:rPr>
              <w:t>Liu and Zhang 2022 [7]</w:t>
            </w:r>
          </w:p>
        </w:tc>
        <w:tc>
          <w:tcPr>
            <w:tcW w:type="dxa" w:w="2664"/>
            <w:vAlign w:val="center"/>
            <w:shd w:fill="F7F8FA"/>
            <w:tcMar>
              <w:top w:w="65" w:type="dxa"/>
              <w:bottom w:w="65" w:type="dxa"/>
              <w:left w:w="90" w:type="dxa"/>
              <w:right w:w="90" w:type="dxa"/>
            </w:tcMar>
          </w:tcPr>
          <w:p>
            <w:pPr>
              <w:spacing w:after="0" w:line="245" w:lineRule="auto"/>
            </w:pPr>
            <w:r>
              <w:rPr>
                <w:sz w:val="19"/>
              </w:rPr>
              <w:t>VMD followed by SOBI and reference/entropy source selection</w:t>
            </w:r>
          </w:p>
        </w:tc>
        <w:tc>
          <w:tcPr>
            <w:tcW w:type="dxa" w:w="3888"/>
            <w:vAlign w:val="center"/>
            <w:shd w:fill="F7F8FA"/>
            <w:tcMar>
              <w:top w:w="65" w:type="dxa"/>
              <w:bottom w:w="65" w:type="dxa"/>
              <w:left w:w="90" w:type="dxa"/>
              <w:right w:w="90" w:type="dxa"/>
            </w:tcMar>
          </w:tcPr>
          <w:p>
            <w:pPr>
              <w:spacing w:after="0" w:line="245" w:lineRule="auto"/>
            </w:pPr>
            <w:r>
              <w:rPr>
                <w:sz w:val="19"/>
              </w:rPr>
              <w:t>Independent selector and solver adaptation; author helpers missing</w:t>
            </w:r>
          </w:p>
        </w:tc>
      </w:tr>
      <w:tr>
        <w:trPr>
          <w:cantSplit/>
        </w:trPr>
        <w:tc>
          <w:tcPr>
            <w:tcW w:type="dxa" w:w="3096"/>
            <w:vAlign w:val="center"/>
            <w:shd w:fill="FFFFFF"/>
            <w:tcMar>
              <w:top w:w="65" w:type="dxa"/>
              <w:bottom w:w="65" w:type="dxa"/>
              <w:left w:w="90" w:type="dxa"/>
              <w:right w:w="90" w:type="dxa"/>
            </w:tcMar>
          </w:tcPr>
          <w:p>
            <w:pPr>
              <w:spacing w:after="0" w:line="245" w:lineRule="auto"/>
            </w:pPr>
            <w:r>
              <w:rPr>
                <w:sz w:val="19"/>
              </w:rPr>
              <w:t>Xiong et al 2024 [8]</w:t>
            </w:r>
          </w:p>
        </w:tc>
        <w:tc>
          <w:tcPr>
            <w:tcW w:type="dxa" w:w="2664"/>
            <w:vAlign w:val="center"/>
            <w:shd w:fill="FFFFFF"/>
            <w:tcMar>
              <w:top w:w="65" w:type="dxa"/>
              <w:bottom w:w="65" w:type="dxa"/>
              <w:left w:w="90" w:type="dxa"/>
              <w:right w:w="90" w:type="dxa"/>
            </w:tcMar>
          </w:tcPr>
          <w:p>
            <w:pPr>
              <w:spacing w:after="0" w:line="245" w:lineRule="auto"/>
            </w:pPr>
            <w:r>
              <w:rPr>
                <w:sz w:val="19"/>
              </w:rPr>
              <w:t>Separate SVM detection, optimized VMD, SOBI and approximate entropy</w:t>
            </w:r>
          </w:p>
        </w:tc>
        <w:tc>
          <w:tcPr>
            <w:tcW w:type="dxa" w:w="3888"/>
            <w:vAlign w:val="center"/>
            <w:shd w:fill="FFFFFF"/>
            <w:tcMar>
              <w:top w:w="65" w:type="dxa"/>
              <w:bottom w:w="65" w:type="dxa"/>
              <w:left w:w="90" w:type="dxa"/>
              <w:right w:w="90" w:type="dxa"/>
            </w:tcMar>
          </w:tcPr>
          <w:p>
            <w:pPr>
              <w:spacing w:after="0" w:line="245" w:lineRule="auto"/>
            </w:pPr>
            <w:r>
              <w:rPr>
                <w:sz w:val="19"/>
              </w:rPr>
              <w:t>Fixed-parameter adaptation; GA and mRMR deferred</w:t>
            </w:r>
          </w:p>
        </w:tc>
      </w:tr>
      <w:tr>
        <w:trPr>
          <w:cantSplit/>
        </w:trPr>
        <w:tc>
          <w:tcPr>
            <w:tcW w:type="dxa" w:w="3096"/>
            <w:vAlign w:val="center"/>
            <w:shd w:fill="F7F8FA"/>
            <w:tcMar>
              <w:top w:w="65" w:type="dxa"/>
              <w:bottom w:w="65" w:type="dxa"/>
              <w:left w:w="90" w:type="dxa"/>
              <w:right w:w="90" w:type="dxa"/>
            </w:tcMar>
          </w:tcPr>
          <w:p>
            <w:pPr>
              <w:spacing w:after="0" w:line="245" w:lineRule="auto"/>
            </w:pPr>
            <w:r>
              <w:rPr>
                <w:sz w:val="19"/>
              </w:rPr>
              <w:t>Schlögl et al 2007 [9]</w:t>
            </w:r>
          </w:p>
        </w:tc>
        <w:tc>
          <w:tcPr>
            <w:tcW w:type="dxa" w:w="2664"/>
            <w:vAlign w:val="center"/>
            <w:shd w:fill="F7F8FA"/>
            <w:tcMar>
              <w:top w:w="65" w:type="dxa"/>
              <w:bottom w:w="65" w:type="dxa"/>
              <w:left w:w="90" w:type="dxa"/>
              <w:right w:w="90" w:type="dxa"/>
            </w:tcMar>
          </w:tcPr>
          <w:p>
            <w:pPr>
              <w:spacing w:after="0" w:line="245" w:lineRule="auto"/>
            </w:pPr>
            <w:r>
              <w:rPr>
                <w:sz w:val="19"/>
              </w:rPr>
              <w:t>Reference regression as a legitimate ocular correction method</w:t>
            </w:r>
          </w:p>
        </w:tc>
        <w:tc>
          <w:tcPr>
            <w:tcW w:type="dxa" w:w="3888"/>
            <w:vAlign w:val="center"/>
            <w:shd w:fill="F7F8FA"/>
            <w:tcMar>
              <w:top w:w="65" w:type="dxa"/>
              <w:bottom w:w="65" w:type="dxa"/>
              <w:left w:w="90" w:type="dxa"/>
              <w:right w:w="90" w:type="dxa"/>
            </w:tcMar>
          </w:tcPr>
          <w:p>
            <w:pPr>
              <w:spacing w:after="0" w:line="245" w:lineRule="auto"/>
            </w:pPr>
            <w:r>
              <w:rPr>
                <w:sz w:val="19"/>
              </w:rPr>
              <w:t>Our lagged ridge/gain is an extension, not exact replication</w:t>
            </w:r>
          </w:p>
        </w:tc>
      </w:tr>
      <w:tr>
        <w:trPr>
          <w:cantSplit/>
        </w:trPr>
        <w:tc>
          <w:tcPr>
            <w:tcW w:type="dxa" w:w="3096"/>
            <w:vAlign w:val="center"/>
            <w:shd w:fill="FFFFFF"/>
            <w:tcMar>
              <w:top w:w="65" w:type="dxa"/>
              <w:bottom w:w="65" w:type="dxa"/>
              <w:left w:w="90" w:type="dxa"/>
              <w:right w:w="90" w:type="dxa"/>
            </w:tcMar>
          </w:tcPr>
          <w:p>
            <w:pPr>
              <w:spacing w:after="0" w:line="245" w:lineRule="auto"/>
            </w:pPr>
            <w:r>
              <w:rPr>
                <w:sz w:val="19"/>
              </w:rPr>
              <w:t>Plöchl et al 2012 [10]</w:t>
            </w:r>
          </w:p>
        </w:tc>
        <w:tc>
          <w:tcPr>
            <w:tcW w:type="dxa" w:w="2664"/>
            <w:vAlign w:val="center"/>
            <w:shd w:fill="FFFFFF"/>
            <w:tcMar>
              <w:top w:w="65" w:type="dxa"/>
              <w:bottom w:w="65" w:type="dxa"/>
              <w:left w:w="90" w:type="dxa"/>
              <w:right w:w="90" w:type="dxa"/>
            </w:tcMar>
          </w:tcPr>
          <w:p>
            <w:pPr>
              <w:spacing w:after="0" w:line="245" w:lineRule="auto"/>
            </w:pPr>
            <w:r>
              <w:rPr>
                <w:sz w:val="19"/>
              </w:rPr>
              <w:t>Distinct ocular contributions and spatial patterns</w:t>
            </w:r>
          </w:p>
        </w:tc>
        <w:tc>
          <w:tcPr>
            <w:tcW w:type="dxa" w:w="3888"/>
            <w:vAlign w:val="center"/>
            <w:shd w:fill="FFFFFF"/>
            <w:tcMar>
              <w:top w:w="65" w:type="dxa"/>
              <w:bottom w:w="65" w:type="dxa"/>
              <w:left w:w="90" w:type="dxa"/>
              <w:right w:w="90" w:type="dxa"/>
            </w:tcMar>
          </w:tcPr>
          <w:p>
            <w:pPr>
              <w:spacing w:after="0" w:line="245" w:lineRule="auto"/>
            </w:pPr>
            <w:r>
              <w:rPr>
                <w:sz w:val="19"/>
              </w:rPr>
              <w:t>Motivates signed axis evidence; not eye-tracker-guided replication</w:t>
            </w:r>
          </w:p>
        </w:tc>
      </w:tr>
      <w:tr>
        <w:trPr>
          <w:cantSplit/>
        </w:trPr>
        <w:tc>
          <w:tcPr>
            <w:tcW w:type="dxa" w:w="3096"/>
            <w:vAlign w:val="center"/>
            <w:shd w:fill="F7F8FA"/>
            <w:tcMar>
              <w:top w:w="65" w:type="dxa"/>
              <w:bottom w:w="65" w:type="dxa"/>
              <w:left w:w="90" w:type="dxa"/>
              <w:right w:w="90" w:type="dxa"/>
            </w:tcMar>
          </w:tcPr>
          <w:p>
            <w:pPr>
              <w:spacing w:after="0" w:line="245" w:lineRule="auto"/>
            </w:pPr>
            <w:r>
              <w:rPr>
                <w:sz w:val="19"/>
              </w:rPr>
              <w:t>Issa and Juhasz 2019 [11]</w:t>
            </w:r>
          </w:p>
        </w:tc>
        <w:tc>
          <w:tcPr>
            <w:tcW w:type="dxa" w:w="2664"/>
            <w:vAlign w:val="center"/>
            <w:shd w:fill="F7F8FA"/>
            <w:tcMar>
              <w:top w:w="65" w:type="dxa"/>
              <w:bottom w:w="65" w:type="dxa"/>
              <w:left w:w="90" w:type="dxa"/>
              <w:right w:w="90" w:type="dxa"/>
            </w:tcMar>
          </w:tcPr>
          <w:p>
            <w:pPr>
              <w:spacing w:after="0" w:line="245" w:lineRule="auto"/>
            </w:pPr>
            <w:r>
              <w:rPr>
                <w:sz w:val="19"/>
              </w:rPr>
              <w:t>Repair contaminated component intervals</w:t>
            </w:r>
          </w:p>
        </w:tc>
        <w:tc>
          <w:tcPr>
            <w:tcW w:type="dxa" w:w="3888"/>
            <w:vAlign w:val="center"/>
            <w:shd w:fill="F7F8FA"/>
            <w:tcMar>
              <w:top w:w="65" w:type="dxa"/>
              <w:bottom w:w="65" w:type="dxa"/>
              <w:left w:w="90" w:type="dxa"/>
              <w:right w:w="90" w:type="dxa"/>
            </w:tcMar>
          </w:tcPr>
          <w:p>
            <w:pPr>
              <w:spacing w:after="0" w:line="245" w:lineRule="auto"/>
            </w:pPr>
            <w:r>
              <w:rPr>
                <w:sz w:val="19"/>
              </w:rPr>
              <w:t>Wavelet/ICA adaptations later tested; not full published-method parity</w:t>
            </w:r>
          </w:p>
        </w:tc>
      </w:tr>
    </w:tbl>
    <w:p>
      <w:pPr>
        <w:spacing w:after="0"/>
      </w:pPr>
    </w:p>
    <w:p>
      <w:r>
        <w:t>The 2022 author repository lacks required FuzzyEntropy/SNR helpers and uses VMD/SOBI conventions different from ours. Our observed HEOG/VEOG cannot be equated to an unspecified supplied or true simulated artifact reference. The 2024 paper’s printed optimum conflicts with its declared parameter ranges. We recorded the discrepancy rather than inventing a justified setting. Missing full settings prevent exact-replication claims.</w:t>
      </w:r>
    </w:p>
    <w:p>
      <w:pPr>
        <w:pStyle w:val="Heading2"/>
      </w:pPr>
      <w:r>
        <w:t>Completed correction screen</w:t>
      </w:r>
    </w:p>
    <w:p>
      <w:r>
        <w:t>708 correction recipes were evaluated on 20 examples from five recipients/five donors and 13 verified frontal channel names. Fixed K3/K4 decompositions were used; this was a correction-bank screen, not a resumed AutoVMD search. Selected results below are matched on that screen.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2664"/>
        <w:gridCol w:w="3888"/>
      </w:tblGrid>
      <w:tr>
        <w:trPr>
          <w:cantSplit/>
          <w:tblHeader/>
        </w:trPr>
        <w:tc>
          <w:tcPr>
            <w:tcW w:type="dxa" w:w="3096"/>
            <w:vAlign w:val="center"/>
            <w:shd w:fill="E9EEF3"/>
            <w:tcMar>
              <w:top w:w="65" w:type="dxa"/>
              <w:bottom w:w="65" w:type="dxa"/>
              <w:left w:w="90" w:type="dxa"/>
              <w:right w:w="90" w:type="dxa"/>
            </w:tcMar>
          </w:tcPr>
          <w:p>
            <w:pPr>
              <w:spacing w:after="0" w:line="245" w:lineRule="auto"/>
            </w:pPr>
            <w:r>
              <w:rPr>
                <w:b/>
                <w:sz w:val="19"/>
              </w:rPr>
              <w:t>Fixed method</w:t>
            </w:r>
          </w:p>
        </w:tc>
        <w:tc>
          <w:tcPr>
            <w:tcW w:type="dxa" w:w="2664"/>
            <w:vAlign w:val="center"/>
            <w:shd w:fill="E9EEF3"/>
            <w:tcMar>
              <w:top w:w="65" w:type="dxa"/>
              <w:bottom w:w="65" w:type="dxa"/>
              <w:left w:w="90" w:type="dxa"/>
              <w:right w:w="90" w:type="dxa"/>
            </w:tcMar>
          </w:tcPr>
          <w:p>
            <w:pPr>
              <w:spacing w:after="0" w:line="245" w:lineRule="auto"/>
            </w:pPr>
            <w:r>
              <w:rPr>
                <w:b/>
                <w:sz w:val="19"/>
              </w:rPr>
              <w:t>Frontal output SNR dB</w:t>
            </w:r>
          </w:p>
        </w:tc>
        <w:tc>
          <w:tcPr>
            <w:tcW w:type="dxa" w:w="3888"/>
            <w:vAlign w:val="center"/>
            <w:shd w:fill="E9EEF3"/>
            <w:tcMar>
              <w:top w:w="65" w:type="dxa"/>
              <w:bottom w:w="65" w:type="dxa"/>
              <w:left w:w="90" w:type="dxa"/>
              <w:right w:w="90" w:type="dxa"/>
            </w:tcMar>
          </w:tcPr>
          <w:p>
            <w:pPr>
              <w:spacing w:after="0" w:line="245" w:lineRule="auto"/>
            </w:pPr>
            <w:r>
              <w:rPr>
                <w:b/>
                <w:sz w:val="19"/>
              </w:rPr>
              <w:t>Pearson CC</w:t>
            </w:r>
          </w:p>
        </w:tc>
      </w:tr>
      <w:tr>
        <w:trPr>
          <w:cantSplit/>
        </w:trPr>
        <w:tc>
          <w:tcPr>
            <w:tcW w:type="dxa" w:w="3096"/>
            <w:vAlign w:val="center"/>
            <w:shd w:fill="FFFFFF"/>
            <w:tcMar>
              <w:top w:w="65" w:type="dxa"/>
              <w:bottom w:w="65" w:type="dxa"/>
              <w:left w:w="90" w:type="dxa"/>
              <w:right w:w="90" w:type="dxa"/>
            </w:tcMar>
          </w:tcPr>
          <w:p>
            <w:pPr>
              <w:spacing w:after="0" w:line="245" w:lineRule="auto"/>
            </w:pPr>
            <w:r>
              <w:rPr>
                <w:sz w:val="19"/>
              </w:rPr>
              <w:t>Direct joint HEOG/VEOG regression</w:t>
            </w:r>
          </w:p>
        </w:tc>
        <w:tc>
          <w:tcPr>
            <w:tcW w:type="dxa" w:w="2664"/>
            <w:vAlign w:val="center"/>
            <w:shd w:fill="FFFFFF"/>
            <w:tcMar>
              <w:top w:w="65" w:type="dxa"/>
              <w:bottom w:w="65" w:type="dxa"/>
              <w:left w:w="90" w:type="dxa"/>
              <w:right w:w="90" w:type="dxa"/>
            </w:tcMar>
          </w:tcPr>
          <w:p>
            <w:pPr>
              <w:spacing w:after="0" w:line="245" w:lineRule="auto"/>
            </w:pPr>
            <w:r>
              <w:rPr>
                <w:sz w:val="19"/>
              </w:rPr>
              <w:t>12.7468</w:t>
            </w:r>
          </w:p>
        </w:tc>
        <w:tc>
          <w:tcPr>
            <w:tcW w:type="dxa" w:w="3888"/>
            <w:vAlign w:val="center"/>
            <w:shd w:fill="FFFFFF"/>
            <w:tcMar>
              <w:top w:w="65" w:type="dxa"/>
              <w:bottom w:w="65" w:type="dxa"/>
              <w:left w:w="90" w:type="dxa"/>
              <w:right w:w="90" w:type="dxa"/>
            </w:tcMar>
          </w:tcPr>
          <w:p>
            <w:pPr>
              <w:spacing w:after="0" w:line="245" w:lineRule="auto"/>
            </w:pPr>
            <w:r>
              <w:rPr>
                <w:sz w:val="19"/>
              </w:rPr>
              <w:t>0.97217</w:t>
            </w:r>
          </w:p>
        </w:tc>
      </w:tr>
      <w:tr>
        <w:trPr>
          <w:cantSplit/>
        </w:trPr>
        <w:tc>
          <w:tcPr>
            <w:tcW w:type="dxa" w:w="3096"/>
            <w:vAlign w:val="center"/>
            <w:shd w:fill="F7F8FA"/>
            <w:tcMar>
              <w:top w:w="65" w:type="dxa"/>
              <w:bottom w:w="65" w:type="dxa"/>
              <w:left w:w="90" w:type="dxa"/>
              <w:right w:w="90" w:type="dxa"/>
            </w:tcMar>
          </w:tcPr>
          <w:p>
            <w:pPr>
              <w:spacing w:after="0" w:line="245" w:lineRule="auto"/>
            </w:pPr>
            <w:r>
              <w:rPr>
                <w:sz w:val="19"/>
              </w:rPr>
              <w:t>Projected VMD K3 / K4</w:t>
            </w:r>
          </w:p>
        </w:tc>
        <w:tc>
          <w:tcPr>
            <w:tcW w:type="dxa" w:w="2664"/>
            <w:vAlign w:val="center"/>
            <w:shd w:fill="F7F8FA"/>
            <w:tcMar>
              <w:top w:w="65" w:type="dxa"/>
              <w:bottom w:w="65" w:type="dxa"/>
              <w:left w:w="90" w:type="dxa"/>
              <w:right w:w="90" w:type="dxa"/>
            </w:tcMar>
          </w:tcPr>
          <w:p>
            <w:pPr>
              <w:spacing w:after="0" w:line="245" w:lineRule="auto"/>
            </w:pPr>
            <w:r>
              <w:rPr>
                <w:sz w:val="19"/>
              </w:rPr>
              <w:t>12.1386 / 12.3030</w:t>
            </w:r>
          </w:p>
        </w:tc>
        <w:tc>
          <w:tcPr>
            <w:tcW w:type="dxa" w:w="3888"/>
            <w:vAlign w:val="center"/>
            <w:shd w:fill="F7F8FA"/>
            <w:tcMar>
              <w:top w:w="65" w:type="dxa"/>
              <w:bottom w:w="65" w:type="dxa"/>
              <w:left w:w="90" w:type="dxa"/>
              <w:right w:w="90" w:type="dxa"/>
            </w:tcMar>
          </w:tcPr>
          <w:p>
            <w:pPr>
              <w:spacing w:after="0" w:line="245" w:lineRule="auto"/>
            </w:pPr>
            <w:r>
              <w:rPr>
                <w:sz w:val="19"/>
              </w:rPr>
              <w:t>0.95825 / 0.95890</w:t>
            </w:r>
          </w:p>
        </w:tc>
      </w:tr>
      <w:tr>
        <w:trPr>
          <w:cantSplit/>
        </w:trPr>
        <w:tc>
          <w:tcPr>
            <w:tcW w:type="dxa" w:w="3096"/>
            <w:vAlign w:val="center"/>
            <w:shd w:fill="FFFFFF"/>
            <w:tcMar>
              <w:top w:w="65" w:type="dxa"/>
              <w:bottom w:w="65" w:type="dxa"/>
              <w:left w:w="90" w:type="dxa"/>
              <w:right w:w="90" w:type="dxa"/>
            </w:tcMar>
          </w:tcPr>
          <w:p>
            <w:pPr>
              <w:spacing w:after="0" w:line="245" w:lineRule="auto"/>
            </w:pPr>
            <w:r>
              <w:rPr>
                <w:sz w:val="19"/>
              </w:rPr>
              <w:t>Projected SOBI K3 / K4</w:t>
            </w:r>
          </w:p>
        </w:tc>
        <w:tc>
          <w:tcPr>
            <w:tcW w:type="dxa" w:w="2664"/>
            <w:vAlign w:val="center"/>
            <w:shd w:fill="FFFFFF"/>
            <w:tcMar>
              <w:top w:w="65" w:type="dxa"/>
              <w:bottom w:w="65" w:type="dxa"/>
              <w:left w:w="90" w:type="dxa"/>
              <w:right w:w="90" w:type="dxa"/>
            </w:tcMar>
          </w:tcPr>
          <w:p>
            <w:pPr>
              <w:spacing w:after="0" w:line="245" w:lineRule="auto"/>
            </w:pPr>
            <w:r>
              <w:rPr>
                <w:sz w:val="19"/>
              </w:rPr>
              <w:t>12.1348 / 12.2936</w:t>
            </w:r>
          </w:p>
        </w:tc>
        <w:tc>
          <w:tcPr>
            <w:tcW w:type="dxa" w:w="3888"/>
            <w:vAlign w:val="center"/>
            <w:shd w:fill="FFFFFF"/>
            <w:tcMar>
              <w:top w:w="65" w:type="dxa"/>
              <w:bottom w:w="65" w:type="dxa"/>
              <w:left w:w="90" w:type="dxa"/>
              <w:right w:w="90" w:type="dxa"/>
            </w:tcMar>
          </w:tcPr>
          <w:p>
            <w:pPr>
              <w:spacing w:after="0" w:line="245" w:lineRule="auto"/>
            </w:pPr>
            <w:r>
              <w:rPr>
                <w:sz w:val="19"/>
              </w:rPr>
              <w:t>0.95819 / 0.95863</w:t>
            </w:r>
          </w:p>
        </w:tc>
      </w:tr>
    </w:tbl>
    <w:p>
      <w:pPr>
        <w:spacing w:after="0"/>
      </w:pPr>
    </w:p>
    <w:p>
      <w:r>
        <w:t>Both VMD arms miss 15 dB and exceed the declared CC-deterioration limit. Added separation did not establish a benefit. Whole-mode/entropy variants remained in the negative-result tables.</w:t>
      </w:r>
    </w:p>
    <w:p>
      <w:r>
        <w:t>Evidence: [E2], [E5].</w:t>
      </w:r>
    </w:p>
    <w:p>
      <w:pPr>
        <w:pStyle w:val="Heading1"/>
        <w:pageBreakBefore/>
      </w:pPr>
      <w:r>
        <w:t>3 Historical replay and calibrated frontal transfer</w:t>
      </w:r>
    </w:p>
    <w:p>
      <w:pPr>
        <w:pStyle w:val="Heading2"/>
      </w:pPr>
      <w:r>
        <w:t>What actually produced the historical 17 dB result</w:t>
      </w:r>
    </w:p>
    <w:p>
      <w:r>
        <w:t>The guarded replay reached 17.927210 dB on 24 windows from eight reused Klados records, using all 19 rows with unknown anatomy. It required K3/2000 VMD, HEOG/VEOG, a 2,499-parameter EOGContextGainStudent MLP and a support gate. It was not VMD alone, an EEG-only deployment model, or verified frontal/posterior integration. The archived aggregation differs from the newer regional protocol. An 18.0249 dB alternate guard failed its clean-change criterion and was not the retained safe recipe.</w:t>
      </w:r>
    </w:p>
    <w:p>
      <w:r>
        <w:t>Direct transfer of that mechanism did not reproduce 17.93 on the newer controlled corpus: frozen frontal and anchored variants scored about 8.77/8.90 dB. Consistent-unit replays did not rescue them. This rejected a simple “reuse K/alpha and recover the old score” argument.</w:t>
      </w:r>
    </w:p>
    <w:p>
      <w:pPr>
        <w:pStyle w:val="Heading2"/>
      </w:pPr>
      <w:r>
        <w:t>New calibration-based field estimate</w:t>
      </w:r>
    </w:p>
    <w:p>
      <w:r>
        <w:t>Using unscored same-record EEG and HEOG/VEOG, we fit a signed ocular transfer. Reference rows use lags −10/0/+10 samples, or ±50 ms at 200 Hz; ridge penalty is 0.01 and trial-boundary lag columns are excluded. Observed scoring EEG provides a bounded gain. Association 0.4 controls intervention; selected modes use declared 0.2 reference evidence. These are project settings, not universal paper optima.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16"/>
        <w:gridCol w:w="1944"/>
        <w:gridCol w:w="1944"/>
        <w:gridCol w:w="1944"/>
      </w:tblGrid>
      <w:tr>
        <w:trPr>
          <w:cantSplit/>
          <w:tblHeader/>
        </w:trPr>
        <w:tc>
          <w:tcPr>
            <w:tcW w:type="dxa" w:w="3816"/>
            <w:vAlign w:val="center"/>
            <w:shd w:fill="E9EEF3"/>
            <w:tcMar>
              <w:top w:w="65" w:type="dxa"/>
              <w:bottom w:w="65" w:type="dxa"/>
              <w:left w:w="90" w:type="dxa"/>
              <w:right w:w="90" w:type="dxa"/>
            </w:tcMar>
          </w:tcPr>
          <w:p>
            <w:pPr>
              <w:spacing w:after="0" w:line="245" w:lineRule="auto"/>
            </w:pPr>
            <w:r>
              <w:rPr>
                <w:b/>
                <w:sz w:val="19"/>
              </w:rPr>
              <w:t>Earlier matched controlled frontal method</w:t>
            </w:r>
          </w:p>
        </w:tc>
        <w:tc>
          <w:tcPr>
            <w:tcW w:type="dxa" w:w="1944"/>
            <w:vAlign w:val="center"/>
            <w:shd w:fill="E9EEF3"/>
            <w:tcMar>
              <w:top w:w="65" w:type="dxa"/>
              <w:bottom w:w="65" w:type="dxa"/>
              <w:left w:w="90" w:type="dxa"/>
              <w:right w:w="90" w:type="dxa"/>
            </w:tcMar>
          </w:tcPr>
          <w:p>
            <w:pPr>
              <w:spacing w:after="0" w:line="245" w:lineRule="auto"/>
            </w:pPr>
            <w:r>
              <w:rPr>
                <w:b/>
                <w:sz w:val="19"/>
              </w:rPr>
              <w:t>Output SNR dB</w:t>
            </w:r>
          </w:p>
        </w:tc>
        <w:tc>
          <w:tcPr>
            <w:tcW w:type="dxa" w:w="1944"/>
            <w:vAlign w:val="center"/>
            <w:shd w:fill="E9EEF3"/>
            <w:tcMar>
              <w:top w:w="65" w:type="dxa"/>
              <w:bottom w:w="65" w:type="dxa"/>
              <w:left w:w="90" w:type="dxa"/>
              <w:right w:w="90" w:type="dxa"/>
            </w:tcMar>
          </w:tcPr>
          <w:p>
            <w:pPr>
              <w:spacing w:after="0" w:line="245" w:lineRule="auto"/>
            </w:pPr>
            <w:r>
              <w:rPr>
                <w:b/>
                <w:sz w:val="19"/>
              </w:rPr>
              <w:t>MSE V²</w:t>
            </w:r>
          </w:p>
        </w:tc>
        <w:tc>
          <w:tcPr>
            <w:tcW w:type="dxa" w:w="1944"/>
            <w:vAlign w:val="center"/>
            <w:shd w:fill="E9EEF3"/>
            <w:tcMar>
              <w:top w:w="65" w:type="dxa"/>
              <w:bottom w:w="65" w:type="dxa"/>
              <w:left w:w="90" w:type="dxa"/>
              <w:right w:w="90" w:type="dxa"/>
            </w:tcMar>
          </w:tcPr>
          <w:p>
            <w:pPr>
              <w:spacing w:after="0" w:line="245" w:lineRule="auto"/>
            </w:pPr>
            <w:r>
              <w:rPr>
                <w:b/>
                <w:sz w:val="19"/>
              </w:rPr>
              <w:t>Ordinary CC</w:t>
            </w:r>
          </w:p>
        </w:tc>
      </w:tr>
      <w:tr>
        <w:trPr>
          <w:cantSplit/>
        </w:trPr>
        <w:tc>
          <w:tcPr>
            <w:tcW w:type="dxa" w:w="3816"/>
            <w:vAlign w:val="center"/>
            <w:shd w:fill="FFFFFF"/>
            <w:tcMar>
              <w:top w:w="65" w:type="dxa"/>
              <w:bottom w:w="65" w:type="dxa"/>
              <w:left w:w="90" w:type="dxa"/>
              <w:right w:w="90" w:type="dxa"/>
            </w:tcMar>
          </w:tcPr>
          <w:p>
            <w:pPr>
              <w:spacing w:after="0" w:line="245" w:lineRule="auto"/>
            </w:pPr>
            <w:r>
              <w:rPr>
                <w:sz w:val="19"/>
              </w:rPr>
              <w:t>Calibrated VMD mode gain</w:t>
            </w:r>
          </w:p>
        </w:tc>
        <w:tc>
          <w:tcPr>
            <w:tcW w:type="dxa" w:w="1944"/>
            <w:vAlign w:val="center"/>
            <w:shd w:fill="FFFFFF"/>
            <w:tcMar>
              <w:top w:w="65" w:type="dxa"/>
              <w:bottom w:w="65" w:type="dxa"/>
              <w:left w:w="90" w:type="dxa"/>
              <w:right w:w="90" w:type="dxa"/>
            </w:tcMar>
          </w:tcPr>
          <w:p>
            <w:pPr>
              <w:spacing w:after="0" w:line="245" w:lineRule="auto"/>
            </w:pPr>
            <w:r>
              <w:rPr>
                <w:sz w:val="19"/>
              </w:rPr>
              <w:t>17.112814</w:t>
            </w:r>
          </w:p>
        </w:tc>
        <w:tc>
          <w:tcPr>
            <w:tcW w:type="dxa" w:w="1944"/>
            <w:vAlign w:val="center"/>
            <w:shd w:fill="FFFFFF"/>
            <w:tcMar>
              <w:top w:w="65" w:type="dxa"/>
              <w:bottom w:w="65" w:type="dxa"/>
              <w:left w:w="90" w:type="dxa"/>
              <w:right w:w="90" w:type="dxa"/>
            </w:tcMar>
          </w:tcPr>
          <w:p>
            <w:pPr>
              <w:spacing w:after="0" w:line="245" w:lineRule="auto"/>
            </w:pPr>
            <w:r>
              <w:rPr>
                <w:sz w:val="19"/>
              </w:rPr>
              <w:t>4.298972e−12</w:t>
            </w:r>
          </w:p>
        </w:tc>
        <w:tc>
          <w:tcPr>
            <w:tcW w:type="dxa" w:w="1944"/>
            <w:vAlign w:val="center"/>
            <w:shd w:fill="FFFFFF"/>
            <w:tcMar>
              <w:top w:w="65" w:type="dxa"/>
              <w:bottom w:w="65" w:type="dxa"/>
              <w:left w:w="90" w:type="dxa"/>
              <w:right w:w="90" w:type="dxa"/>
            </w:tcMar>
          </w:tcPr>
          <w:p>
            <w:pPr>
              <w:spacing w:after="0" w:line="245" w:lineRule="auto"/>
            </w:pPr>
            <w:r>
              <w:rPr>
                <w:sz w:val="19"/>
              </w:rPr>
              <w:t>0.973700</w:t>
            </w:r>
          </w:p>
        </w:tc>
      </w:tr>
      <w:tr>
        <w:trPr>
          <w:cantSplit/>
        </w:trPr>
        <w:tc>
          <w:tcPr>
            <w:tcW w:type="dxa" w:w="3816"/>
            <w:vAlign w:val="center"/>
            <w:shd w:fill="F7F8FA"/>
            <w:tcMar>
              <w:top w:w="65" w:type="dxa"/>
              <w:bottom w:w="65" w:type="dxa"/>
              <w:left w:w="90" w:type="dxa"/>
              <w:right w:w="90" w:type="dxa"/>
            </w:tcMar>
          </w:tcPr>
          <w:p>
            <w:pPr>
              <w:spacing w:after="0" w:line="245" w:lineRule="auto"/>
            </w:pPr>
            <w:r>
              <w:rPr>
                <w:sz w:val="19"/>
              </w:rPr>
              <w:t>Matched calibrated raw gain</w:t>
            </w:r>
          </w:p>
        </w:tc>
        <w:tc>
          <w:tcPr>
            <w:tcW w:type="dxa" w:w="1944"/>
            <w:vAlign w:val="center"/>
            <w:shd w:fill="F7F8FA"/>
            <w:tcMar>
              <w:top w:w="65" w:type="dxa"/>
              <w:bottom w:w="65" w:type="dxa"/>
              <w:left w:w="90" w:type="dxa"/>
              <w:right w:w="90" w:type="dxa"/>
            </w:tcMar>
          </w:tcPr>
          <w:p>
            <w:pPr>
              <w:spacing w:after="0" w:line="245" w:lineRule="auto"/>
            </w:pPr>
            <w:r>
              <w:rPr>
                <w:sz w:val="19"/>
              </w:rPr>
              <w:t>18.193247</w:t>
            </w:r>
          </w:p>
        </w:tc>
        <w:tc>
          <w:tcPr>
            <w:tcW w:type="dxa" w:w="1944"/>
            <w:vAlign w:val="center"/>
            <w:shd w:fill="F7F8FA"/>
            <w:tcMar>
              <w:top w:w="65" w:type="dxa"/>
              <w:bottom w:w="65" w:type="dxa"/>
              <w:left w:w="90" w:type="dxa"/>
              <w:right w:w="90" w:type="dxa"/>
            </w:tcMar>
          </w:tcPr>
          <w:p>
            <w:pPr>
              <w:spacing w:after="0" w:line="245" w:lineRule="auto"/>
            </w:pPr>
            <w:r>
              <w:rPr>
                <w:sz w:val="19"/>
              </w:rPr>
              <w:t>3.001322e−12</w:t>
            </w:r>
          </w:p>
        </w:tc>
        <w:tc>
          <w:tcPr>
            <w:tcW w:type="dxa" w:w="1944"/>
            <w:vAlign w:val="center"/>
            <w:shd w:fill="F7F8FA"/>
            <w:tcMar>
              <w:top w:w="65" w:type="dxa"/>
              <w:bottom w:w="65" w:type="dxa"/>
              <w:left w:w="90" w:type="dxa"/>
              <w:right w:w="90" w:type="dxa"/>
            </w:tcMar>
          </w:tcPr>
          <w:p>
            <w:pPr>
              <w:spacing w:after="0" w:line="245" w:lineRule="auto"/>
            </w:pPr>
            <w:r>
              <w:rPr>
                <w:sz w:val="19"/>
              </w:rPr>
              <w:t>0.981142</w:t>
            </w:r>
          </w:p>
        </w:tc>
      </w:tr>
    </w:tbl>
    <w:p>
      <w:pPr>
        <w:spacing w:after="0"/>
      </w:pPr>
    </w:p>
    <w:p>
      <w:r>
        <w:t>Calibration transfer substantially improved this controlled branch. VMD still did not beat the raw control. Its worst-source frontal CC deterioration was 0.00744148 versus the 0.005 project limit. Idealized clean controls had zero measured modification; that did not establish preservation on native rest.</w:t>
      </w:r>
    </w:p>
    <w:p>
      <w:r/>
      <w:r>
        <w:rPr>
          <w:b/>
        </w:rPr>
        <w:t>Bottleneck:</w:t>
      </w:r>
      <w:r>
        <w:t xml:space="preserve"> severe lateral contamination remained much weaker than blink. VMD frontal lateral output was 8.9544/13.1292/16.6229 dB at nominal whole-input −5/0/+5. We investigated timing and axis-specific correction rather than treating the aggregate as sufficient.</w:t>
      </w:r>
    </w:p>
    <w:p>
      <w:r>
        <w:t>Evidence: [E6], [E7].</w:t>
      </w:r>
    </w:p>
    <w:p>
      <w:pPr>
        <w:pStyle w:val="Heading1"/>
        <w:pageBreakBefore/>
      </w:pPr>
      <w:r>
        <w:t>4 Temporal support and separate ocular axes</w:t>
      </w:r>
    </w:p>
    <w:p>
      <w:r>
        <w:t>The hypothesis was that correction should act during contaminated intervals rather than throughout any window containing ocular activity. Calibration-derived amplitude/derivative features and separate HEOG/VEOG support were tested. Scoring condition labels were not used to route inference.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2664"/>
        <w:gridCol w:w="3888"/>
      </w:tblGrid>
      <w:tr>
        <w:trPr>
          <w:cantSplit/>
          <w:tblHeader/>
        </w:trPr>
        <w:tc>
          <w:tcPr>
            <w:tcW w:type="dxa" w:w="3096"/>
            <w:vAlign w:val="center"/>
            <w:shd w:fill="E9EEF3"/>
            <w:tcMar>
              <w:top w:w="65" w:type="dxa"/>
              <w:bottom w:w="65" w:type="dxa"/>
              <w:left w:w="90" w:type="dxa"/>
              <w:right w:w="90" w:type="dxa"/>
            </w:tcMar>
          </w:tcPr>
          <w:p>
            <w:pPr>
              <w:spacing w:after="0" w:line="245" w:lineRule="auto"/>
            </w:pPr>
            <w:r>
              <w:rPr>
                <w:b/>
                <w:sz w:val="19"/>
              </w:rPr>
              <w:t>Earlier controlled frontal adaptation</w:t>
            </w:r>
          </w:p>
        </w:tc>
        <w:tc>
          <w:tcPr>
            <w:tcW w:type="dxa" w:w="2664"/>
            <w:vAlign w:val="center"/>
            <w:shd w:fill="E9EEF3"/>
            <w:tcMar>
              <w:top w:w="65" w:type="dxa"/>
              <w:bottom w:w="65" w:type="dxa"/>
              <w:left w:w="90" w:type="dxa"/>
              <w:right w:w="90" w:type="dxa"/>
            </w:tcMar>
          </w:tcPr>
          <w:p>
            <w:pPr>
              <w:spacing w:after="0" w:line="245" w:lineRule="auto"/>
            </w:pPr>
            <w:r>
              <w:rPr>
                <w:b/>
                <w:sz w:val="19"/>
              </w:rPr>
              <w:t>VMD output SNR dB</w:t>
            </w:r>
          </w:p>
        </w:tc>
        <w:tc>
          <w:tcPr>
            <w:tcW w:type="dxa" w:w="3888"/>
            <w:vAlign w:val="center"/>
            <w:shd w:fill="E9EEF3"/>
            <w:tcMar>
              <w:top w:w="65" w:type="dxa"/>
              <w:bottom w:w="65" w:type="dxa"/>
              <w:left w:w="90" w:type="dxa"/>
              <w:right w:w="90" w:type="dxa"/>
            </w:tcMar>
          </w:tcPr>
          <w:p>
            <w:pPr>
              <w:spacing w:after="0" w:line="245" w:lineRule="auto"/>
            </w:pPr>
            <w:r>
              <w:rPr>
                <w:b/>
                <w:sz w:val="19"/>
              </w:rPr>
              <w:t>Finding</w:t>
            </w:r>
          </w:p>
        </w:tc>
      </w:tr>
      <w:tr>
        <w:trPr>
          <w:cantSplit/>
        </w:trPr>
        <w:tc>
          <w:tcPr>
            <w:tcW w:type="dxa" w:w="3096"/>
            <w:vAlign w:val="center"/>
            <w:shd w:fill="FFFFFF"/>
            <w:tcMar>
              <w:top w:w="65" w:type="dxa"/>
              <w:bottom w:w="65" w:type="dxa"/>
              <w:left w:w="90" w:type="dxa"/>
              <w:right w:w="90" w:type="dxa"/>
            </w:tcMar>
          </w:tcPr>
          <w:p>
            <w:pPr>
              <w:spacing w:after="0" w:line="245" w:lineRule="auto"/>
            </w:pPr>
            <w:r>
              <w:rPr>
                <w:sz w:val="19"/>
              </w:rPr>
              <w:t>Separate-axis gain</w:t>
            </w:r>
          </w:p>
        </w:tc>
        <w:tc>
          <w:tcPr>
            <w:tcW w:type="dxa" w:w="2664"/>
            <w:vAlign w:val="center"/>
            <w:shd w:fill="FFFFFF"/>
            <w:tcMar>
              <w:top w:w="65" w:type="dxa"/>
              <w:bottom w:w="65" w:type="dxa"/>
              <w:left w:w="90" w:type="dxa"/>
              <w:right w:w="90" w:type="dxa"/>
            </w:tcMar>
          </w:tcPr>
          <w:p>
            <w:pPr>
              <w:spacing w:after="0" w:line="245" w:lineRule="auto"/>
            </w:pPr>
            <w:r>
              <w:rPr>
                <w:sz w:val="19"/>
              </w:rPr>
              <w:t>15.396155</w:t>
            </w:r>
          </w:p>
        </w:tc>
        <w:tc>
          <w:tcPr>
            <w:tcW w:type="dxa" w:w="3888"/>
            <w:vAlign w:val="center"/>
            <w:shd w:fill="FFFFFF"/>
            <w:tcMar>
              <w:top w:w="65" w:type="dxa"/>
              <w:bottom w:w="65" w:type="dxa"/>
              <w:left w:w="90" w:type="dxa"/>
              <w:right w:w="90" w:type="dxa"/>
            </w:tcMar>
          </w:tcPr>
          <w:p>
            <w:pPr>
              <w:spacing w:after="0" w:line="245" w:lineRule="auto"/>
            </w:pPr>
            <w:r>
              <w:rPr>
                <w:sz w:val="19"/>
              </w:rPr>
              <w:t>Worse than shared gain</w:t>
            </w:r>
          </w:p>
        </w:tc>
      </w:tr>
      <w:tr>
        <w:trPr>
          <w:cantSplit/>
        </w:trPr>
        <w:tc>
          <w:tcPr>
            <w:tcW w:type="dxa" w:w="3096"/>
            <w:vAlign w:val="center"/>
            <w:shd w:fill="F7F8FA"/>
            <w:tcMar>
              <w:top w:w="65" w:type="dxa"/>
              <w:bottom w:w="65" w:type="dxa"/>
              <w:left w:w="90" w:type="dxa"/>
              <w:right w:w="90" w:type="dxa"/>
            </w:tcMar>
          </w:tcPr>
          <w:p>
            <w:pPr>
              <w:spacing w:after="0" w:line="245" w:lineRule="auto"/>
            </w:pPr>
            <w:r>
              <w:rPr>
                <w:sz w:val="19"/>
              </w:rPr>
              <w:t>Logistic support</w:t>
            </w:r>
          </w:p>
        </w:tc>
        <w:tc>
          <w:tcPr>
            <w:tcW w:type="dxa" w:w="2664"/>
            <w:vAlign w:val="center"/>
            <w:shd w:fill="F7F8FA"/>
            <w:tcMar>
              <w:top w:w="65" w:type="dxa"/>
              <w:bottom w:w="65" w:type="dxa"/>
              <w:left w:w="90" w:type="dxa"/>
              <w:right w:w="90" w:type="dxa"/>
            </w:tcMar>
          </w:tcPr>
          <w:p>
            <w:pPr>
              <w:spacing w:after="0" w:line="245" w:lineRule="auto"/>
            </w:pPr>
            <w:r>
              <w:rPr>
                <w:sz w:val="19"/>
              </w:rPr>
              <w:t>12.080396</w:t>
            </w:r>
          </w:p>
        </w:tc>
        <w:tc>
          <w:tcPr>
            <w:tcW w:type="dxa" w:w="3888"/>
            <w:vAlign w:val="center"/>
            <w:shd w:fill="F7F8FA"/>
            <w:tcMar>
              <w:top w:w="65" w:type="dxa"/>
              <w:bottom w:w="65" w:type="dxa"/>
              <w:left w:w="90" w:type="dxa"/>
              <w:right w:w="90" w:type="dxa"/>
            </w:tcMar>
          </w:tcPr>
          <w:p>
            <w:pPr>
              <w:spacing w:after="0" w:line="245" w:lineRule="auto"/>
            </w:pPr>
            <w:r>
              <w:rPr>
                <w:sz w:val="19"/>
              </w:rPr>
              <w:t>Lost reconstruction accuracy</w:t>
            </w:r>
          </w:p>
        </w:tc>
      </w:tr>
      <w:tr>
        <w:trPr>
          <w:cantSplit/>
        </w:trPr>
        <w:tc>
          <w:tcPr>
            <w:tcW w:type="dxa" w:w="3096"/>
            <w:vAlign w:val="center"/>
            <w:shd w:fill="FFFFFF"/>
            <w:tcMar>
              <w:top w:w="65" w:type="dxa"/>
              <w:bottom w:w="65" w:type="dxa"/>
              <w:left w:w="90" w:type="dxa"/>
              <w:right w:w="90" w:type="dxa"/>
            </w:tcMar>
          </w:tcPr>
          <w:p>
            <w:pPr>
              <w:spacing w:after="0" w:line="245" w:lineRule="auto"/>
            </w:pPr>
            <w:r>
              <w:rPr>
                <w:sz w:val="19"/>
              </w:rPr>
              <w:t>Gain-adjusted logistic support</w:t>
            </w:r>
          </w:p>
        </w:tc>
        <w:tc>
          <w:tcPr>
            <w:tcW w:type="dxa" w:w="2664"/>
            <w:vAlign w:val="center"/>
            <w:shd w:fill="FFFFFF"/>
            <w:tcMar>
              <w:top w:w="65" w:type="dxa"/>
              <w:bottom w:w="65" w:type="dxa"/>
              <w:left w:w="90" w:type="dxa"/>
              <w:right w:w="90" w:type="dxa"/>
            </w:tcMar>
          </w:tcPr>
          <w:p>
            <w:pPr>
              <w:spacing w:after="0" w:line="245" w:lineRule="auto"/>
            </w:pPr>
            <w:r>
              <w:rPr>
                <w:sz w:val="19"/>
              </w:rPr>
              <w:t>11.463423</w:t>
            </w:r>
          </w:p>
        </w:tc>
        <w:tc>
          <w:tcPr>
            <w:tcW w:type="dxa" w:w="3888"/>
            <w:vAlign w:val="center"/>
            <w:shd w:fill="FFFFFF"/>
            <w:tcMar>
              <w:top w:w="65" w:type="dxa"/>
              <w:bottom w:w="65" w:type="dxa"/>
              <w:left w:w="90" w:type="dxa"/>
              <w:right w:w="90" w:type="dxa"/>
            </w:tcMar>
          </w:tcPr>
          <w:p>
            <w:pPr>
              <w:spacing w:after="0" w:line="245" w:lineRule="auto"/>
            </w:pPr>
            <w:r>
              <w:rPr>
                <w:sz w:val="19"/>
              </w:rPr>
              <w:t>Proposed amplitude repair failed</w:t>
            </w:r>
          </w:p>
        </w:tc>
      </w:tr>
      <w:tr>
        <w:trPr>
          <w:cantSplit/>
        </w:trPr>
        <w:tc>
          <w:tcPr>
            <w:tcW w:type="dxa" w:w="3096"/>
            <w:vAlign w:val="center"/>
            <w:shd w:fill="F7F8FA"/>
            <w:tcMar>
              <w:top w:w="65" w:type="dxa"/>
              <w:bottom w:w="65" w:type="dxa"/>
              <w:left w:w="90" w:type="dxa"/>
              <w:right w:w="90" w:type="dxa"/>
            </w:tcMar>
          </w:tcPr>
          <w:p>
            <w:pPr>
              <w:spacing w:after="0" w:line="245" w:lineRule="auto"/>
            </w:pPr>
            <w:r>
              <w:rPr>
                <w:sz w:val="19"/>
              </w:rPr>
              <w:t>Monotonic temporal support</w:t>
            </w:r>
          </w:p>
        </w:tc>
        <w:tc>
          <w:tcPr>
            <w:tcW w:type="dxa" w:w="2664"/>
            <w:vAlign w:val="center"/>
            <w:shd w:fill="F7F8FA"/>
            <w:tcMar>
              <w:top w:w="65" w:type="dxa"/>
              <w:bottom w:w="65" w:type="dxa"/>
              <w:left w:w="90" w:type="dxa"/>
              <w:right w:w="90" w:type="dxa"/>
            </w:tcMar>
          </w:tcPr>
          <w:p>
            <w:pPr>
              <w:spacing w:after="0" w:line="245" w:lineRule="auto"/>
            </w:pPr>
            <w:r>
              <w:rPr>
                <w:sz w:val="19"/>
              </w:rPr>
              <w:t>16.079988</w:t>
            </w:r>
          </w:p>
        </w:tc>
        <w:tc>
          <w:tcPr>
            <w:tcW w:type="dxa" w:w="3888"/>
            <w:vAlign w:val="center"/>
            <w:shd w:fill="F7F8FA"/>
            <w:tcMar>
              <w:top w:w="65" w:type="dxa"/>
              <w:bottom w:w="65" w:type="dxa"/>
              <w:left w:w="90" w:type="dxa"/>
              <w:right w:w="90" w:type="dxa"/>
            </w:tcMar>
          </w:tcPr>
          <w:p>
            <w:pPr>
              <w:spacing w:after="0" w:line="245" w:lineRule="auto"/>
            </w:pPr>
            <w:r>
              <w:rPr>
                <w:sz w:val="19"/>
              </w:rPr>
              <w:t>Controlled screens passed; native preservation failed</w:t>
            </w:r>
          </w:p>
        </w:tc>
      </w:tr>
      <w:tr>
        <w:trPr>
          <w:cantSplit/>
        </w:trPr>
        <w:tc>
          <w:tcPr>
            <w:tcW w:type="dxa" w:w="3096"/>
            <w:vAlign w:val="center"/>
            <w:shd w:fill="FFFFFF"/>
            <w:tcMar>
              <w:top w:w="65" w:type="dxa"/>
              <w:bottom w:w="65" w:type="dxa"/>
              <w:left w:w="90" w:type="dxa"/>
              <w:right w:w="90" w:type="dxa"/>
            </w:tcMar>
          </w:tcPr>
          <w:p>
            <w:pPr>
              <w:spacing w:after="0" w:line="245" w:lineRule="auto"/>
            </w:pPr>
            <w:r>
              <w:rPr>
                <w:sz w:val="19"/>
              </w:rPr>
              <w:t>Whole-window support</w:t>
            </w:r>
          </w:p>
        </w:tc>
        <w:tc>
          <w:tcPr>
            <w:tcW w:type="dxa" w:w="2664"/>
            <w:vAlign w:val="center"/>
            <w:shd w:fill="FFFFFF"/>
            <w:tcMar>
              <w:top w:w="65" w:type="dxa"/>
              <w:bottom w:w="65" w:type="dxa"/>
              <w:left w:w="90" w:type="dxa"/>
              <w:right w:w="90" w:type="dxa"/>
            </w:tcMar>
          </w:tcPr>
          <w:p>
            <w:pPr>
              <w:spacing w:after="0" w:line="245" w:lineRule="auto"/>
            </w:pPr>
            <w:r>
              <w:rPr>
                <w:sz w:val="19"/>
              </w:rPr>
              <w:t>17.112814</w:t>
            </w:r>
          </w:p>
        </w:tc>
        <w:tc>
          <w:tcPr>
            <w:tcW w:type="dxa" w:w="3888"/>
            <w:vAlign w:val="center"/>
            <w:shd w:fill="FFFFFF"/>
            <w:tcMar>
              <w:top w:w="65" w:type="dxa"/>
              <w:bottom w:w="65" w:type="dxa"/>
              <w:left w:w="90" w:type="dxa"/>
              <w:right w:w="90" w:type="dxa"/>
            </w:tcMar>
          </w:tcPr>
          <w:p>
            <w:pPr>
              <w:spacing w:after="0" w:line="245" w:lineRule="auto"/>
            </w:pPr>
            <w:r>
              <w:rPr>
                <w:sz w:val="19"/>
              </w:rPr>
              <w:t>Identical to ungated result; no added benefit</w:t>
            </w:r>
          </w:p>
        </w:tc>
      </w:tr>
    </w:tbl>
    <w:p>
      <w:pPr>
        <w:spacing w:after="0"/>
      </w:pPr>
    </w:p>
    <w:p>
      <w:r>
        <w:t>On native rest, monotonic VMD reduced worst-record modification to 18.51%, but covariance error remained 0.127834; both fail the 1%/0.02 limits. A 48-active-arm replay varied association and correction strength without new VMD or fitting. No active setting passed all preservation limits.</w:t>
      </w:r>
    </w:p>
    <w:p>
      <w:pPr>
        <w:keepNext/>
        <w:jc w:val="center"/>
      </w:pPr>
      <w:r>
        <w:drawing>
          <wp:inline xmlns:a="http://schemas.openxmlformats.org/drawingml/2006/main" xmlns:pic="http://schemas.openxmlformats.org/drawingml/2006/picture">
            <wp:extent cx="6080760" cy="2212848"/>
            <wp:docPr id="1" name="Picture 1"/>
            <wp:cNvGraphicFramePr>
              <a:graphicFrameLocks noChangeAspect="1"/>
            </wp:cNvGraphicFramePr>
            <a:graphic>
              <a:graphicData uri="http://schemas.openxmlformats.org/drawingml/2006/picture">
                <pic:pic>
                  <pic:nvPicPr>
                    <pic:cNvPr id="0" name="bounded.png"/>
                    <pic:cNvPicPr/>
                  </pic:nvPicPr>
                  <pic:blipFill>
                    <a:blip r:embed="rId11"/>
                    <a:stretch>
                      <a:fillRect/>
                    </a:stretch>
                  </pic:blipFill>
                  <pic:spPr>
                    <a:xfrm>
                      <a:off x="0" y="0"/>
                      <a:ext cx="6080760" cy="2212848"/>
                    </a:xfrm>
                    <a:prstGeom prst="rect"/>
                  </pic:spPr>
                </pic:pic>
              </a:graphicData>
            </a:graphic>
          </wp:inline>
        </w:drawing>
      </w:r>
    </w:p>
    <w:p>
      <w:pPr>
        <w:spacing w:after="140"/>
      </w:pPr>
      <w:r>
        <w:rPr>
          <w:sz w:val="19"/>
        </w:rPr>
      </w:r>
      <w:r>
        <w:rPr>
          <w:b/>
          <w:sz w:val="19"/>
        </w:rPr>
        <w:t>Figure 3.</w:t>
      </w:r>
      <w:r>
        <w:rPr>
          <w:sz w:val="19"/>
        </w:rPr>
        <w:t xml:space="preserve"> Earlier two-record native feasibility experiment, not the latest frozen pilot. Horizontal axis is correction strength; dots/crosses represent raw/VMD and shared/separate support across association settings. Dashed lines are unchanged engineering limits. More conservative correction reduces modification, but low modification alone is insufficient: conservative endpoints also lose substantial blink/lateral suppression.</w:t>
      </w:r>
    </w:p>
    <w:p>
      <w:r>
        <w:t>Original-trial support, calculated before reflected overlap-add padding, changed VMD separate worst modification from 15.8564% to 15.4503% and covariance from 0.108051 to 0.102743. This isolated boundary change did not qualify the method. The hypothesis that window support alignment alone solves preservation was not supported.</w:t>
      </w:r>
    </w:p>
    <w:p>
      <w:r>
        <w:t>Evidence: [E8], [E9].</w:t>
      </w:r>
    </w:p>
    <w:p>
      <w:pPr>
        <w:pStyle w:val="Heading1"/>
        <w:pageBreakBefore/>
      </w:pPr>
      <w:r>
        <w:t>5 The rejected mode shape restriction</w:t>
      </w:r>
    </w:p>
    <w:p>
      <w:pPr>
        <w:pStyle w:val="Heading2"/>
      </w:pPr>
      <w:r>
        <w:t>Hypothesis</w:t>
      </w:r>
    </w:p>
    <w:p>
      <w:r>
        <w:t>Perhaps a calibrated ocular estimate included neural content outside the selected VMD span. We tested projecting its centred variation into selected mode vectors while retaining the artifact mean, with fixed gain/detection/lag settings. Original modes, calibration and nonfrontal outputs remained matched.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16"/>
        <w:gridCol w:w="1944"/>
        <w:gridCol w:w="1944"/>
        <w:gridCol w:w="1944"/>
      </w:tblGrid>
      <w:tr>
        <w:trPr>
          <w:cantSplit/>
          <w:tblHeader/>
        </w:trPr>
        <w:tc>
          <w:tcPr>
            <w:tcW w:type="dxa" w:w="3816"/>
            <w:vAlign w:val="center"/>
            <w:shd w:fill="E9EEF3"/>
            <w:tcMar>
              <w:top w:w="65" w:type="dxa"/>
              <w:bottom w:w="65" w:type="dxa"/>
              <w:left w:w="90" w:type="dxa"/>
              <w:right w:w="90" w:type="dxa"/>
            </w:tcMar>
          </w:tcPr>
          <w:p>
            <w:pPr>
              <w:spacing w:after="0" w:line="245" w:lineRule="auto"/>
            </w:pPr>
            <w:r>
              <w:rPr>
                <w:b/>
                <w:sz w:val="19"/>
              </w:rPr>
              <w:t>Earlier full controlled frontal method</w:t>
            </w:r>
          </w:p>
        </w:tc>
        <w:tc>
          <w:tcPr>
            <w:tcW w:type="dxa" w:w="1944"/>
            <w:vAlign w:val="center"/>
            <w:shd w:fill="E9EEF3"/>
            <w:tcMar>
              <w:top w:w="65" w:type="dxa"/>
              <w:bottom w:w="65" w:type="dxa"/>
              <w:left w:w="90" w:type="dxa"/>
              <w:right w:w="90" w:type="dxa"/>
            </w:tcMar>
          </w:tcPr>
          <w:p>
            <w:pPr>
              <w:spacing w:after="0" w:line="245" w:lineRule="auto"/>
            </w:pPr>
            <w:r>
              <w:rPr>
                <w:b/>
                <w:sz w:val="19"/>
              </w:rPr>
              <w:t>Output SNR dB</w:t>
            </w:r>
          </w:p>
        </w:tc>
        <w:tc>
          <w:tcPr>
            <w:tcW w:type="dxa" w:w="1944"/>
            <w:vAlign w:val="center"/>
            <w:shd w:fill="E9EEF3"/>
            <w:tcMar>
              <w:top w:w="65" w:type="dxa"/>
              <w:bottom w:w="65" w:type="dxa"/>
              <w:left w:w="90" w:type="dxa"/>
              <w:right w:w="90" w:type="dxa"/>
            </w:tcMar>
          </w:tcPr>
          <w:p>
            <w:pPr>
              <w:spacing w:after="0" w:line="245" w:lineRule="auto"/>
            </w:pPr>
            <w:r>
              <w:rPr>
                <w:b/>
                <w:sz w:val="19"/>
              </w:rPr>
              <w:t>Temporal RRMSE</w:t>
            </w:r>
          </w:p>
        </w:tc>
        <w:tc>
          <w:tcPr>
            <w:tcW w:type="dxa" w:w="1944"/>
            <w:vAlign w:val="center"/>
            <w:shd w:fill="E9EEF3"/>
            <w:tcMar>
              <w:top w:w="65" w:type="dxa"/>
              <w:bottom w:w="65" w:type="dxa"/>
              <w:left w:w="90" w:type="dxa"/>
              <w:right w:w="90" w:type="dxa"/>
            </w:tcMar>
          </w:tcPr>
          <w:p>
            <w:pPr>
              <w:spacing w:after="0" w:line="245" w:lineRule="auto"/>
            </w:pPr>
            <w:r>
              <w:rPr>
                <w:b/>
                <w:sz w:val="19"/>
              </w:rPr>
              <w:t>Pearson CC</w:t>
            </w:r>
          </w:p>
        </w:tc>
      </w:tr>
      <w:tr>
        <w:trPr>
          <w:cantSplit/>
        </w:trPr>
        <w:tc>
          <w:tcPr>
            <w:tcW w:type="dxa" w:w="3816"/>
            <w:vAlign w:val="center"/>
            <w:shd w:fill="FFFFFF"/>
            <w:tcMar>
              <w:top w:w="65" w:type="dxa"/>
              <w:bottom w:w="65" w:type="dxa"/>
              <w:left w:w="90" w:type="dxa"/>
              <w:right w:w="90" w:type="dxa"/>
            </w:tcMar>
          </w:tcPr>
          <w:p>
            <w:pPr>
              <w:spacing w:after="0" w:line="245" w:lineRule="auto"/>
            </w:pPr>
            <w:r>
              <w:rPr>
                <w:sz w:val="19"/>
              </w:rPr>
              <w:t>Original calibrated VMD</w:t>
            </w:r>
          </w:p>
        </w:tc>
        <w:tc>
          <w:tcPr>
            <w:tcW w:type="dxa" w:w="1944"/>
            <w:vAlign w:val="center"/>
            <w:shd w:fill="FFFFFF"/>
            <w:tcMar>
              <w:top w:w="65" w:type="dxa"/>
              <w:bottom w:w="65" w:type="dxa"/>
              <w:left w:w="90" w:type="dxa"/>
              <w:right w:w="90" w:type="dxa"/>
            </w:tcMar>
          </w:tcPr>
          <w:p>
            <w:pPr>
              <w:spacing w:after="0" w:line="245" w:lineRule="auto"/>
            </w:pPr>
            <w:r>
              <w:rPr>
                <w:sz w:val="19"/>
              </w:rPr>
              <w:t>17.112814</w:t>
            </w:r>
          </w:p>
        </w:tc>
        <w:tc>
          <w:tcPr>
            <w:tcW w:type="dxa" w:w="1944"/>
            <w:vAlign w:val="center"/>
            <w:shd w:fill="FFFFFF"/>
            <w:tcMar>
              <w:top w:w="65" w:type="dxa"/>
              <w:bottom w:w="65" w:type="dxa"/>
              <w:left w:w="90" w:type="dxa"/>
              <w:right w:w="90" w:type="dxa"/>
            </w:tcMar>
          </w:tcPr>
          <w:p>
            <w:pPr>
              <w:spacing w:after="0" w:line="245" w:lineRule="auto"/>
            </w:pPr>
            <w:r>
              <w:rPr>
                <w:sz w:val="19"/>
              </w:rPr>
              <w:t>0.192181</w:t>
            </w:r>
          </w:p>
        </w:tc>
        <w:tc>
          <w:tcPr>
            <w:tcW w:type="dxa" w:w="1944"/>
            <w:vAlign w:val="center"/>
            <w:shd w:fill="FFFFFF"/>
            <w:tcMar>
              <w:top w:w="65" w:type="dxa"/>
              <w:bottom w:w="65" w:type="dxa"/>
              <w:left w:w="90" w:type="dxa"/>
              <w:right w:w="90" w:type="dxa"/>
            </w:tcMar>
          </w:tcPr>
          <w:p>
            <w:pPr>
              <w:spacing w:after="0" w:line="245" w:lineRule="auto"/>
            </w:pPr>
            <w:r>
              <w:rPr>
                <w:sz w:val="19"/>
              </w:rPr>
              <w:t>0.973700</w:t>
            </w:r>
          </w:p>
        </w:tc>
      </w:tr>
      <w:tr>
        <w:trPr>
          <w:cantSplit/>
        </w:trPr>
        <w:tc>
          <w:tcPr>
            <w:tcW w:type="dxa" w:w="3816"/>
            <w:vAlign w:val="center"/>
            <w:shd w:fill="F7F8FA"/>
            <w:tcMar>
              <w:top w:w="65" w:type="dxa"/>
              <w:bottom w:w="65" w:type="dxa"/>
              <w:left w:w="90" w:type="dxa"/>
              <w:right w:w="90" w:type="dxa"/>
            </w:tcMar>
          </w:tcPr>
          <w:p>
            <w:pPr>
              <w:spacing w:after="0" w:line="245" w:lineRule="auto"/>
            </w:pPr>
            <w:r>
              <w:rPr>
                <w:sz w:val="19"/>
              </w:rPr>
              <w:t>DC-preserving shape restriction</w:t>
            </w:r>
          </w:p>
        </w:tc>
        <w:tc>
          <w:tcPr>
            <w:tcW w:type="dxa" w:w="1944"/>
            <w:vAlign w:val="center"/>
            <w:shd w:fill="F7F8FA"/>
            <w:tcMar>
              <w:top w:w="65" w:type="dxa"/>
              <w:bottom w:w="65" w:type="dxa"/>
              <w:left w:w="90" w:type="dxa"/>
              <w:right w:w="90" w:type="dxa"/>
            </w:tcMar>
          </w:tcPr>
          <w:p>
            <w:pPr>
              <w:spacing w:after="0" w:line="245" w:lineRule="auto"/>
            </w:pPr>
            <w:r>
              <w:rPr>
                <w:sz w:val="19"/>
              </w:rPr>
              <w:t>2.521295</w:t>
            </w:r>
          </w:p>
        </w:tc>
        <w:tc>
          <w:tcPr>
            <w:tcW w:type="dxa" w:w="1944"/>
            <w:vAlign w:val="center"/>
            <w:shd w:fill="F7F8FA"/>
            <w:tcMar>
              <w:top w:w="65" w:type="dxa"/>
              <w:bottom w:w="65" w:type="dxa"/>
              <w:left w:w="90" w:type="dxa"/>
              <w:right w:w="90" w:type="dxa"/>
            </w:tcMar>
          </w:tcPr>
          <w:p>
            <w:pPr>
              <w:spacing w:after="0" w:line="245" w:lineRule="auto"/>
            </w:pPr>
            <w:r>
              <w:rPr>
                <w:sz w:val="19"/>
              </w:rPr>
              <w:t>0.777803</w:t>
            </w:r>
          </w:p>
        </w:tc>
        <w:tc>
          <w:tcPr>
            <w:tcW w:type="dxa" w:w="1944"/>
            <w:vAlign w:val="center"/>
            <w:shd w:fill="F7F8FA"/>
            <w:tcMar>
              <w:top w:w="65" w:type="dxa"/>
              <w:bottom w:w="65" w:type="dxa"/>
              <w:left w:w="90" w:type="dxa"/>
              <w:right w:w="90" w:type="dxa"/>
            </w:tcMar>
          </w:tcPr>
          <w:p>
            <w:pPr>
              <w:spacing w:after="0" w:line="245" w:lineRule="auto"/>
            </w:pPr>
            <w:r>
              <w:rPr>
                <w:sz w:val="19"/>
              </w:rPr>
              <w:t>0.644872</w:t>
            </w:r>
          </w:p>
        </w:tc>
      </w:tr>
      <w:tr>
        <w:trPr>
          <w:cantSplit/>
        </w:trPr>
        <w:tc>
          <w:tcPr>
            <w:tcW w:type="dxa" w:w="3816"/>
            <w:vAlign w:val="center"/>
            <w:shd w:fill="FFFFFF"/>
            <w:tcMar>
              <w:top w:w="65" w:type="dxa"/>
              <w:bottom w:w="65" w:type="dxa"/>
              <w:left w:w="90" w:type="dxa"/>
              <w:right w:w="90" w:type="dxa"/>
            </w:tcMar>
          </w:tcPr>
          <w:p>
            <w:pPr>
              <w:spacing w:after="0" w:line="245" w:lineRule="auto"/>
            </w:pPr>
            <w:r>
              <w:rPr>
                <w:sz w:val="19"/>
              </w:rPr>
              <w:t>Calibrated raw control</w:t>
            </w:r>
          </w:p>
        </w:tc>
        <w:tc>
          <w:tcPr>
            <w:tcW w:type="dxa" w:w="1944"/>
            <w:vAlign w:val="center"/>
            <w:shd w:fill="FFFFFF"/>
            <w:tcMar>
              <w:top w:w="65" w:type="dxa"/>
              <w:bottom w:w="65" w:type="dxa"/>
              <w:left w:w="90" w:type="dxa"/>
              <w:right w:w="90" w:type="dxa"/>
            </w:tcMar>
          </w:tcPr>
          <w:p>
            <w:pPr>
              <w:spacing w:after="0" w:line="245" w:lineRule="auto"/>
            </w:pPr>
            <w:r>
              <w:rPr>
                <w:sz w:val="19"/>
              </w:rPr>
              <w:t>18.193247</w:t>
            </w:r>
          </w:p>
        </w:tc>
        <w:tc>
          <w:tcPr>
            <w:tcW w:type="dxa" w:w="1944"/>
            <w:vAlign w:val="center"/>
            <w:shd w:fill="FFFFFF"/>
            <w:tcMar>
              <w:top w:w="65" w:type="dxa"/>
              <w:bottom w:w="65" w:type="dxa"/>
              <w:left w:w="90" w:type="dxa"/>
              <w:right w:w="90" w:type="dxa"/>
            </w:tcMar>
          </w:tcPr>
          <w:p>
            <w:pPr>
              <w:spacing w:after="0" w:line="245" w:lineRule="auto"/>
            </w:pPr>
            <w:r>
              <w:rPr>
                <w:sz w:val="19"/>
              </w:rPr>
              <w:t>0.160311</w:t>
            </w:r>
          </w:p>
        </w:tc>
        <w:tc>
          <w:tcPr>
            <w:tcW w:type="dxa" w:w="1944"/>
            <w:vAlign w:val="center"/>
            <w:shd w:fill="FFFFFF"/>
            <w:tcMar>
              <w:top w:w="65" w:type="dxa"/>
              <w:bottom w:w="65" w:type="dxa"/>
              <w:left w:w="90" w:type="dxa"/>
              <w:right w:w="90" w:type="dxa"/>
            </w:tcMar>
          </w:tcPr>
          <w:p>
            <w:pPr>
              <w:spacing w:after="0" w:line="245" w:lineRule="auto"/>
            </w:pPr>
            <w:r>
              <w:rPr>
                <w:sz w:val="19"/>
              </w:rPr>
              <w:t>0.981142</w:t>
            </w:r>
          </w:p>
        </w:tc>
      </w:tr>
    </w:tbl>
    <w:p>
      <w:pPr>
        <w:spacing w:after="0"/>
      </w:pPr>
    </w:p>
    <w:p>
      <w:r>
        <w:t>The numerical run passed 236 tests and reproduced archived baselines. The new correction failed scientifically. Later frozen-output diagnosis found that useful correction content had been discarded; it did not establish that a restricted mode span was pure ocular space.</w:t>
      </w:r>
    </w:p>
    <w:p>
      <w:pPr>
        <w:pStyle w:val="Heading2"/>
      </w:pPr>
      <w:r>
        <w:t>What this failure means</w:t>
      </w:r>
    </w:p>
    <w:p>
      <w:r>
        <w:t>The 2.52 dB value belongs to this rejected challenger. It is not the final score of every VMD method. Conversely, a failure in this one adaptation does not prove every mode-constrained approach is impossible. The tested mode span was incomplete for the correction task under this protocol.</w:t>
      </w:r>
    </w:p>
    <w:p>
      <w:r>
        <w:t>We preserved the residual precisely because VMD’s finite modes need not account for every useful waveform contribution. Residual activity is not automatically neural and not automatically ocular. Its content must be evaluated rather than thrown away or blindly removed.</w:t>
      </w:r>
    </w:p>
    <w:p>
      <w:pPr>
        <w:pStyle w:val="Heading2"/>
      </w:pPr>
      <w:r>
        <w:t>Why the diagnostic was useful</w:t>
      </w:r>
    </w:p>
    <w:p>
      <w:r>
        <w:t>The decomposition, correction gain, support policy and subtraction rule are different mechanisms. An experiment should change one mechanism while holding others fixed so a failure can be interpreted. Here, the evidence rejected the particular shape restriction and prevented an unsupported native/model promotion.</w:t>
      </w:r>
    </w:p>
    <w:p>
      <w:r/>
      <w:r>
        <w:rPr>
          <w:b/>
        </w:rPr>
        <w:t>Evidence:</w:t>
      </w:r>
      <w:r>
        <w:t xml:space="preserve"> [E10]. The report tables retain every condition, not only the aggregate failure.</w:t>
      </w:r>
    </w:p>
    <w:p>
      <w:pPr>
        <w:pStyle w:val="Heading1"/>
        <w:pageBreakBefore/>
      </w:pPr>
      <w:r>
        <w:t>6 Posterior ICA and GEVD MWF with frontal support</w:t>
      </w:r>
    </w:p>
    <w:p>
      <w:r>
        <w:t>The other chat’s versioned posterior comparison is part of this research record. It compared posterior-only, common frontal average, signed regional summaries, raw frontal channels and full-montage support. The fitted decomposition can use broader support while correcting posterior outputs only. No posterior VMD is active in the current scope.</w:t>
      </w:r>
    </w:p>
    <w:p>
      <w:r>
        <w:t>ICA estimates statistical components; selected-component correction must preserve reconstruction residuals. GEVD–MWF uses ocular/rest covariance information and regularization to estimate artifact-related spatial directions [12]. Our implementation uses changed covariance estimation and declared masks, so it is an adaptation of the reference approach.</w:t>
      </w:r>
    </w:p>
    <w:p>
      <w:r>
        <w:t>Signed context includes left/right/midline summaries, common frontal activity and right-minus-left activity. A common average can cancel opposing lateral patterns. This motivates retaining polarity, but does not prove every signed-context recipe superior.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272"/>
      </w:tblGrid>
      <w:tr>
        <w:trPr>
          <w:cantSplit/>
          <w:tblHeader/>
        </w:trPr>
        <w:tc>
          <w:tcPr>
            <w:tcW w:type="dxa" w:w="2376"/>
            <w:vAlign w:val="center"/>
            <w:shd w:fill="E9EEF3"/>
            <w:tcMar>
              <w:top w:w="65" w:type="dxa"/>
              <w:bottom w:w="65" w:type="dxa"/>
              <w:left w:w="90" w:type="dxa"/>
              <w:right w:w="90" w:type="dxa"/>
            </w:tcMar>
          </w:tcPr>
          <w:p>
            <w:pPr>
              <w:spacing w:after="0" w:line="245" w:lineRule="auto"/>
            </w:pPr>
            <w:r>
              <w:rPr>
                <w:b/>
                <w:sz w:val="19"/>
              </w:rPr>
              <w:t>Best candidate in earlier posterior development search</w:t>
            </w:r>
          </w:p>
        </w:tc>
        <w:tc>
          <w:tcPr>
            <w:tcW w:type="dxa" w:w="7272"/>
            <w:vAlign w:val="center"/>
            <w:shd w:fill="E9EEF3"/>
            <w:tcMar>
              <w:top w:w="65" w:type="dxa"/>
              <w:bottom w:w="65" w:type="dxa"/>
              <w:left w:w="90" w:type="dxa"/>
              <w:right w:w="90" w:type="dxa"/>
            </w:tcMar>
          </w:tcPr>
          <w:p>
            <w:pPr>
              <w:spacing w:after="0" w:line="245" w:lineRule="auto"/>
            </w:pPr>
            <w:r>
              <w:rPr>
                <w:b/>
                <w:sz w:val="19"/>
              </w:rPr>
              <w:t>Posterior output SNR dB</w:t>
            </w:r>
          </w:p>
        </w:tc>
      </w:tr>
      <w:tr>
        <w:trPr>
          <w:cantSplit/>
        </w:trPr>
        <w:tc>
          <w:tcPr>
            <w:tcW w:type="dxa" w:w="2376"/>
            <w:vAlign w:val="center"/>
            <w:shd w:fill="FFFFFF"/>
            <w:tcMar>
              <w:top w:w="65" w:type="dxa"/>
              <w:bottom w:w="65" w:type="dxa"/>
              <w:left w:w="90" w:type="dxa"/>
              <w:right w:w="90" w:type="dxa"/>
            </w:tcMar>
          </w:tcPr>
          <w:p>
            <w:pPr>
              <w:spacing w:after="0" w:line="245" w:lineRule="auto"/>
            </w:pPr>
            <w:r>
              <w:rPr>
                <w:sz w:val="19"/>
              </w:rPr>
              <w:t>Direct EOG regression</w:t>
            </w:r>
          </w:p>
        </w:tc>
        <w:tc>
          <w:tcPr>
            <w:tcW w:type="dxa" w:w="7272"/>
            <w:vAlign w:val="center"/>
            <w:shd w:fill="FFFFFF"/>
            <w:tcMar>
              <w:top w:w="65" w:type="dxa"/>
              <w:bottom w:w="65" w:type="dxa"/>
              <w:left w:w="90" w:type="dxa"/>
              <w:right w:w="90" w:type="dxa"/>
            </w:tcMar>
          </w:tcPr>
          <w:p>
            <w:pPr>
              <w:spacing w:after="0" w:line="245" w:lineRule="auto"/>
            </w:pPr>
            <w:r>
              <w:rPr>
                <w:sz w:val="19"/>
              </w:rPr>
              <w:t>13.542</w:t>
            </w:r>
          </w:p>
        </w:tc>
      </w:tr>
      <w:tr>
        <w:trPr>
          <w:cantSplit/>
        </w:trPr>
        <w:tc>
          <w:tcPr>
            <w:tcW w:type="dxa" w:w="2376"/>
            <w:vAlign w:val="center"/>
            <w:shd w:fill="F7F8FA"/>
            <w:tcMar>
              <w:top w:w="65" w:type="dxa"/>
              <w:bottom w:w="65" w:type="dxa"/>
              <w:left w:w="90" w:type="dxa"/>
              <w:right w:w="90" w:type="dxa"/>
            </w:tcMar>
          </w:tcPr>
          <w:p>
            <w:pPr>
              <w:spacing w:after="0" w:line="245" w:lineRule="auto"/>
            </w:pPr>
            <w:r>
              <w:rPr>
                <w:sz w:val="19"/>
              </w:rPr>
              <w:t>Full-montage ICA</w:t>
            </w:r>
          </w:p>
        </w:tc>
        <w:tc>
          <w:tcPr>
            <w:tcW w:type="dxa" w:w="7272"/>
            <w:vAlign w:val="center"/>
            <w:shd w:fill="F7F8FA"/>
            <w:tcMar>
              <w:top w:w="65" w:type="dxa"/>
              <w:bottom w:w="65" w:type="dxa"/>
              <w:left w:w="90" w:type="dxa"/>
              <w:right w:w="90" w:type="dxa"/>
            </w:tcMar>
          </w:tcPr>
          <w:p>
            <w:pPr>
              <w:spacing w:after="0" w:line="245" w:lineRule="auto"/>
            </w:pPr>
            <w:r>
              <w:rPr>
                <w:sz w:val="19"/>
              </w:rPr>
              <w:t>13.523</w:t>
            </w:r>
          </w:p>
        </w:tc>
      </w:tr>
      <w:tr>
        <w:trPr>
          <w:cantSplit/>
        </w:trPr>
        <w:tc>
          <w:tcPr>
            <w:tcW w:type="dxa" w:w="2376"/>
            <w:vAlign w:val="center"/>
            <w:shd w:fill="FFFFFF"/>
            <w:tcMar>
              <w:top w:w="65" w:type="dxa"/>
              <w:bottom w:w="65" w:type="dxa"/>
              <w:left w:w="90" w:type="dxa"/>
              <w:right w:w="90" w:type="dxa"/>
            </w:tcMar>
          </w:tcPr>
          <w:p>
            <w:pPr>
              <w:spacing w:after="0" w:line="245" w:lineRule="auto"/>
            </w:pPr>
            <w:r>
              <w:rPr>
                <w:sz w:val="19"/>
              </w:rPr>
              <w:t>Raw-frontal-supported ICA</w:t>
            </w:r>
          </w:p>
        </w:tc>
        <w:tc>
          <w:tcPr>
            <w:tcW w:type="dxa" w:w="7272"/>
            <w:vAlign w:val="center"/>
            <w:shd w:fill="FFFFFF"/>
            <w:tcMar>
              <w:top w:w="65" w:type="dxa"/>
              <w:bottom w:w="65" w:type="dxa"/>
              <w:left w:w="90" w:type="dxa"/>
              <w:right w:w="90" w:type="dxa"/>
            </w:tcMar>
          </w:tcPr>
          <w:p>
            <w:pPr>
              <w:spacing w:after="0" w:line="245" w:lineRule="auto"/>
            </w:pPr>
            <w:r>
              <w:rPr>
                <w:sz w:val="19"/>
              </w:rPr>
              <w:t>13.168</w:t>
            </w:r>
          </w:p>
        </w:tc>
      </w:tr>
      <w:tr>
        <w:trPr>
          <w:cantSplit/>
        </w:trPr>
        <w:tc>
          <w:tcPr>
            <w:tcW w:type="dxa" w:w="2376"/>
            <w:vAlign w:val="center"/>
            <w:shd w:fill="F7F8FA"/>
            <w:tcMar>
              <w:top w:w="65" w:type="dxa"/>
              <w:bottom w:w="65" w:type="dxa"/>
              <w:left w:w="90" w:type="dxa"/>
              <w:right w:w="90" w:type="dxa"/>
            </w:tcMar>
          </w:tcPr>
          <w:p>
            <w:pPr>
              <w:spacing w:after="0" w:line="245" w:lineRule="auto"/>
            </w:pPr>
            <w:r>
              <w:rPr>
                <w:sz w:val="19"/>
              </w:rPr>
              <w:t>Signed-summary ICA</w:t>
            </w:r>
          </w:p>
        </w:tc>
        <w:tc>
          <w:tcPr>
            <w:tcW w:type="dxa" w:w="7272"/>
            <w:vAlign w:val="center"/>
            <w:shd w:fill="F7F8FA"/>
            <w:tcMar>
              <w:top w:w="65" w:type="dxa"/>
              <w:bottom w:w="65" w:type="dxa"/>
              <w:left w:w="90" w:type="dxa"/>
              <w:right w:w="90" w:type="dxa"/>
            </w:tcMar>
          </w:tcPr>
          <w:p>
            <w:pPr>
              <w:spacing w:after="0" w:line="245" w:lineRule="auto"/>
            </w:pPr>
            <w:r>
              <w:rPr>
                <w:sz w:val="19"/>
              </w:rPr>
              <w:t>12.918</w:t>
            </w:r>
          </w:p>
        </w:tc>
      </w:tr>
      <w:tr>
        <w:trPr>
          <w:cantSplit/>
        </w:trPr>
        <w:tc>
          <w:tcPr>
            <w:tcW w:type="dxa" w:w="2376"/>
            <w:vAlign w:val="center"/>
            <w:shd w:fill="FFFFFF"/>
            <w:tcMar>
              <w:top w:w="65" w:type="dxa"/>
              <w:bottom w:w="65" w:type="dxa"/>
              <w:left w:w="90" w:type="dxa"/>
              <w:right w:w="90" w:type="dxa"/>
            </w:tcMar>
          </w:tcPr>
          <w:p>
            <w:pPr>
              <w:spacing w:after="0" w:line="245" w:lineRule="auto"/>
            </w:pPr>
            <w:r>
              <w:rPr>
                <w:sz w:val="19"/>
              </w:rPr>
              <w:t>Common-frontal ICA</w:t>
            </w:r>
          </w:p>
        </w:tc>
        <w:tc>
          <w:tcPr>
            <w:tcW w:type="dxa" w:w="7272"/>
            <w:vAlign w:val="center"/>
            <w:shd w:fill="FFFFFF"/>
            <w:tcMar>
              <w:top w:w="65" w:type="dxa"/>
              <w:bottom w:w="65" w:type="dxa"/>
              <w:left w:w="90" w:type="dxa"/>
              <w:right w:w="90" w:type="dxa"/>
            </w:tcMar>
          </w:tcPr>
          <w:p>
            <w:pPr>
              <w:spacing w:after="0" w:line="245" w:lineRule="auto"/>
            </w:pPr>
            <w:r>
              <w:rPr>
                <w:sz w:val="19"/>
              </w:rPr>
              <w:t>12.516</w:t>
            </w:r>
          </w:p>
        </w:tc>
      </w:tr>
      <w:tr>
        <w:trPr>
          <w:cantSplit/>
        </w:trPr>
        <w:tc>
          <w:tcPr>
            <w:tcW w:type="dxa" w:w="2376"/>
            <w:vAlign w:val="center"/>
            <w:shd w:fill="F7F8FA"/>
            <w:tcMar>
              <w:top w:w="65" w:type="dxa"/>
              <w:bottom w:w="65" w:type="dxa"/>
              <w:left w:w="90" w:type="dxa"/>
              <w:right w:w="90" w:type="dxa"/>
            </w:tcMar>
          </w:tcPr>
          <w:p>
            <w:pPr>
              <w:spacing w:after="0" w:line="245" w:lineRule="auto"/>
            </w:pPr>
            <w:r>
              <w:rPr>
                <w:sz w:val="19"/>
              </w:rPr>
              <w:t>Posterior-only ICA</w:t>
            </w:r>
          </w:p>
        </w:tc>
        <w:tc>
          <w:tcPr>
            <w:tcW w:type="dxa" w:w="7272"/>
            <w:vAlign w:val="center"/>
            <w:shd w:fill="F7F8FA"/>
            <w:tcMar>
              <w:top w:w="65" w:type="dxa"/>
              <w:bottom w:w="65" w:type="dxa"/>
              <w:left w:w="90" w:type="dxa"/>
              <w:right w:w="90" w:type="dxa"/>
            </w:tcMar>
          </w:tcPr>
          <w:p>
            <w:pPr>
              <w:spacing w:after="0" w:line="245" w:lineRule="auto"/>
            </w:pPr>
            <w:r>
              <w:rPr>
                <w:sz w:val="19"/>
              </w:rPr>
              <w:t>11.815</w:t>
            </w:r>
          </w:p>
        </w:tc>
      </w:tr>
      <w:tr>
        <w:trPr>
          <w:cantSplit/>
        </w:trPr>
        <w:tc>
          <w:tcPr>
            <w:tcW w:type="dxa" w:w="2376"/>
            <w:vAlign w:val="center"/>
            <w:shd w:fill="FFFFFF"/>
            <w:tcMar>
              <w:top w:w="65" w:type="dxa"/>
              <w:bottom w:w="65" w:type="dxa"/>
              <w:left w:w="90" w:type="dxa"/>
              <w:right w:w="90" w:type="dxa"/>
            </w:tcMar>
          </w:tcPr>
          <w:p>
            <w:pPr>
              <w:spacing w:after="0" w:line="245" w:lineRule="auto"/>
            </w:pPr>
            <w:r>
              <w:rPr>
                <w:sz w:val="19"/>
              </w:rPr>
              <w:t>Signed-summary GEVD–MWF</w:t>
            </w:r>
          </w:p>
        </w:tc>
        <w:tc>
          <w:tcPr>
            <w:tcW w:type="dxa" w:w="7272"/>
            <w:vAlign w:val="center"/>
            <w:shd w:fill="FFFFFF"/>
            <w:tcMar>
              <w:top w:w="65" w:type="dxa"/>
              <w:bottom w:w="65" w:type="dxa"/>
              <w:left w:w="90" w:type="dxa"/>
              <w:right w:w="90" w:type="dxa"/>
            </w:tcMar>
          </w:tcPr>
          <w:p>
            <w:pPr>
              <w:spacing w:after="0" w:line="245" w:lineRule="auto"/>
            </w:pPr>
            <w:r>
              <w:rPr>
                <w:sz w:val="19"/>
              </w:rPr>
              <w:t>12.335</w:t>
            </w:r>
          </w:p>
        </w:tc>
      </w:tr>
      <w:tr>
        <w:trPr>
          <w:cantSplit/>
        </w:trPr>
        <w:tc>
          <w:tcPr>
            <w:tcW w:type="dxa" w:w="2376"/>
            <w:vAlign w:val="center"/>
            <w:shd w:fill="F7F8FA"/>
            <w:tcMar>
              <w:top w:w="65" w:type="dxa"/>
              <w:bottom w:w="65" w:type="dxa"/>
              <w:left w:w="90" w:type="dxa"/>
              <w:right w:w="90" w:type="dxa"/>
            </w:tcMar>
          </w:tcPr>
          <w:p>
            <w:pPr>
              <w:spacing w:after="0" w:line="245" w:lineRule="auto"/>
            </w:pPr>
            <w:r>
              <w:rPr>
                <w:sz w:val="19"/>
              </w:rPr>
              <w:t>Posterior-only GEVD–MWF</w:t>
            </w:r>
          </w:p>
        </w:tc>
        <w:tc>
          <w:tcPr>
            <w:tcW w:type="dxa" w:w="7272"/>
            <w:vAlign w:val="center"/>
            <w:shd w:fill="F7F8FA"/>
            <w:tcMar>
              <w:top w:w="65" w:type="dxa"/>
              <w:bottom w:w="65" w:type="dxa"/>
              <w:left w:w="90" w:type="dxa"/>
              <w:right w:w="90" w:type="dxa"/>
            </w:tcMar>
          </w:tcPr>
          <w:p>
            <w:pPr>
              <w:spacing w:after="0" w:line="245" w:lineRule="auto"/>
            </w:pPr>
            <w:r>
              <w:rPr>
                <w:sz w:val="19"/>
              </w:rPr>
              <w:t>11.786</w:t>
            </w:r>
          </w:p>
        </w:tc>
      </w:tr>
    </w:tbl>
    <w:p>
      <w:pPr>
        <w:spacing w:after="0"/>
      </w:pPr>
    </w:p>
    <w:p>
      <w:r>
        <w:t>The completed run recorded 737 candidates, 320 examples, 32 recipients, 1,440 calibration fits and no fit failures/exclusions; 92 tests passed. The candidate rows above are partial-gate search evidence, not unbiased final winner estimates. The fixed regression comparator did not receive the same broad optimizer, which limits claims about algorithm families.</w:t>
      </w:r>
    </w:p>
    <w:p>
      <w:r/>
      <w:r>
        <w:rPr>
          <w:b/>
        </w:rPr>
        <w:t>Bottleneck:</w:t>
      </w:r>
      <w:r>
        <w:t xml:space="preserve"> neither posterior point estimates nor clean synthetic controls establish a native-qualified teacher. We proceeded to controlled regional integration with matched calibrations and information access.</w:t>
      </w:r>
    </w:p>
    <w:p>
      <w:r/>
      <w:r>
        <w:rPr>
          <w:b/>
        </w:rPr>
        <w:t>Evidence:</w:t>
      </w:r>
      <w:r>
        <w:t xml:space="preserve"> [E11].</w:t>
      </w:r>
    </w:p>
    <w:p>
      <w:pPr>
        <w:pStyle w:val="Heading1"/>
        <w:pageBreakBefore/>
      </w:pPr>
      <w:r>
        <w:t>7 Regional integration exposed the missing middle</w:t>
      </w:r>
    </w:p>
    <w:p>
      <w:r>
        <w:t>Initial integration combined fixed frontal VMD with posterior regression or ICA and passed central/shared channels through. Whole-cap output was 9.094213 dB with posterior regression and 9.089350 dB with posterior ICA; matched raw frontal plus posterior regression was 9.337592 dB. Regional scores cannot be added to obtain these values.</w:t>
      </w:r>
    </w:p>
    <w:p>
      <w:pPr>
        <w:keepNext/>
        <w:jc w:val="center"/>
      </w:pPr>
      <w:r>
        <w:drawing>
          <wp:inline xmlns:a="http://schemas.openxmlformats.org/drawingml/2006/main" xmlns:pic="http://schemas.openxmlformats.org/drawingml/2006/picture">
            <wp:extent cx="6080760" cy="2587752"/>
            <wp:docPr id="2" name="Picture 2"/>
            <wp:cNvGraphicFramePr>
              <a:graphicFrameLocks noChangeAspect="1"/>
            </wp:cNvGraphicFramePr>
            <a:graphic>
              <a:graphicData uri="http://schemas.openxmlformats.org/drawingml/2006/picture">
                <pic:pic>
                  <pic:nvPicPr>
                    <pic:cNvPr id="0" name="errors.png"/>
                    <pic:cNvPicPr/>
                  </pic:nvPicPr>
                  <pic:blipFill>
                    <a:blip r:embed="rId12"/>
                    <a:stretch>
                      <a:fillRect/>
                    </a:stretch>
                  </pic:blipFill>
                  <pic:spPr>
                    <a:xfrm>
                      <a:off x="0" y="0"/>
                      <a:ext cx="6080760" cy="2587752"/>
                    </a:xfrm>
                    <a:prstGeom prst="rect"/>
                  </pic:spPr>
                </pic:pic>
              </a:graphicData>
            </a:graphic>
          </wp:inline>
        </w:drawing>
      </w:r>
    </w:p>
    <w:p>
      <w:pPr>
        <w:spacing w:after="140"/>
      </w:pPr>
      <w:r>
        <w:rPr>
          <w:sz w:val="19"/>
        </w:rPr>
      </w:r>
      <w:r>
        <w:rPr>
          <w:b/>
          <w:sz w:val="19"/>
        </w:rPr>
        <w:t>Figure 4.</w:t>
      </w:r>
      <w:r>
        <w:rPr>
          <w:sz w:val="19"/>
        </w:rPr>
        <w:t xml:space="preserve"> Earlier frozen regional diagnostic. Vertical axis is mean per-example fraction of reconstruction-error energy, then source/condition balanced. Central/shared pass-through contributes 87.9066%; frontal 2.9326%; posterior 9.1608%. This is not a globally pooled energy ratio and does not prove that removing all central error is feasible without neural loss.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2664"/>
        <w:gridCol w:w="3888"/>
      </w:tblGrid>
      <w:tr>
        <w:trPr>
          <w:cantSplit/>
          <w:tblHeader/>
        </w:trPr>
        <w:tc>
          <w:tcPr>
            <w:tcW w:type="dxa" w:w="3096"/>
            <w:vAlign w:val="center"/>
            <w:shd w:fill="E9EEF3"/>
            <w:tcMar>
              <w:top w:w="65" w:type="dxa"/>
              <w:bottom w:w="65" w:type="dxa"/>
              <w:left w:w="90" w:type="dxa"/>
              <w:right w:w="90" w:type="dxa"/>
            </w:tcMar>
          </w:tcPr>
          <w:p>
            <w:pPr>
              <w:spacing w:after="0" w:line="245" w:lineRule="auto"/>
            </w:pPr>
            <w:r>
              <w:rPr>
                <w:b/>
                <w:sz w:val="19"/>
              </w:rPr>
              <w:t>Earlier full regional composition</w:t>
            </w:r>
          </w:p>
        </w:tc>
        <w:tc>
          <w:tcPr>
            <w:tcW w:type="dxa" w:w="2664"/>
            <w:vAlign w:val="center"/>
            <w:shd w:fill="E9EEF3"/>
            <w:tcMar>
              <w:top w:w="65" w:type="dxa"/>
              <w:bottom w:w="65" w:type="dxa"/>
              <w:left w:w="90" w:type="dxa"/>
              <w:right w:w="90" w:type="dxa"/>
            </w:tcMar>
          </w:tcPr>
          <w:p>
            <w:pPr>
              <w:spacing w:after="0" w:line="245" w:lineRule="auto"/>
            </w:pPr>
            <w:r>
              <w:rPr>
                <w:b/>
                <w:sz w:val="19"/>
              </w:rPr>
              <w:t>Whole output SNR dB</w:t>
            </w:r>
          </w:p>
        </w:tc>
        <w:tc>
          <w:tcPr>
            <w:tcW w:type="dxa" w:w="3888"/>
            <w:vAlign w:val="center"/>
            <w:shd w:fill="E9EEF3"/>
            <w:tcMar>
              <w:top w:w="65" w:type="dxa"/>
              <w:bottom w:w="65" w:type="dxa"/>
              <w:left w:w="90" w:type="dxa"/>
              <w:right w:w="90" w:type="dxa"/>
            </w:tcMar>
          </w:tcPr>
          <w:p>
            <w:pPr>
              <w:spacing w:after="0" w:line="245" w:lineRule="auto"/>
            </w:pPr>
            <w:r>
              <w:rPr>
                <w:b/>
                <w:sz w:val="19"/>
              </w:rPr>
              <w:t>Central/shared SNR dB</w:t>
            </w:r>
          </w:p>
        </w:tc>
      </w:tr>
      <w:tr>
        <w:trPr>
          <w:cantSplit/>
        </w:trPr>
        <w:tc>
          <w:tcPr>
            <w:tcW w:type="dxa" w:w="3096"/>
            <w:vAlign w:val="center"/>
            <w:shd w:fill="FFFFFF"/>
            <w:tcMar>
              <w:top w:w="65" w:type="dxa"/>
              <w:bottom w:w="65" w:type="dxa"/>
              <w:left w:w="90" w:type="dxa"/>
              <w:right w:w="90" w:type="dxa"/>
            </w:tcMar>
          </w:tcPr>
          <w:p>
            <w:pPr>
              <w:spacing w:after="0" w:line="245" w:lineRule="auto"/>
            </w:pPr>
            <w:r>
              <w:rPr>
                <w:sz w:val="19"/>
              </w:rPr>
              <w:t>Central pass-through</w:t>
            </w:r>
          </w:p>
        </w:tc>
        <w:tc>
          <w:tcPr>
            <w:tcW w:type="dxa" w:w="2664"/>
            <w:vAlign w:val="center"/>
            <w:shd w:fill="FFFFFF"/>
            <w:tcMar>
              <w:top w:w="65" w:type="dxa"/>
              <w:bottom w:w="65" w:type="dxa"/>
              <w:left w:w="90" w:type="dxa"/>
              <w:right w:w="90" w:type="dxa"/>
            </w:tcMar>
          </w:tcPr>
          <w:p>
            <w:pPr>
              <w:spacing w:after="0" w:line="245" w:lineRule="auto"/>
            </w:pPr>
            <w:r>
              <w:rPr>
                <w:sz w:val="19"/>
              </w:rPr>
              <w:t>9.094213</w:t>
            </w:r>
          </w:p>
        </w:tc>
        <w:tc>
          <w:tcPr>
            <w:tcW w:type="dxa" w:w="3888"/>
            <w:vAlign w:val="center"/>
            <w:shd w:fill="FFFFFF"/>
            <w:tcMar>
              <w:top w:w="65" w:type="dxa"/>
              <w:bottom w:w="65" w:type="dxa"/>
              <w:left w:w="90" w:type="dxa"/>
              <w:right w:w="90" w:type="dxa"/>
            </w:tcMar>
          </w:tcPr>
          <w:p>
            <w:pPr>
              <w:spacing w:after="0" w:line="245" w:lineRule="auto"/>
            </w:pPr>
            <w:r>
              <w:rPr>
                <w:sz w:val="19"/>
              </w:rPr>
              <w:t>1.954134</w:t>
            </w:r>
          </w:p>
        </w:tc>
      </w:tr>
      <w:tr>
        <w:trPr>
          <w:cantSplit/>
        </w:trPr>
        <w:tc>
          <w:tcPr>
            <w:tcW w:type="dxa" w:w="3096"/>
            <w:vAlign w:val="center"/>
            <w:shd w:fill="F7F8FA"/>
            <w:tcMar>
              <w:top w:w="65" w:type="dxa"/>
              <w:bottom w:w="65" w:type="dxa"/>
              <w:left w:w="90" w:type="dxa"/>
              <w:right w:w="90" w:type="dxa"/>
            </w:tcMar>
          </w:tcPr>
          <w:p>
            <w:pPr>
              <w:spacing w:after="0" w:line="245" w:lineRule="auto"/>
            </w:pPr>
            <w:r>
              <w:rPr>
                <w:sz w:val="19"/>
              </w:rPr>
              <w:t>VMD frontal artifact context for central transfer</w:t>
            </w:r>
          </w:p>
        </w:tc>
        <w:tc>
          <w:tcPr>
            <w:tcW w:type="dxa" w:w="2664"/>
            <w:vAlign w:val="center"/>
            <w:shd w:fill="F7F8FA"/>
            <w:tcMar>
              <w:top w:w="65" w:type="dxa"/>
              <w:bottom w:w="65" w:type="dxa"/>
              <w:left w:w="90" w:type="dxa"/>
              <w:right w:w="90" w:type="dxa"/>
            </w:tcMar>
          </w:tcPr>
          <w:p>
            <w:pPr>
              <w:spacing w:after="0" w:line="245" w:lineRule="auto"/>
            </w:pPr>
            <w:r>
              <w:rPr>
                <w:sz w:val="19"/>
              </w:rPr>
              <w:t>13.162704</w:t>
            </w:r>
          </w:p>
        </w:tc>
        <w:tc>
          <w:tcPr>
            <w:tcW w:type="dxa" w:w="3888"/>
            <w:vAlign w:val="center"/>
            <w:shd w:fill="F7F8FA"/>
            <w:tcMar>
              <w:top w:w="65" w:type="dxa"/>
              <w:bottom w:w="65" w:type="dxa"/>
              <w:left w:w="90" w:type="dxa"/>
              <w:right w:w="90" w:type="dxa"/>
            </w:tcMar>
          </w:tcPr>
          <w:p>
            <w:pPr>
              <w:spacing w:after="0" w:line="245" w:lineRule="auto"/>
            </w:pPr>
            <w:r>
              <w:rPr>
                <w:sz w:val="19"/>
              </w:rPr>
              <w:t>10.903434</w:t>
            </w:r>
          </w:p>
        </w:tc>
      </w:tr>
      <w:tr>
        <w:trPr>
          <w:cantSplit/>
        </w:trPr>
        <w:tc>
          <w:tcPr>
            <w:tcW w:type="dxa" w:w="3096"/>
            <w:vAlign w:val="center"/>
            <w:shd w:fill="FFFFFF"/>
            <w:tcMar>
              <w:top w:w="65" w:type="dxa"/>
              <w:bottom w:w="65" w:type="dxa"/>
              <w:left w:w="90" w:type="dxa"/>
              <w:right w:w="90" w:type="dxa"/>
            </w:tcMar>
          </w:tcPr>
          <w:p>
            <w:pPr>
              <w:spacing w:after="0" w:line="245" w:lineRule="auto"/>
            </w:pPr>
            <w:r>
              <w:rPr>
                <w:sz w:val="19"/>
              </w:rPr>
              <w:t>Raw frontal artifact context for central transfer</w:t>
            </w:r>
          </w:p>
        </w:tc>
        <w:tc>
          <w:tcPr>
            <w:tcW w:type="dxa" w:w="2664"/>
            <w:vAlign w:val="center"/>
            <w:shd w:fill="FFFFFF"/>
            <w:tcMar>
              <w:top w:w="65" w:type="dxa"/>
              <w:bottom w:w="65" w:type="dxa"/>
              <w:left w:w="90" w:type="dxa"/>
              <w:right w:w="90" w:type="dxa"/>
            </w:tcMar>
          </w:tcPr>
          <w:p>
            <w:pPr>
              <w:spacing w:after="0" w:line="245" w:lineRule="auto"/>
            </w:pPr>
            <w:r>
              <w:rPr>
                <w:sz w:val="19"/>
              </w:rPr>
              <w:t>13.183201</w:t>
            </w:r>
          </w:p>
        </w:tc>
        <w:tc>
          <w:tcPr>
            <w:tcW w:type="dxa" w:w="3888"/>
            <w:vAlign w:val="center"/>
            <w:shd w:fill="FFFFFF"/>
            <w:tcMar>
              <w:top w:w="65" w:type="dxa"/>
              <w:bottom w:w="65" w:type="dxa"/>
              <w:left w:w="90" w:type="dxa"/>
              <w:right w:w="90" w:type="dxa"/>
            </w:tcMar>
          </w:tcPr>
          <w:p>
            <w:pPr>
              <w:spacing w:after="0" w:line="245" w:lineRule="auto"/>
            </w:pPr>
            <w:r>
              <w:rPr>
                <w:sz w:val="19"/>
              </w:rPr>
              <w:t>10.949306</w:t>
            </w:r>
          </w:p>
        </w:tc>
      </w:tr>
    </w:tbl>
    <w:p>
      <w:pPr>
        <w:spacing w:after="0"/>
      </w:pPr>
    </w:p>
    <w:p>
      <w:r>
        <w:t>Both context arms retained the same scored VMD frontal and direct posterior outputs. “Raw context” did not mean replacing the frontal denoiser or an EEG-only method. The raw-minus-VMD context whole difference was 0.020497 dB with an interval crossing zero. Context coverage helped; unique benefit from VMD-derived context remained unproven.</w:t>
      </w:r>
    </w:p>
    <w:p>
      <w:r>
        <w:t>Evidence: [E12], [E13].</w:t>
      </w:r>
    </w:p>
    <w:p>
      <w:pPr>
        <w:pStyle w:val="Heading1"/>
        <w:pageBreakBefore/>
      </w:pPr>
      <w:r>
        <w:t>8 Nonfrontal challengers and the stronger simple control</w:t>
      </w:r>
    </w:p>
    <w:p>
      <w:r>
        <w:t>We tested six fixed mechanisms in posterior-only, central-only and joint compositions, preserving frontal predictions. This included ICA rejection, component regression, wavelet–ICA, selective wavelet–ICA and reference-field rank reduction. Wavelet adaptations were actually evaluated; earlier “reviewed only” descriptions do not describe this later run.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272"/>
      </w:tblGrid>
      <w:tr>
        <w:trPr>
          <w:cantSplit/>
          <w:tblHeader/>
        </w:trPr>
        <w:tc>
          <w:tcPr>
            <w:tcW w:type="dxa" w:w="2376"/>
            <w:vAlign w:val="center"/>
            <w:shd w:fill="E9EEF3"/>
            <w:tcMar>
              <w:top w:w="65" w:type="dxa"/>
              <w:bottom w:w="65" w:type="dxa"/>
              <w:left w:w="90" w:type="dxa"/>
              <w:right w:w="90" w:type="dxa"/>
            </w:tcMar>
          </w:tcPr>
          <w:p>
            <w:pPr>
              <w:spacing w:after="0" w:line="245" w:lineRule="auto"/>
            </w:pPr>
            <w:r>
              <w:rPr>
                <w:b/>
                <w:sz w:val="19"/>
              </w:rPr>
              <w:t>Joint nonfrontal method with frozen frontal VMD</w:t>
            </w:r>
          </w:p>
        </w:tc>
        <w:tc>
          <w:tcPr>
            <w:tcW w:type="dxa" w:w="7272"/>
            <w:vAlign w:val="center"/>
            <w:shd w:fill="E9EEF3"/>
            <w:tcMar>
              <w:top w:w="65" w:type="dxa"/>
              <w:bottom w:w="65" w:type="dxa"/>
              <w:left w:w="90" w:type="dxa"/>
              <w:right w:w="90" w:type="dxa"/>
            </w:tcMar>
          </w:tcPr>
          <w:p>
            <w:pPr>
              <w:spacing w:after="0" w:line="245" w:lineRule="auto"/>
            </w:pPr>
            <w:r>
              <w:rPr>
                <w:b/>
                <w:sz w:val="19"/>
              </w:rPr>
              <w:t>Whole mean output SNR dB</w:t>
            </w:r>
          </w:p>
        </w:tc>
      </w:tr>
      <w:tr>
        <w:trPr>
          <w:cantSplit/>
        </w:trPr>
        <w:tc>
          <w:tcPr>
            <w:tcW w:type="dxa" w:w="2376"/>
            <w:vAlign w:val="center"/>
            <w:shd w:fill="FFFFFF"/>
            <w:tcMar>
              <w:top w:w="65" w:type="dxa"/>
              <w:bottom w:w="65" w:type="dxa"/>
              <w:left w:w="90" w:type="dxa"/>
              <w:right w:w="90" w:type="dxa"/>
            </w:tcMar>
          </w:tcPr>
          <w:p>
            <w:pPr>
              <w:spacing w:after="0" w:line="245" w:lineRule="auto"/>
            </w:pPr>
            <w:r>
              <w:rPr>
                <w:sz w:val="19"/>
              </w:rPr>
              <w:t>Saved VMD-context control</w:t>
            </w:r>
          </w:p>
        </w:tc>
        <w:tc>
          <w:tcPr>
            <w:tcW w:type="dxa" w:w="7272"/>
            <w:vAlign w:val="center"/>
            <w:shd w:fill="FFFFFF"/>
            <w:tcMar>
              <w:top w:w="65" w:type="dxa"/>
              <w:bottom w:w="65" w:type="dxa"/>
              <w:left w:w="90" w:type="dxa"/>
              <w:right w:w="90" w:type="dxa"/>
            </w:tcMar>
          </w:tcPr>
          <w:p>
            <w:pPr>
              <w:spacing w:after="0" w:line="245" w:lineRule="auto"/>
            </w:pPr>
            <w:r>
              <w:rPr>
                <w:sz w:val="19"/>
              </w:rPr>
              <w:t>13.162704</w:t>
            </w:r>
          </w:p>
        </w:tc>
      </w:tr>
      <w:tr>
        <w:trPr>
          <w:cantSplit/>
        </w:trPr>
        <w:tc>
          <w:tcPr>
            <w:tcW w:type="dxa" w:w="2376"/>
            <w:vAlign w:val="center"/>
            <w:shd w:fill="F7F8FA"/>
            <w:tcMar>
              <w:top w:w="65" w:type="dxa"/>
              <w:bottom w:w="65" w:type="dxa"/>
              <w:left w:w="90" w:type="dxa"/>
              <w:right w:w="90" w:type="dxa"/>
            </w:tcMar>
          </w:tcPr>
          <w:p>
            <w:pPr>
              <w:spacing w:after="0" w:line="245" w:lineRule="auto"/>
            </w:pPr>
            <w:r>
              <w:rPr>
                <w:sz w:val="19"/>
              </w:rPr>
              <w:t>ICA component ridge</w:t>
            </w:r>
          </w:p>
        </w:tc>
        <w:tc>
          <w:tcPr>
            <w:tcW w:type="dxa" w:w="7272"/>
            <w:vAlign w:val="center"/>
            <w:shd w:fill="F7F8FA"/>
            <w:tcMar>
              <w:top w:w="65" w:type="dxa"/>
              <w:bottom w:w="65" w:type="dxa"/>
              <w:left w:w="90" w:type="dxa"/>
              <w:right w:w="90" w:type="dxa"/>
            </w:tcMar>
          </w:tcPr>
          <w:p>
            <w:pPr>
              <w:spacing w:after="0" w:line="245" w:lineRule="auto"/>
            </w:pPr>
            <w:r>
              <w:rPr>
                <w:sz w:val="19"/>
              </w:rPr>
              <w:t>14.735326</w:t>
            </w:r>
          </w:p>
        </w:tc>
      </w:tr>
      <w:tr>
        <w:trPr>
          <w:cantSplit/>
        </w:trPr>
        <w:tc>
          <w:tcPr>
            <w:tcW w:type="dxa" w:w="2376"/>
            <w:vAlign w:val="center"/>
            <w:shd w:fill="FFFFFF"/>
            <w:tcMar>
              <w:top w:w="65" w:type="dxa"/>
              <w:bottom w:w="65" w:type="dxa"/>
              <w:left w:w="90" w:type="dxa"/>
              <w:right w:w="90" w:type="dxa"/>
            </w:tcMar>
          </w:tcPr>
          <w:p>
            <w:pPr>
              <w:spacing w:after="0" w:line="245" w:lineRule="auto"/>
            </w:pPr>
            <w:r>
              <w:rPr>
                <w:sz w:val="19"/>
              </w:rPr>
              <w:t>ICA rejection</w:t>
            </w:r>
          </w:p>
        </w:tc>
        <w:tc>
          <w:tcPr>
            <w:tcW w:type="dxa" w:w="7272"/>
            <w:vAlign w:val="center"/>
            <w:shd w:fill="FFFFFF"/>
            <w:tcMar>
              <w:top w:w="65" w:type="dxa"/>
              <w:bottom w:w="65" w:type="dxa"/>
              <w:left w:w="90" w:type="dxa"/>
              <w:right w:w="90" w:type="dxa"/>
            </w:tcMar>
          </w:tcPr>
          <w:p>
            <w:pPr>
              <w:spacing w:after="0" w:line="245" w:lineRule="auto"/>
            </w:pPr>
            <w:r>
              <w:rPr>
                <w:sz w:val="19"/>
              </w:rPr>
              <w:t>12.541144</w:t>
            </w:r>
          </w:p>
        </w:tc>
      </w:tr>
      <w:tr>
        <w:trPr>
          <w:cantSplit/>
        </w:trPr>
        <w:tc>
          <w:tcPr>
            <w:tcW w:type="dxa" w:w="2376"/>
            <w:vAlign w:val="center"/>
            <w:shd w:fill="F7F8FA"/>
            <w:tcMar>
              <w:top w:w="65" w:type="dxa"/>
              <w:bottom w:w="65" w:type="dxa"/>
              <w:left w:w="90" w:type="dxa"/>
              <w:right w:w="90" w:type="dxa"/>
            </w:tcMar>
          </w:tcPr>
          <w:p>
            <w:pPr>
              <w:spacing w:after="0" w:line="245" w:lineRule="auto"/>
            </w:pPr>
            <w:r>
              <w:rPr>
                <w:sz w:val="19"/>
              </w:rPr>
              <w:t>Reference-field rank 1 / rank 2</w:t>
            </w:r>
          </w:p>
        </w:tc>
        <w:tc>
          <w:tcPr>
            <w:tcW w:type="dxa" w:w="7272"/>
            <w:vAlign w:val="center"/>
            <w:shd w:fill="F7F8FA"/>
            <w:tcMar>
              <w:top w:w="65" w:type="dxa"/>
              <w:bottom w:w="65" w:type="dxa"/>
              <w:left w:w="90" w:type="dxa"/>
              <w:right w:w="90" w:type="dxa"/>
            </w:tcMar>
          </w:tcPr>
          <w:p>
            <w:pPr>
              <w:spacing w:after="0" w:line="245" w:lineRule="auto"/>
            </w:pPr>
            <w:r>
              <w:rPr>
                <w:sz w:val="19"/>
              </w:rPr>
              <w:t>12.453789 / 15.155692</w:t>
            </w:r>
          </w:p>
        </w:tc>
      </w:tr>
      <w:tr>
        <w:trPr>
          <w:cantSplit/>
        </w:trPr>
        <w:tc>
          <w:tcPr>
            <w:tcW w:type="dxa" w:w="2376"/>
            <w:vAlign w:val="center"/>
            <w:shd w:fill="FFFFFF"/>
            <w:tcMar>
              <w:top w:w="65" w:type="dxa"/>
              <w:bottom w:w="65" w:type="dxa"/>
              <w:left w:w="90" w:type="dxa"/>
              <w:right w:w="90" w:type="dxa"/>
            </w:tcMar>
          </w:tcPr>
          <w:p>
            <w:pPr>
              <w:spacing w:after="0" w:line="245" w:lineRule="auto"/>
            </w:pPr>
            <w:r>
              <w:rPr>
                <w:sz w:val="19"/>
              </w:rPr>
              <w:t>Wavelet–ICA / selective wavelet–ICA</w:t>
            </w:r>
          </w:p>
        </w:tc>
        <w:tc>
          <w:tcPr>
            <w:tcW w:type="dxa" w:w="7272"/>
            <w:vAlign w:val="center"/>
            <w:shd w:fill="FFFFFF"/>
            <w:tcMar>
              <w:top w:w="65" w:type="dxa"/>
              <w:bottom w:w="65" w:type="dxa"/>
              <w:left w:w="90" w:type="dxa"/>
              <w:right w:w="90" w:type="dxa"/>
            </w:tcMar>
          </w:tcPr>
          <w:p>
            <w:pPr>
              <w:spacing w:after="0" w:line="245" w:lineRule="auto"/>
            </w:pPr>
            <w:r>
              <w:rPr>
                <w:sz w:val="19"/>
              </w:rPr>
              <w:t>12.396655 / 12.333200</w:t>
            </w:r>
          </w:p>
        </w:tc>
      </w:tr>
    </w:tbl>
    <w:p>
      <w:pPr>
        <w:spacing w:after="0"/>
      </w:pPr>
    </w:p>
    <w:p>
      <w:r>
        <w:t>A separate 50-example fixed GEVD–MWF rank-2 joint control scored 12.619925 dB against a matched 13.994230 dB context control. This rejects those fixed recipes, not all published MWF methods. A later fixed blend of the rank-2 field reached 15.370676 dB mean but 13.826832 dB pooled-window SNR; its gain interval crossed zero and severe lateral output worsened from 8.050232 to 7.758159 dB.</w:t>
      </w:r>
    </w:p>
    <w:p>
      <w:pPr>
        <w:pStyle w:val="Heading2"/>
      </w:pPr>
      <w:r>
        <w:t>CCA versus complete lagged reference regression</w:t>
      </w:r>
    </w:p>
    <w:p>
      <w:r>
        <w:t>CCA seeks directions shared with references. The full 320-example comparison tested rank-one/two reference-side and EEG-side versions. Removing reference directions did not beat retaining the complete regularized field.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2664"/>
        <w:gridCol w:w="3888"/>
      </w:tblGrid>
      <w:tr>
        <w:trPr>
          <w:cantSplit/>
          <w:tblHeader/>
        </w:trPr>
        <w:tc>
          <w:tcPr>
            <w:tcW w:type="dxa" w:w="3096"/>
            <w:vAlign w:val="center"/>
            <w:shd w:fill="E9EEF3"/>
            <w:tcMar>
              <w:top w:w="65" w:type="dxa"/>
              <w:bottom w:w="65" w:type="dxa"/>
              <w:left w:w="90" w:type="dxa"/>
              <w:right w:w="90" w:type="dxa"/>
            </w:tcMar>
          </w:tcPr>
          <w:p>
            <w:pPr>
              <w:spacing w:after="0" w:line="245" w:lineRule="auto"/>
            </w:pPr>
            <w:r>
              <w:rPr>
                <w:b/>
                <w:sz w:val="19"/>
              </w:rPr>
              <w:t>Frozen frontal VMD plus nonfrontal method</w:t>
            </w:r>
          </w:p>
        </w:tc>
        <w:tc>
          <w:tcPr>
            <w:tcW w:type="dxa" w:w="2664"/>
            <w:vAlign w:val="center"/>
            <w:shd w:fill="E9EEF3"/>
            <w:tcMar>
              <w:top w:w="65" w:type="dxa"/>
              <w:bottom w:w="65" w:type="dxa"/>
              <w:left w:w="90" w:type="dxa"/>
              <w:right w:w="90" w:type="dxa"/>
            </w:tcMar>
          </w:tcPr>
          <w:p>
            <w:pPr>
              <w:spacing w:after="0" w:line="245" w:lineRule="auto"/>
            </w:pPr>
            <w:r>
              <w:rPr>
                <w:b/>
                <w:sz w:val="19"/>
              </w:rPr>
              <w:t>Whole mean dB</w:t>
            </w:r>
          </w:p>
        </w:tc>
        <w:tc>
          <w:tcPr>
            <w:tcW w:type="dxa" w:w="3888"/>
            <w:vAlign w:val="center"/>
            <w:shd w:fill="E9EEF3"/>
            <w:tcMar>
              <w:top w:w="65" w:type="dxa"/>
              <w:bottom w:w="65" w:type="dxa"/>
              <w:left w:w="90" w:type="dxa"/>
              <w:right w:w="90" w:type="dxa"/>
            </w:tcMar>
          </w:tcPr>
          <w:p>
            <w:pPr>
              <w:spacing w:after="0" w:line="245" w:lineRule="auto"/>
            </w:pPr>
            <w:r>
              <w:rPr>
                <w:b/>
                <w:sz w:val="19"/>
              </w:rPr>
              <w:t>Mean pooled-window dB</w:t>
            </w:r>
          </w:p>
        </w:tc>
      </w:tr>
      <w:tr>
        <w:trPr>
          <w:cantSplit/>
        </w:trPr>
        <w:tc>
          <w:tcPr>
            <w:tcW w:type="dxa" w:w="3096"/>
            <w:vAlign w:val="center"/>
            <w:shd w:fill="FFFFFF"/>
            <w:tcMar>
              <w:top w:w="65" w:type="dxa"/>
              <w:bottom w:w="65" w:type="dxa"/>
              <w:left w:w="90" w:type="dxa"/>
              <w:right w:w="90" w:type="dxa"/>
            </w:tcMar>
          </w:tcPr>
          <w:p>
            <w:pPr>
              <w:spacing w:after="0" w:line="245" w:lineRule="auto"/>
            </w:pPr>
            <w:r>
              <w:rPr>
                <w:sz w:val="19"/>
              </w:rPr>
              <w:t>Complete calibrated lagged ridge</w:t>
            </w:r>
          </w:p>
        </w:tc>
        <w:tc>
          <w:tcPr>
            <w:tcW w:type="dxa" w:w="2664"/>
            <w:vAlign w:val="center"/>
            <w:shd w:fill="FFFFFF"/>
            <w:tcMar>
              <w:top w:w="65" w:type="dxa"/>
              <w:bottom w:w="65" w:type="dxa"/>
              <w:left w:w="90" w:type="dxa"/>
              <w:right w:w="90" w:type="dxa"/>
            </w:tcMar>
          </w:tcPr>
          <w:p>
            <w:pPr>
              <w:spacing w:after="0" w:line="245" w:lineRule="auto"/>
            </w:pPr>
            <w:r>
              <w:rPr>
                <w:sz w:val="19"/>
              </w:rPr>
              <w:t>17.533717</w:t>
            </w:r>
          </w:p>
        </w:tc>
        <w:tc>
          <w:tcPr>
            <w:tcW w:type="dxa" w:w="3888"/>
            <w:vAlign w:val="center"/>
            <w:shd w:fill="FFFFFF"/>
            <w:tcMar>
              <w:top w:w="65" w:type="dxa"/>
              <w:bottom w:w="65" w:type="dxa"/>
              <w:left w:w="90" w:type="dxa"/>
              <w:right w:w="90" w:type="dxa"/>
            </w:tcMar>
          </w:tcPr>
          <w:p>
            <w:pPr>
              <w:spacing w:after="0" w:line="245" w:lineRule="auto"/>
            </w:pPr>
            <w:r>
              <w:rPr>
                <w:sz w:val="19"/>
              </w:rPr>
              <w:t>14.780705</w:t>
            </w:r>
          </w:p>
        </w:tc>
      </w:tr>
      <w:tr>
        <w:trPr>
          <w:cantSplit/>
        </w:trPr>
        <w:tc>
          <w:tcPr>
            <w:tcW w:type="dxa" w:w="3096"/>
            <w:vAlign w:val="center"/>
            <w:shd w:fill="F7F8FA"/>
            <w:tcMar>
              <w:top w:w="65" w:type="dxa"/>
              <w:bottom w:w="65" w:type="dxa"/>
              <w:left w:w="90" w:type="dxa"/>
              <w:right w:w="90" w:type="dxa"/>
            </w:tcMar>
          </w:tcPr>
          <w:p>
            <w:pPr>
              <w:spacing w:after="0" w:line="245" w:lineRule="auto"/>
            </w:pPr>
            <w:r>
              <w:rPr>
                <w:sz w:val="19"/>
              </w:rPr>
              <w:t>Reference-side CCA rank 2</w:t>
            </w:r>
          </w:p>
        </w:tc>
        <w:tc>
          <w:tcPr>
            <w:tcW w:type="dxa" w:w="2664"/>
            <w:vAlign w:val="center"/>
            <w:shd w:fill="F7F8FA"/>
            <w:tcMar>
              <w:top w:w="65" w:type="dxa"/>
              <w:bottom w:w="65" w:type="dxa"/>
              <w:left w:w="90" w:type="dxa"/>
              <w:right w:w="90" w:type="dxa"/>
            </w:tcMar>
          </w:tcPr>
          <w:p>
            <w:pPr>
              <w:spacing w:after="0" w:line="245" w:lineRule="auto"/>
            </w:pPr>
            <w:r>
              <w:rPr>
                <w:sz w:val="19"/>
              </w:rPr>
              <w:t>15.833574</w:t>
            </w:r>
          </w:p>
        </w:tc>
        <w:tc>
          <w:tcPr>
            <w:tcW w:type="dxa" w:w="3888"/>
            <w:vAlign w:val="center"/>
            <w:shd w:fill="F7F8FA"/>
            <w:tcMar>
              <w:top w:w="65" w:type="dxa"/>
              <w:bottom w:w="65" w:type="dxa"/>
              <w:left w:w="90" w:type="dxa"/>
              <w:right w:w="90" w:type="dxa"/>
            </w:tcMar>
          </w:tcPr>
          <w:p>
            <w:pPr>
              <w:spacing w:after="0" w:line="245" w:lineRule="auto"/>
            </w:pPr>
            <w:r>
              <w:rPr>
                <w:sz w:val="19"/>
              </w:rPr>
              <w:t>13.923972</w:t>
            </w:r>
          </w:p>
        </w:tc>
      </w:tr>
      <w:tr>
        <w:trPr>
          <w:cantSplit/>
        </w:trPr>
        <w:tc>
          <w:tcPr>
            <w:tcW w:type="dxa" w:w="3096"/>
            <w:vAlign w:val="center"/>
            <w:shd w:fill="FFFFFF"/>
            <w:tcMar>
              <w:top w:w="65" w:type="dxa"/>
              <w:bottom w:w="65" w:type="dxa"/>
              <w:left w:w="90" w:type="dxa"/>
              <w:right w:w="90" w:type="dxa"/>
            </w:tcMar>
          </w:tcPr>
          <w:p>
            <w:pPr>
              <w:spacing w:after="0" w:line="245" w:lineRule="auto"/>
            </w:pPr>
            <w:r>
              <w:rPr>
                <w:sz w:val="19"/>
              </w:rPr>
              <w:t>EEG-side CCA rank 2</w:t>
            </w:r>
          </w:p>
        </w:tc>
        <w:tc>
          <w:tcPr>
            <w:tcW w:type="dxa" w:w="2664"/>
            <w:vAlign w:val="center"/>
            <w:shd w:fill="FFFFFF"/>
            <w:tcMar>
              <w:top w:w="65" w:type="dxa"/>
              <w:bottom w:w="65" w:type="dxa"/>
              <w:left w:w="90" w:type="dxa"/>
              <w:right w:w="90" w:type="dxa"/>
            </w:tcMar>
          </w:tcPr>
          <w:p>
            <w:pPr>
              <w:spacing w:after="0" w:line="245" w:lineRule="auto"/>
            </w:pPr>
            <w:r>
              <w:rPr>
                <w:sz w:val="19"/>
              </w:rPr>
              <w:t>13.597170</w:t>
            </w:r>
          </w:p>
        </w:tc>
        <w:tc>
          <w:tcPr>
            <w:tcW w:type="dxa" w:w="3888"/>
            <w:vAlign w:val="center"/>
            <w:shd w:fill="FFFFFF"/>
            <w:tcMar>
              <w:top w:w="65" w:type="dxa"/>
              <w:bottom w:w="65" w:type="dxa"/>
              <w:left w:w="90" w:type="dxa"/>
              <w:right w:w="90" w:type="dxa"/>
            </w:tcMar>
          </w:tcPr>
          <w:p>
            <w:pPr>
              <w:spacing w:after="0" w:line="245" w:lineRule="auto"/>
            </w:pPr>
            <w:r>
              <w:rPr>
                <w:sz w:val="19"/>
              </w:rPr>
              <w:t>12.168657</w:t>
            </w:r>
          </w:p>
        </w:tc>
      </w:tr>
      <w:tr>
        <w:trPr>
          <w:cantSplit/>
        </w:trPr>
        <w:tc>
          <w:tcPr>
            <w:tcW w:type="dxa" w:w="3096"/>
            <w:vAlign w:val="center"/>
            <w:shd w:fill="F7F8FA"/>
            <w:tcMar>
              <w:top w:w="65" w:type="dxa"/>
              <w:bottom w:w="65" w:type="dxa"/>
              <w:left w:w="90" w:type="dxa"/>
              <w:right w:w="90" w:type="dxa"/>
            </w:tcMar>
          </w:tcPr>
          <w:p>
            <w:pPr>
              <w:spacing w:after="0" w:line="245" w:lineRule="auto"/>
            </w:pPr>
            <w:r>
              <w:rPr>
                <w:sz w:val="19"/>
              </w:rPr>
              <w:t>Previous reference rank 2</w:t>
            </w:r>
          </w:p>
        </w:tc>
        <w:tc>
          <w:tcPr>
            <w:tcW w:type="dxa" w:w="2664"/>
            <w:vAlign w:val="center"/>
            <w:shd w:fill="F7F8FA"/>
            <w:tcMar>
              <w:top w:w="65" w:type="dxa"/>
              <w:bottom w:w="65" w:type="dxa"/>
              <w:left w:w="90" w:type="dxa"/>
              <w:right w:w="90" w:type="dxa"/>
            </w:tcMar>
          </w:tcPr>
          <w:p>
            <w:pPr>
              <w:spacing w:after="0" w:line="245" w:lineRule="auto"/>
            </w:pPr>
            <w:r>
              <w:rPr>
                <w:sz w:val="19"/>
              </w:rPr>
              <w:t>15.155692</w:t>
            </w:r>
          </w:p>
        </w:tc>
        <w:tc>
          <w:tcPr>
            <w:tcW w:type="dxa" w:w="3888"/>
            <w:vAlign w:val="center"/>
            <w:shd w:fill="F7F8FA"/>
            <w:tcMar>
              <w:top w:w="65" w:type="dxa"/>
              <w:bottom w:w="65" w:type="dxa"/>
              <w:left w:w="90" w:type="dxa"/>
              <w:right w:w="90" w:type="dxa"/>
            </w:tcMar>
          </w:tcPr>
          <w:p>
            <w:pPr>
              <w:spacing w:after="0" w:line="245" w:lineRule="auto"/>
            </w:pPr>
            <w:r>
              <w:rPr>
                <w:sz w:val="19"/>
              </w:rPr>
              <w:t>13.480444</w:t>
            </w:r>
          </w:p>
        </w:tc>
      </w:tr>
    </w:tbl>
    <w:p>
      <w:pPr>
        <w:spacing w:after="0"/>
      </w:pPr>
    </w:p>
    <w:p>
      <w:r>
        <w:t>CCA reference-rank2 minus complete ridge was −1.700143 dB, supplemental 95% interval [−2.548602, −0.943181], and failed its paired-CC gate. A later matched frontend audit gave raw frontal plus identical complete ridge 17.777095 mean/15.126152 pooled versus VMD 17.533717/14.780705. Simpler controls must remain visible.</w:t>
      </w:r>
    </w:p>
    <w:p>
      <w:r>
        <w:t>Evidence: [E14].</w:t>
      </w:r>
    </w:p>
    <w:p>
      <w:pPr>
        <w:pStyle w:val="Heading1"/>
        <w:pageBreakBefore/>
      </w:pPr>
      <w:r>
        <w:t>9 Corpus repair and the anchored lateral correction</w:t>
      </w:r>
    </w:p>
    <w:p>
      <w:pPr>
        <w:pStyle w:val="Heading2"/>
      </w:pPr>
      <w:r>
        <w:t>Why source and reference coupling required an audit</w:t>
      </w:r>
    </w:p>
    <w:p>
      <w:r>
        <w:t>Earlier controlled construction had a field/reference scaling mismatch that limited interpretation of calibration transfer. We recovered original recipient windows and unscored calibration from pinned sources, then constructed a separately versioned homogeneous field/reference scaling corpus. This was not algebraically extracting clean EEG from contaminated scoring data. Old results remain evidence under their old protocol; they are not silently overwritten or merged with the repaired corpus.</w:t>
      </w:r>
    </w:p>
    <w:p>
      <w:pPr>
        <w:pStyle w:val="Heading2"/>
      </w:pPr>
      <w:r>
        <w:t>The lateral gain hypothesis</w:t>
      </w:r>
    </w:p>
    <w:p>
      <w:r>
        <w:t>The old mode-supported gain could under-estimate correction when useful ocular-associated activity lay outside selected modes or in the residual. In one severe lateral example, selected-mode gain was 0.863411 versus raw gain 1.030755. This supported a mechanism experiment; it did not prove all residual content ocular.</w:t>
      </w:r>
    </w:p>
    <w:p>
      <w:r>
        <w:t>Matched-subspace scalar/axis projections were tested and rejected. A fixed anchored gain used 75% raw gain plus 25% VMD gain, with the same observed-data gate and bounds. This is our declared adaptation, not a published optimum. It remains one full-field artifact estimate subtracted from the original.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16"/>
        <w:gridCol w:w="1944"/>
        <w:gridCol w:w="1944"/>
        <w:gridCol w:w="1944"/>
      </w:tblGrid>
      <w:tr>
        <w:trPr>
          <w:cantSplit/>
          <w:tblHeader/>
        </w:trPr>
        <w:tc>
          <w:tcPr>
            <w:tcW w:type="dxa" w:w="3816"/>
            <w:vAlign w:val="center"/>
            <w:shd w:fill="E9EEF3"/>
            <w:tcMar>
              <w:top w:w="65" w:type="dxa"/>
              <w:bottom w:w="65" w:type="dxa"/>
              <w:left w:w="90" w:type="dxa"/>
              <w:right w:w="90" w:type="dxa"/>
            </w:tcMar>
          </w:tcPr>
          <w:p>
            <w:pPr>
              <w:spacing w:after="0" w:line="245" w:lineRule="auto"/>
            </w:pPr>
            <w:r>
              <w:rPr>
                <w:b/>
                <w:sz w:val="19"/>
              </w:rPr>
              <w:t>Two-pair pilot frontal lateral output</w:t>
            </w:r>
          </w:p>
        </w:tc>
        <w:tc>
          <w:tcPr>
            <w:tcW w:type="dxa" w:w="1944"/>
            <w:vAlign w:val="center"/>
            <w:shd w:fill="E9EEF3"/>
            <w:tcMar>
              <w:top w:w="65" w:type="dxa"/>
              <w:bottom w:w="65" w:type="dxa"/>
              <w:left w:w="90" w:type="dxa"/>
              <w:right w:w="90" w:type="dxa"/>
            </w:tcMar>
          </w:tcPr>
          <w:p>
            <w:pPr>
              <w:spacing w:after="0" w:line="245" w:lineRule="auto"/>
            </w:pPr>
            <w:r>
              <w:rPr>
                <w:b/>
                <w:sz w:val="19"/>
              </w:rPr>
              <w:t>Old VMD dB</w:t>
            </w:r>
          </w:p>
        </w:tc>
        <w:tc>
          <w:tcPr>
            <w:tcW w:type="dxa" w:w="1944"/>
            <w:vAlign w:val="center"/>
            <w:shd w:fill="E9EEF3"/>
            <w:tcMar>
              <w:top w:w="65" w:type="dxa"/>
              <w:bottom w:w="65" w:type="dxa"/>
              <w:left w:w="90" w:type="dxa"/>
              <w:right w:w="90" w:type="dxa"/>
            </w:tcMar>
          </w:tcPr>
          <w:p>
            <w:pPr>
              <w:spacing w:after="0" w:line="245" w:lineRule="auto"/>
            </w:pPr>
            <w:r>
              <w:rPr>
                <w:b/>
                <w:sz w:val="19"/>
              </w:rPr>
              <w:t>Anchored dB</w:t>
            </w:r>
          </w:p>
        </w:tc>
        <w:tc>
          <w:tcPr>
            <w:tcW w:type="dxa" w:w="1944"/>
            <w:vAlign w:val="center"/>
            <w:shd w:fill="E9EEF3"/>
            <w:tcMar>
              <w:top w:w="65" w:type="dxa"/>
              <w:bottom w:w="65" w:type="dxa"/>
              <w:left w:w="90" w:type="dxa"/>
              <w:right w:w="90" w:type="dxa"/>
            </w:tcMar>
          </w:tcPr>
          <w:p>
            <w:pPr>
              <w:spacing w:after="0" w:line="245" w:lineRule="auto"/>
            </w:pPr>
            <w:r>
              <w:rPr>
                <w:b/>
                <w:sz w:val="19"/>
              </w:rPr>
              <w:t>Raw shared dB</w:t>
            </w:r>
          </w:p>
        </w:tc>
      </w:tr>
      <w:tr>
        <w:trPr>
          <w:cantSplit/>
        </w:trPr>
        <w:tc>
          <w:tcPr>
            <w:tcW w:type="dxa" w:w="3816"/>
            <w:vAlign w:val="center"/>
            <w:shd w:fill="FFFFFF"/>
            <w:tcMar>
              <w:top w:w="65" w:type="dxa"/>
              <w:bottom w:w="65" w:type="dxa"/>
              <w:left w:w="90" w:type="dxa"/>
              <w:right w:w="90" w:type="dxa"/>
            </w:tcMar>
          </w:tcPr>
          <w:p>
            <w:pPr>
              <w:spacing w:after="0" w:line="245" w:lineRule="auto"/>
            </w:pPr>
            <w:r>
              <w:rPr>
                <w:sz w:val="19"/>
              </w:rPr>
              <w:t>Nominal whole-input −5 dB</w:t>
            </w:r>
          </w:p>
        </w:tc>
        <w:tc>
          <w:tcPr>
            <w:tcW w:type="dxa" w:w="1944"/>
            <w:vAlign w:val="center"/>
            <w:shd w:fill="FFFFFF"/>
            <w:tcMar>
              <w:top w:w="65" w:type="dxa"/>
              <w:bottom w:w="65" w:type="dxa"/>
              <w:left w:w="90" w:type="dxa"/>
              <w:right w:w="90" w:type="dxa"/>
            </w:tcMar>
          </w:tcPr>
          <w:p>
            <w:pPr>
              <w:spacing w:after="0" w:line="245" w:lineRule="auto"/>
            </w:pPr>
            <w:r>
              <w:rPr>
                <w:sz w:val="19"/>
              </w:rPr>
              <w:t>10.655937</w:t>
            </w:r>
          </w:p>
        </w:tc>
        <w:tc>
          <w:tcPr>
            <w:tcW w:type="dxa" w:w="1944"/>
            <w:vAlign w:val="center"/>
            <w:shd w:fill="FFFFFF"/>
            <w:tcMar>
              <w:top w:w="65" w:type="dxa"/>
              <w:bottom w:w="65" w:type="dxa"/>
              <w:left w:w="90" w:type="dxa"/>
              <w:right w:w="90" w:type="dxa"/>
            </w:tcMar>
          </w:tcPr>
          <w:p>
            <w:pPr>
              <w:spacing w:after="0" w:line="245" w:lineRule="auto"/>
            </w:pPr>
            <w:r>
              <w:rPr>
                <w:sz w:val="19"/>
              </w:rPr>
              <w:t>13.885189</w:t>
            </w:r>
          </w:p>
        </w:tc>
        <w:tc>
          <w:tcPr>
            <w:tcW w:type="dxa" w:w="1944"/>
            <w:vAlign w:val="center"/>
            <w:shd w:fill="FFFFFF"/>
            <w:tcMar>
              <w:top w:w="65" w:type="dxa"/>
              <w:bottom w:w="65" w:type="dxa"/>
              <w:left w:w="90" w:type="dxa"/>
              <w:right w:w="90" w:type="dxa"/>
            </w:tcMar>
          </w:tcPr>
          <w:p>
            <w:pPr>
              <w:spacing w:after="0" w:line="245" w:lineRule="auto"/>
            </w:pPr>
            <w:r>
              <w:rPr>
                <w:sz w:val="19"/>
              </w:rPr>
              <w:t>14.061627</w:t>
            </w:r>
          </w:p>
        </w:tc>
      </w:tr>
      <w:tr>
        <w:trPr>
          <w:cantSplit/>
        </w:trPr>
        <w:tc>
          <w:tcPr>
            <w:tcW w:type="dxa" w:w="3816"/>
            <w:vAlign w:val="center"/>
            <w:shd w:fill="F7F8FA"/>
            <w:tcMar>
              <w:top w:w="65" w:type="dxa"/>
              <w:bottom w:w="65" w:type="dxa"/>
              <w:left w:w="90" w:type="dxa"/>
              <w:right w:w="90" w:type="dxa"/>
            </w:tcMar>
          </w:tcPr>
          <w:p>
            <w:pPr>
              <w:spacing w:after="0" w:line="245" w:lineRule="auto"/>
            </w:pPr>
            <w:r>
              <w:rPr>
                <w:sz w:val="19"/>
              </w:rPr>
              <w:t>Nominal whole-input 0 dB</w:t>
            </w:r>
          </w:p>
        </w:tc>
        <w:tc>
          <w:tcPr>
            <w:tcW w:type="dxa" w:w="1944"/>
            <w:vAlign w:val="center"/>
            <w:shd w:fill="F7F8FA"/>
            <w:tcMar>
              <w:top w:w="65" w:type="dxa"/>
              <w:bottom w:w="65" w:type="dxa"/>
              <w:left w:w="90" w:type="dxa"/>
              <w:right w:w="90" w:type="dxa"/>
            </w:tcMar>
          </w:tcPr>
          <w:p>
            <w:pPr>
              <w:spacing w:after="0" w:line="245" w:lineRule="auto"/>
            </w:pPr>
            <w:r>
              <w:rPr>
                <w:sz w:val="19"/>
              </w:rPr>
              <w:t>14.154767</w:t>
            </w:r>
          </w:p>
        </w:tc>
        <w:tc>
          <w:tcPr>
            <w:tcW w:type="dxa" w:w="1944"/>
            <w:vAlign w:val="center"/>
            <w:shd w:fill="F7F8FA"/>
            <w:tcMar>
              <w:top w:w="65" w:type="dxa"/>
              <w:bottom w:w="65" w:type="dxa"/>
              <w:left w:w="90" w:type="dxa"/>
              <w:right w:w="90" w:type="dxa"/>
            </w:tcMar>
          </w:tcPr>
          <w:p>
            <w:pPr>
              <w:spacing w:after="0" w:line="245" w:lineRule="auto"/>
            </w:pPr>
            <w:r>
              <w:rPr>
                <w:sz w:val="19"/>
              </w:rPr>
              <w:t>18.488301</w:t>
            </w:r>
          </w:p>
        </w:tc>
        <w:tc>
          <w:tcPr>
            <w:tcW w:type="dxa" w:w="1944"/>
            <w:vAlign w:val="center"/>
            <w:shd w:fill="F7F8FA"/>
            <w:tcMar>
              <w:top w:w="65" w:type="dxa"/>
              <w:bottom w:w="65" w:type="dxa"/>
              <w:left w:w="90" w:type="dxa"/>
              <w:right w:w="90" w:type="dxa"/>
            </w:tcMar>
          </w:tcPr>
          <w:p>
            <w:pPr>
              <w:spacing w:after="0" w:line="245" w:lineRule="auto"/>
            </w:pPr>
            <w:r>
              <w:rPr>
                <w:sz w:val="19"/>
              </w:rPr>
              <w:t>18.635700</w:t>
            </w:r>
          </w:p>
        </w:tc>
      </w:tr>
      <w:tr>
        <w:trPr>
          <w:cantSplit/>
        </w:trPr>
        <w:tc>
          <w:tcPr>
            <w:tcW w:type="dxa" w:w="3816"/>
            <w:vAlign w:val="center"/>
            <w:shd w:fill="FFFFFF"/>
            <w:tcMar>
              <w:top w:w="65" w:type="dxa"/>
              <w:bottom w:w="65" w:type="dxa"/>
              <w:left w:w="90" w:type="dxa"/>
              <w:right w:w="90" w:type="dxa"/>
            </w:tcMar>
          </w:tcPr>
          <w:p>
            <w:pPr>
              <w:spacing w:after="0" w:line="245" w:lineRule="auto"/>
            </w:pPr>
            <w:r>
              <w:rPr>
                <w:sz w:val="19"/>
              </w:rPr>
              <w:t>Nominal whole-input +5 dB</w:t>
            </w:r>
          </w:p>
        </w:tc>
        <w:tc>
          <w:tcPr>
            <w:tcW w:type="dxa" w:w="1944"/>
            <w:vAlign w:val="center"/>
            <w:shd w:fill="FFFFFF"/>
            <w:tcMar>
              <w:top w:w="65" w:type="dxa"/>
              <w:bottom w:w="65" w:type="dxa"/>
              <w:left w:w="90" w:type="dxa"/>
              <w:right w:w="90" w:type="dxa"/>
            </w:tcMar>
          </w:tcPr>
          <w:p>
            <w:pPr>
              <w:spacing w:after="0" w:line="245" w:lineRule="auto"/>
            </w:pPr>
            <w:r>
              <w:rPr>
                <w:sz w:val="19"/>
              </w:rPr>
              <w:t>19.472830</w:t>
            </w:r>
          </w:p>
        </w:tc>
        <w:tc>
          <w:tcPr>
            <w:tcW w:type="dxa" w:w="1944"/>
            <w:vAlign w:val="center"/>
            <w:shd w:fill="FFFFFF"/>
            <w:tcMar>
              <w:top w:w="65" w:type="dxa"/>
              <w:bottom w:w="65" w:type="dxa"/>
              <w:left w:w="90" w:type="dxa"/>
              <w:right w:w="90" w:type="dxa"/>
            </w:tcMar>
          </w:tcPr>
          <w:p>
            <w:pPr>
              <w:spacing w:after="0" w:line="245" w:lineRule="auto"/>
            </w:pPr>
            <w:r>
              <w:rPr>
                <w:sz w:val="19"/>
              </w:rPr>
              <w:t>22.965294</w:t>
            </w:r>
          </w:p>
        </w:tc>
        <w:tc>
          <w:tcPr>
            <w:tcW w:type="dxa" w:w="1944"/>
            <w:vAlign w:val="center"/>
            <w:shd w:fill="FFFFFF"/>
            <w:tcMar>
              <w:top w:w="65" w:type="dxa"/>
              <w:bottom w:w="65" w:type="dxa"/>
              <w:left w:w="90" w:type="dxa"/>
              <w:right w:w="90" w:type="dxa"/>
            </w:tcMar>
          </w:tcPr>
          <w:p>
            <w:pPr>
              <w:spacing w:after="0" w:line="245" w:lineRule="auto"/>
            </w:pPr>
            <w:r>
              <w:rPr>
                <w:sz w:val="19"/>
              </w:rPr>
              <w:t>22.682389</w:t>
            </w:r>
          </w:p>
        </w:tc>
      </w:tr>
    </w:tbl>
    <w:p>
      <w:pPr>
        <w:spacing w:after="0"/>
      </w:pPr>
    </w:p>
    <w:p>
      <w:r>
        <w:t>The anchor improved old-VMD lateral performance and some MSE/CC summaries, but did not win every condition or aggregation. Both recipients were development-exposed. This small pilot justified broader fixed-recipe evaluation, not a general superiority claim. Its 75% raw contribution makes the role of regression explicit.</w:t>
      </w:r>
    </w:p>
    <w:p>
      <w:r>
        <w:t>The broader repaired corpus fixed 32 recipient windows, five donors and ten variants per pair. New inputs required new modes tied to input hashes. Nonfrontal ridge was computed once and matched across all corrected frontal arms. No renewed K/alpha search or native-label tuning occurred.</w:t>
      </w:r>
    </w:p>
    <w:p>
      <w:r>
        <w:t>Evidence: [E15], [E16].</w:t>
      </w:r>
    </w:p>
    <w:p>
      <w:pPr>
        <w:pStyle w:val="Heading1"/>
        <w:pageBreakBefore/>
      </w:pPr>
      <w:r>
        <w:t>10 Latest controlled results and the size of the VMD benefit</w:t>
      </w:r>
    </w:p>
    <w:p>
      <w:r>
        <w:t>The broader run processed 320 examples, 4,160 frontal decompositions and three solver-cap cases. A cached follow-up reproduced the original metrics and intervals, repaired failure-count reporting, and replaced only failed frontal rows with matched saved raw predictions. It performed no new VMD or calibration fit.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16"/>
        <w:gridCol w:w="1944"/>
        <w:gridCol w:w="1944"/>
        <w:gridCol w:w="1944"/>
      </w:tblGrid>
      <w:tr>
        <w:trPr>
          <w:cantSplit/>
          <w:tblHeader/>
        </w:trPr>
        <w:tc>
          <w:tcPr>
            <w:tcW w:type="dxa" w:w="3816"/>
            <w:vAlign w:val="center"/>
            <w:shd w:fill="E9EEF3"/>
            <w:tcMar>
              <w:top w:w="65" w:type="dxa"/>
              <w:bottom w:w="65" w:type="dxa"/>
              <w:left w:w="90" w:type="dxa"/>
              <w:right w:w="90" w:type="dxa"/>
            </w:tcMar>
          </w:tcPr>
          <w:p>
            <w:pPr>
              <w:spacing w:after="0" w:line="245" w:lineRule="auto"/>
            </w:pPr>
            <w:r>
              <w:rPr>
                <w:b/>
                <w:sz w:val="19"/>
              </w:rPr>
              <w:t>Latest method</w:t>
            </w:r>
          </w:p>
        </w:tc>
        <w:tc>
          <w:tcPr>
            <w:tcW w:type="dxa" w:w="1944"/>
            <w:vAlign w:val="center"/>
            <w:shd w:fill="E9EEF3"/>
            <w:tcMar>
              <w:top w:w="65" w:type="dxa"/>
              <w:bottom w:w="65" w:type="dxa"/>
              <w:left w:w="90" w:type="dxa"/>
              <w:right w:w="90" w:type="dxa"/>
            </w:tcMar>
          </w:tcPr>
          <w:p>
            <w:pPr>
              <w:spacing w:after="0" w:line="245" w:lineRule="auto"/>
            </w:pPr>
            <w:r>
              <w:rPr>
                <w:b/>
                <w:sz w:val="19"/>
              </w:rPr>
              <w:t>Frontal output dB</w:t>
            </w:r>
          </w:p>
        </w:tc>
        <w:tc>
          <w:tcPr>
            <w:tcW w:type="dxa" w:w="1944"/>
            <w:vAlign w:val="center"/>
            <w:shd w:fill="E9EEF3"/>
            <w:tcMar>
              <w:top w:w="65" w:type="dxa"/>
              <w:bottom w:w="65" w:type="dxa"/>
              <w:left w:w="90" w:type="dxa"/>
              <w:right w:w="90" w:type="dxa"/>
            </w:tcMar>
          </w:tcPr>
          <w:p>
            <w:pPr>
              <w:spacing w:after="0" w:line="245" w:lineRule="auto"/>
            </w:pPr>
            <w:r>
              <w:rPr>
                <w:b/>
                <w:sz w:val="19"/>
              </w:rPr>
              <w:t>Whole output dB</w:t>
            </w:r>
          </w:p>
        </w:tc>
        <w:tc>
          <w:tcPr>
            <w:tcW w:type="dxa" w:w="1944"/>
            <w:vAlign w:val="center"/>
            <w:shd w:fill="E9EEF3"/>
            <w:tcMar>
              <w:top w:w="65" w:type="dxa"/>
              <w:bottom w:w="65" w:type="dxa"/>
              <w:left w:w="90" w:type="dxa"/>
              <w:right w:w="90" w:type="dxa"/>
            </w:tcMar>
          </w:tcPr>
          <w:p>
            <w:pPr>
              <w:spacing w:after="0" w:line="245" w:lineRule="auto"/>
            </w:pPr>
            <w:r>
              <w:rPr>
                <w:b/>
                <w:sz w:val="19"/>
              </w:rPr>
              <w:t>Whole pooled-window dB</w:t>
            </w:r>
          </w:p>
        </w:tc>
      </w:tr>
      <w:tr>
        <w:trPr>
          <w:cantSplit/>
        </w:trPr>
        <w:tc>
          <w:tcPr>
            <w:tcW w:type="dxa" w:w="3816"/>
            <w:vAlign w:val="center"/>
            <w:shd w:fill="FFFFFF"/>
            <w:tcMar>
              <w:top w:w="65" w:type="dxa"/>
              <w:bottom w:w="65" w:type="dxa"/>
              <w:left w:w="90" w:type="dxa"/>
              <w:right w:w="90" w:type="dxa"/>
            </w:tcMar>
          </w:tcPr>
          <w:p>
            <w:pPr>
              <w:spacing w:after="0" w:line="245" w:lineRule="auto"/>
            </w:pPr>
            <w:r>
              <w:rPr>
                <w:sz w:val="19"/>
              </w:rPr>
              <w:t>Shared direct ridge</w:t>
            </w:r>
          </w:p>
        </w:tc>
        <w:tc>
          <w:tcPr>
            <w:tcW w:type="dxa" w:w="1944"/>
            <w:vAlign w:val="center"/>
            <w:shd w:fill="FFFFFF"/>
            <w:tcMar>
              <w:top w:w="65" w:type="dxa"/>
              <w:bottom w:w="65" w:type="dxa"/>
              <w:left w:w="90" w:type="dxa"/>
              <w:right w:w="90" w:type="dxa"/>
            </w:tcMar>
          </w:tcPr>
          <w:p>
            <w:pPr>
              <w:spacing w:after="0" w:line="245" w:lineRule="auto"/>
            </w:pPr>
            <w:r>
              <w:rPr>
                <w:sz w:val="19"/>
              </w:rPr>
              <w:t>18.182199</w:t>
            </w:r>
          </w:p>
        </w:tc>
        <w:tc>
          <w:tcPr>
            <w:tcW w:type="dxa" w:w="1944"/>
            <w:vAlign w:val="center"/>
            <w:shd w:fill="FFFFFF"/>
            <w:tcMar>
              <w:top w:w="65" w:type="dxa"/>
              <w:bottom w:w="65" w:type="dxa"/>
              <w:left w:w="90" w:type="dxa"/>
              <w:right w:w="90" w:type="dxa"/>
            </w:tcMar>
          </w:tcPr>
          <w:p>
            <w:pPr>
              <w:spacing w:after="0" w:line="245" w:lineRule="auto"/>
            </w:pPr>
            <w:r>
              <w:rPr>
                <w:sz w:val="19"/>
              </w:rPr>
              <w:t>17.785746</w:t>
            </w:r>
          </w:p>
        </w:tc>
        <w:tc>
          <w:tcPr>
            <w:tcW w:type="dxa" w:w="1944"/>
            <w:vAlign w:val="center"/>
            <w:shd w:fill="FFFFFF"/>
            <w:tcMar>
              <w:top w:w="65" w:type="dxa"/>
              <w:bottom w:w="65" w:type="dxa"/>
              <w:left w:w="90" w:type="dxa"/>
              <w:right w:w="90" w:type="dxa"/>
            </w:tcMar>
          </w:tcPr>
          <w:p>
            <w:pPr>
              <w:spacing w:after="0" w:line="245" w:lineRule="auto"/>
            </w:pPr>
            <w:r>
              <w:rPr>
                <w:sz w:val="19"/>
              </w:rPr>
              <w:t>15.211023</w:t>
            </w:r>
          </w:p>
        </w:tc>
      </w:tr>
      <w:tr>
        <w:trPr>
          <w:cantSplit/>
        </w:trPr>
        <w:tc>
          <w:tcPr>
            <w:tcW w:type="dxa" w:w="3816"/>
            <w:vAlign w:val="center"/>
            <w:shd w:fill="F7F8FA"/>
            <w:tcMar>
              <w:top w:w="65" w:type="dxa"/>
              <w:bottom w:w="65" w:type="dxa"/>
              <w:left w:w="90" w:type="dxa"/>
              <w:right w:w="90" w:type="dxa"/>
            </w:tcMar>
          </w:tcPr>
          <w:p>
            <w:pPr>
              <w:spacing w:after="0" w:line="245" w:lineRule="auto"/>
            </w:pPr>
            <w:r>
              <w:rPr>
                <w:sz w:val="19"/>
              </w:rPr>
              <w:t>Original VMD gain</w:t>
            </w:r>
          </w:p>
        </w:tc>
        <w:tc>
          <w:tcPr>
            <w:tcW w:type="dxa" w:w="1944"/>
            <w:vAlign w:val="center"/>
            <w:shd w:fill="F7F8FA"/>
            <w:tcMar>
              <w:top w:w="65" w:type="dxa"/>
              <w:bottom w:w="65" w:type="dxa"/>
              <w:left w:w="90" w:type="dxa"/>
              <w:right w:w="90" w:type="dxa"/>
            </w:tcMar>
          </w:tcPr>
          <w:p>
            <w:pPr>
              <w:spacing w:after="0" w:line="245" w:lineRule="auto"/>
            </w:pPr>
            <w:r>
              <w:rPr>
                <w:sz w:val="19"/>
              </w:rPr>
              <w:t>17.079584</w:t>
            </w:r>
          </w:p>
        </w:tc>
        <w:tc>
          <w:tcPr>
            <w:tcW w:type="dxa" w:w="1944"/>
            <w:vAlign w:val="center"/>
            <w:shd w:fill="F7F8FA"/>
            <w:tcMar>
              <w:top w:w="65" w:type="dxa"/>
              <w:bottom w:w="65" w:type="dxa"/>
              <w:left w:w="90" w:type="dxa"/>
              <w:right w:w="90" w:type="dxa"/>
            </w:tcMar>
          </w:tcPr>
          <w:p>
            <w:pPr>
              <w:spacing w:after="0" w:line="245" w:lineRule="auto"/>
            </w:pPr>
            <w:r>
              <w:rPr>
                <w:sz w:val="19"/>
              </w:rPr>
              <w:t>17.537370</w:t>
            </w:r>
          </w:p>
        </w:tc>
        <w:tc>
          <w:tcPr>
            <w:tcW w:type="dxa" w:w="1944"/>
            <w:vAlign w:val="center"/>
            <w:shd w:fill="F7F8FA"/>
            <w:tcMar>
              <w:top w:w="65" w:type="dxa"/>
              <w:bottom w:w="65" w:type="dxa"/>
              <w:left w:w="90" w:type="dxa"/>
              <w:right w:w="90" w:type="dxa"/>
            </w:tcMar>
          </w:tcPr>
          <w:p>
            <w:pPr>
              <w:spacing w:after="0" w:line="245" w:lineRule="auto"/>
            </w:pPr>
            <w:r>
              <w:rPr>
                <w:sz w:val="19"/>
              </w:rPr>
              <w:t>14.852226</w:t>
            </w:r>
          </w:p>
        </w:tc>
      </w:tr>
      <w:tr>
        <w:trPr>
          <w:cantSplit/>
        </w:trPr>
        <w:tc>
          <w:tcPr>
            <w:tcW w:type="dxa" w:w="3816"/>
            <w:vAlign w:val="center"/>
            <w:shd w:fill="FFFFFF"/>
            <w:tcMar>
              <w:top w:w="65" w:type="dxa"/>
              <w:bottom w:w="65" w:type="dxa"/>
              <w:left w:w="90" w:type="dxa"/>
              <w:right w:w="90" w:type="dxa"/>
            </w:tcMar>
          </w:tcPr>
          <w:p>
            <w:pPr>
              <w:spacing w:after="0" w:line="245" w:lineRule="auto"/>
            </w:pPr>
            <w:r>
              <w:rPr>
                <w:sz w:val="19"/>
              </w:rPr>
              <w:t>Anchored VMD</w:t>
            </w:r>
          </w:p>
        </w:tc>
        <w:tc>
          <w:tcPr>
            <w:tcW w:type="dxa" w:w="1944"/>
            <w:vAlign w:val="center"/>
            <w:shd w:fill="FFFFFF"/>
            <w:tcMar>
              <w:top w:w="65" w:type="dxa"/>
              <w:bottom w:w="65" w:type="dxa"/>
              <w:left w:w="90" w:type="dxa"/>
              <w:right w:w="90" w:type="dxa"/>
            </w:tcMar>
          </w:tcPr>
          <w:p>
            <w:pPr>
              <w:spacing w:after="0" w:line="245" w:lineRule="auto"/>
            </w:pPr>
            <w:r>
              <w:rPr>
                <w:sz w:val="19"/>
              </w:rPr>
              <w:t>18.238703</w:t>
            </w:r>
          </w:p>
        </w:tc>
        <w:tc>
          <w:tcPr>
            <w:tcW w:type="dxa" w:w="1944"/>
            <w:vAlign w:val="center"/>
            <w:shd w:fill="FFFFFF"/>
            <w:tcMar>
              <w:top w:w="65" w:type="dxa"/>
              <w:bottom w:w="65" w:type="dxa"/>
              <w:left w:w="90" w:type="dxa"/>
              <w:right w:w="90" w:type="dxa"/>
            </w:tcMar>
          </w:tcPr>
          <w:p>
            <w:pPr>
              <w:spacing w:after="0" w:line="245" w:lineRule="auto"/>
            </w:pPr>
            <w:r>
              <w:rPr>
                <w:sz w:val="19"/>
              </w:rPr>
              <w:t>17.799616</w:t>
            </w:r>
          </w:p>
        </w:tc>
        <w:tc>
          <w:tcPr>
            <w:tcW w:type="dxa" w:w="1944"/>
            <w:vAlign w:val="center"/>
            <w:shd w:fill="FFFFFF"/>
            <w:tcMar>
              <w:top w:w="65" w:type="dxa"/>
              <w:bottom w:w="65" w:type="dxa"/>
              <w:left w:w="90" w:type="dxa"/>
              <w:right w:w="90" w:type="dxa"/>
            </w:tcMar>
          </w:tcPr>
          <w:p>
            <w:pPr>
              <w:spacing w:after="0" w:line="245" w:lineRule="auto"/>
            </w:pPr>
            <w:r>
              <w:rPr>
                <w:sz w:val="19"/>
              </w:rPr>
              <w:t>15.116150</w:t>
            </w:r>
          </w:p>
        </w:tc>
      </w:tr>
      <w:tr>
        <w:trPr>
          <w:cantSplit/>
        </w:trPr>
        <w:tc>
          <w:tcPr>
            <w:tcW w:type="dxa" w:w="3816"/>
            <w:vAlign w:val="center"/>
            <w:shd w:fill="F7F8FA"/>
            <w:tcMar>
              <w:top w:w="65" w:type="dxa"/>
              <w:bottom w:w="65" w:type="dxa"/>
              <w:left w:w="90" w:type="dxa"/>
              <w:right w:w="90" w:type="dxa"/>
            </w:tcMar>
          </w:tcPr>
          <w:p>
            <w:pPr>
              <w:spacing w:after="0" w:line="245" w:lineRule="auto"/>
            </w:pPr>
            <w:r>
              <w:rPr>
                <w:sz w:val="19"/>
              </w:rPr>
              <w:t>Anchored with solver-only raw fallback</w:t>
            </w:r>
          </w:p>
        </w:tc>
        <w:tc>
          <w:tcPr>
            <w:tcW w:type="dxa" w:w="1944"/>
            <w:vAlign w:val="center"/>
            <w:shd w:fill="F7F8FA"/>
            <w:tcMar>
              <w:top w:w="65" w:type="dxa"/>
              <w:bottom w:w="65" w:type="dxa"/>
              <w:left w:w="90" w:type="dxa"/>
              <w:right w:w="90" w:type="dxa"/>
            </w:tcMar>
          </w:tcPr>
          <w:p>
            <w:pPr>
              <w:spacing w:after="0" w:line="245" w:lineRule="auto"/>
            </w:pPr>
            <w:r>
              <w:rPr>
                <w:sz w:val="19"/>
              </w:rPr>
              <w:t>18.261209</w:t>
            </w:r>
          </w:p>
        </w:tc>
        <w:tc>
          <w:tcPr>
            <w:tcW w:type="dxa" w:w="1944"/>
            <w:vAlign w:val="center"/>
            <w:shd w:fill="F7F8FA"/>
            <w:tcMar>
              <w:top w:w="65" w:type="dxa"/>
              <w:bottom w:w="65" w:type="dxa"/>
              <w:left w:w="90" w:type="dxa"/>
              <w:right w:w="90" w:type="dxa"/>
            </w:tcMar>
          </w:tcPr>
          <w:p>
            <w:pPr>
              <w:spacing w:after="0" w:line="245" w:lineRule="auto"/>
            </w:pPr>
            <w:r>
              <w:rPr>
                <w:sz w:val="19"/>
              </w:rPr>
              <w:t>17.804727</w:t>
            </w:r>
          </w:p>
        </w:tc>
        <w:tc>
          <w:tcPr>
            <w:tcW w:type="dxa" w:w="1944"/>
            <w:vAlign w:val="center"/>
            <w:shd w:fill="F7F8FA"/>
            <w:tcMar>
              <w:top w:w="65" w:type="dxa"/>
              <w:bottom w:w="65" w:type="dxa"/>
              <w:left w:w="90" w:type="dxa"/>
              <w:right w:w="90" w:type="dxa"/>
            </w:tcMar>
          </w:tcPr>
          <w:p>
            <w:pPr>
              <w:spacing w:after="0" w:line="245" w:lineRule="auto"/>
            </w:pPr>
            <w:r>
              <w:rPr>
                <w:sz w:val="19"/>
              </w:rPr>
              <w:t>15.200363</w:t>
            </w:r>
          </w:p>
        </w:tc>
      </w:tr>
    </w:tbl>
    <w:p>
      <w:pPr>
        <w:spacing w:after="0"/>
      </w:pPr>
    </w:p>
    <w:p>
      <w:pPr>
        <w:keepNext/>
        <w:jc w:val="center"/>
      </w:pPr>
      <w:r>
        <w:drawing>
          <wp:inline xmlns:a="http://schemas.openxmlformats.org/drawingml/2006/main" xmlns:pic="http://schemas.openxmlformats.org/drawingml/2006/picture">
            <wp:extent cx="6080760" cy="3986784"/>
            <wp:docPr id="3" name="Picture 3"/>
            <wp:cNvGraphicFramePr>
              <a:graphicFrameLocks noChangeAspect="1"/>
            </wp:cNvGraphicFramePr>
            <a:graphic>
              <a:graphicData uri="http://schemas.openxmlformats.org/drawingml/2006/picture">
                <pic:pic>
                  <pic:nvPicPr>
                    <pic:cNvPr id="0" name="conditions.png"/>
                    <pic:cNvPicPr/>
                  </pic:nvPicPr>
                  <pic:blipFill>
                    <a:blip r:embed="rId13"/>
                    <a:stretch>
                      <a:fillRect/>
                    </a:stretch>
                  </pic:blipFill>
                  <pic:spPr>
                    <a:xfrm>
                      <a:off x="0" y="0"/>
                      <a:ext cx="6080760" cy="3986784"/>
                    </a:xfrm>
                    <a:prstGeom prst="rect"/>
                  </pic:spPr>
                </pic:pic>
              </a:graphicData>
            </a:graphic>
          </wp:inline>
        </w:drawing>
      </w:r>
    </w:p>
    <w:p>
      <w:pPr>
        <w:spacing w:after="140"/>
      </w:pPr>
      <w:r>
        <w:rPr>
          <w:sz w:val="19"/>
        </w:rPr>
      </w:r>
      <w:r>
        <w:rPr>
          <w:b/>
          <w:sz w:val="19"/>
        </w:rPr>
        <w:t>Figure 5.</w:t>
      </w:r>
      <w:r>
        <w:rPr>
          <w:sz w:val="19"/>
        </w:rPr>
        <w:t xml:space="preserve"> Broader cached development comparison. Horizontal axis is nominal whole-input SNR; vertical axis is mean pooled-window output SNR, not the channel-first table above. Columns separate blink/lateral/mixed; rows separate frontal/whole output. Lateral remains weakest. The fallback does not change lateral outputs because its three affected examples were blink/mixed.</w:t>
      </w:r>
    </w:p>
    <w:p>
      <w:r/>
      <w:r>
        <w:rPr>
          <w:b/>
        </w:rPr>
        <w:t>Inference:</w:t>
      </w:r>
      <w:r>
        <w:t xml:space="preserve"> fallback-minus-raw whole mean difference is only +0.018981 dB, supplemental 95% interval [−0.071359, +0.132357]. Worst-recipient frontal CC deterioration remains 0.006224758 &gt; 0.005. Neither VMD superiority nor teacher qualification follows. Evidence: [E17].</w:t>
      </w:r>
    </w:p>
    <w:p>
      <w:pPr>
        <w:pStyle w:val="Heading1"/>
        <w:pageBreakBefore/>
      </w:pPr>
      <w:r>
        <w:t>11 Native OSF validation is the decisive current checkpoint</w:t>
      </w:r>
    </w:p>
    <w:p>
      <w:r>
        <w:t>The frozen native run completed all 51 scoring trials from two development recordings, 306 windows and 4,284 frontal K3/2000 decompositions. Four solver-flagged channel windows remained visible. All 341 tests passed and all 744 output payloads were recovered and independently hash-checked. Posterior channels passed through unchanged.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16"/>
        <w:gridCol w:w="1944"/>
        <w:gridCol w:w="1944"/>
        <w:gridCol w:w="1944"/>
      </w:tblGrid>
      <w:tr>
        <w:trPr>
          <w:cantSplit/>
          <w:tblHeader/>
        </w:trPr>
        <w:tc>
          <w:tcPr>
            <w:tcW w:type="dxa" w:w="3816"/>
            <w:vAlign w:val="center"/>
            <w:shd w:fill="E9EEF3"/>
            <w:tcMar>
              <w:top w:w="65" w:type="dxa"/>
              <w:bottom w:w="65" w:type="dxa"/>
              <w:left w:w="90" w:type="dxa"/>
              <w:right w:w="90" w:type="dxa"/>
            </w:tcMar>
          </w:tcPr>
          <w:p>
            <w:pPr>
              <w:spacing w:after="0" w:line="245" w:lineRule="auto"/>
            </w:pPr>
            <w:r>
              <w:rPr>
                <w:b/>
                <w:sz w:val="19"/>
              </w:rPr>
              <w:t>Native condition</w:t>
            </w:r>
          </w:p>
        </w:tc>
        <w:tc>
          <w:tcPr>
            <w:tcW w:type="dxa" w:w="1944"/>
            <w:vAlign w:val="center"/>
            <w:shd w:fill="E9EEF3"/>
            <w:tcMar>
              <w:top w:w="65" w:type="dxa"/>
              <w:bottom w:w="65" w:type="dxa"/>
              <w:left w:w="90" w:type="dxa"/>
              <w:right w:w="90" w:type="dxa"/>
            </w:tcMar>
          </w:tcPr>
          <w:p>
            <w:pPr>
              <w:spacing w:after="0" w:line="245" w:lineRule="auto"/>
            </w:pPr>
            <w:r>
              <w:rPr>
                <w:b/>
                <w:sz w:val="19"/>
              </w:rPr>
              <w:t>Original absolute EEG–EOG r</w:t>
            </w:r>
          </w:p>
        </w:tc>
        <w:tc>
          <w:tcPr>
            <w:tcW w:type="dxa" w:w="1944"/>
            <w:vAlign w:val="center"/>
            <w:shd w:fill="E9EEF3"/>
            <w:tcMar>
              <w:top w:w="65" w:type="dxa"/>
              <w:bottom w:w="65" w:type="dxa"/>
              <w:left w:w="90" w:type="dxa"/>
              <w:right w:w="90" w:type="dxa"/>
            </w:tcMar>
          </w:tcPr>
          <w:p>
            <w:pPr>
              <w:spacing w:after="0" w:line="245" w:lineRule="auto"/>
            </w:pPr>
            <w:r>
              <w:rPr>
                <w:b/>
                <w:sz w:val="19"/>
              </w:rPr>
              <w:t>Direct raw</w:t>
            </w:r>
          </w:p>
        </w:tc>
        <w:tc>
          <w:tcPr>
            <w:tcW w:type="dxa" w:w="1944"/>
            <w:vAlign w:val="center"/>
            <w:shd w:fill="E9EEF3"/>
            <w:tcMar>
              <w:top w:w="65" w:type="dxa"/>
              <w:bottom w:w="65" w:type="dxa"/>
              <w:left w:w="90" w:type="dxa"/>
              <w:right w:w="90" w:type="dxa"/>
            </w:tcMar>
          </w:tcPr>
          <w:p>
            <w:pPr>
              <w:spacing w:after="0" w:line="245" w:lineRule="auto"/>
            </w:pPr>
            <w:r>
              <w:rPr>
                <w:b/>
                <w:sz w:val="19"/>
              </w:rPr>
              <w:t>Anchored plus fallback</w:t>
            </w:r>
          </w:p>
        </w:tc>
      </w:tr>
      <w:tr>
        <w:trPr>
          <w:cantSplit/>
        </w:trPr>
        <w:tc>
          <w:tcPr>
            <w:tcW w:type="dxa" w:w="3816"/>
            <w:vAlign w:val="center"/>
            <w:shd w:fill="FFFFFF"/>
            <w:tcMar>
              <w:top w:w="65" w:type="dxa"/>
              <w:bottom w:w="65" w:type="dxa"/>
              <w:left w:w="90" w:type="dxa"/>
              <w:right w:w="90" w:type="dxa"/>
            </w:tcMar>
          </w:tcPr>
          <w:p>
            <w:pPr>
              <w:spacing w:after="0" w:line="245" w:lineRule="auto"/>
            </w:pPr>
            <w:r>
              <w:rPr>
                <w:sz w:val="19"/>
              </w:rPr>
              <w:t>p02 lateral, HEOG</w:t>
            </w:r>
          </w:p>
        </w:tc>
        <w:tc>
          <w:tcPr>
            <w:tcW w:type="dxa" w:w="1944"/>
            <w:vAlign w:val="center"/>
            <w:shd w:fill="FFFFFF"/>
            <w:tcMar>
              <w:top w:w="65" w:type="dxa"/>
              <w:bottom w:w="65" w:type="dxa"/>
              <w:left w:w="90" w:type="dxa"/>
              <w:right w:w="90" w:type="dxa"/>
            </w:tcMar>
          </w:tcPr>
          <w:p>
            <w:pPr>
              <w:spacing w:after="0" w:line="245" w:lineRule="auto"/>
            </w:pPr>
            <w:r>
              <w:rPr>
                <w:sz w:val="19"/>
              </w:rPr>
              <w:t>0.273208</w:t>
            </w:r>
          </w:p>
        </w:tc>
        <w:tc>
          <w:tcPr>
            <w:tcW w:type="dxa" w:w="1944"/>
            <w:vAlign w:val="center"/>
            <w:shd w:fill="FFFFFF"/>
            <w:tcMar>
              <w:top w:w="65" w:type="dxa"/>
              <w:bottom w:w="65" w:type="dxa"/>
              <w:left w:w="90" w:type="dxa"/>
              <w:right w:w="90" w:type="dxa"/>
            </w:tcMar>
          </w:tcPr>
          <w:p>
            <w:pPr>
              <w:spacing w:after="0" w:line="245" w:lineRule="auto"/>
            </w:pPr>
            <w:r>
              <w:rPr>
                <w:sz w:val="19"/>
              </w:rPr>
              <w:t>0.058827</w:t>
            </w:r>
          </w:p>
        </w:tc>
        <w:tc>
          <w:tcPr>
            <w:tcW w:type="dxa" w:w="1944"/>
            <w:vAlign w:val="center"/>
            <w:shd w:fill="FFFFFF"/>
            <w:tcMar>
              <w:top w:w="65" w:type="dxa"/>
              <w:bottom w:w="65" w:type="dxa"/>
              <w:left w:w="90" w:type="dxa"/>
              <w:right w:w="90" w:type="dxa"/>
            </w:tcMar>
          </w:tcPr>
          <w:p>
            <w:pPr>
              <w:spacing w:after="0" w:line="245" w:lineRule="auto"/>
            </w:pPr>
            <w:r>
              <w:rPr>
                <w:sz w:val="19"/>
              </w:rPr>
              <w:t>0.047653</w:t>
            </w:r>
          </w:p>
        </w:tc>
      </w:tr>
      <w:tr>
        <w:trPr>
          <w:cantSplit/>
        </w:trPr>
        <w:tc>
          <w:tcPr>
            <w:tcW w:type="dxa" w:w="3816"/>
            <w:vAlign w:val="center"/>
            <w:shd w:fill="F7F8FA"/>
            <w:tcMar>
              <w:top w:w="65" w:type="dxa"/>
              <w:bottom w:w="65" w:type="dxa"/>
              <w:left w:w="90" w:type="dxa"/>
              <w:right w:w="90" w:type="dxa"/>
            </w:tcMar>
          </w:tcPr>
          <w:p>
            <w:pPr>
              <w:spacing w:after="0" w:line="245" w:lineRule="auto"/>
            </w:pPr>
            <w:r>
              <w:rPr>
                <w:sz w:val="19"/>
              </w:rPr>
              <w:t>p03 lateral, HEOG</w:t>
            </w:r>
          </w:p>
        </w:tc>
        <w:tc>
          <w:tcPr>
            <w:tcW w:type="dxa" w:w="1944"/>
            <w:vAlign w:val="center"/>
            <w:shd w:fill="F7F8FA"/>
            <w:tcMar>
              <w:top w:w="65" w:type="dxa"/>
              <w:bottom w:w="65" w:type="dxa"/>
              <w:left w:w="90" w:type="dxa"/>
              <w:right w:w="90" w:type="dxa"/>
            </w:tcMar>
          </w:tcPr>
          <w:p>
            <w:pPr>
              <w:spacing w:after="0" w:line="245" w:lineRule="auto"/>
            </w:pPr>
            <w:r>
              <w:rPr>
                <w:sz w:val="19"/>
              </w:rPr>
              <w:t>0.422304</w:t>
            </w:r>
          </w:p>
        </w:tc>
        <w:tc>
          <w:tcPr>
            <w:tcW w:type="dxa" w:w="1944"/>
            <w:vAlign w:val="center"/>
            <w:shd w:fill="F7F8FA"/>
            <w:tcMar>
              <w:top w:w="65" w:type="dxa"/>
              <w:bottom w:w="65" w:type="dxa"/>
              <w:left w:w="90" w:type="dxa"/>
              <w:right w:w="90" w:type="dxa"/>
            </w:tcMar>
          </w:tcPr>
          <w:p>
            <w:pPr>
              <w:spacing w:after="0" w:line="245" w:lineRule="auto"/>
            </w:pPr>
            <w:r>
              <w:rPr>
                <w:sz w:val="19"/>
              </w:rPr>
              <w:t>0.070063</w:t>
            </w:r>
          </w:p>
        </w:tc>
        <w:tc>
          <w:tcPr>
            <w:tcW w:type="dxa" w:w="1944"/>
            <w:vAlign w:val="center"/>
            <w:shd w:fill="F7F8FA"/>
            <w:tcMar>
              <w:top w:w="65" w:type="dxa"/>
              <w:bottom w:w="65" w:type="dxa"/>
              <w:left w:w="90" w:type="dxa"/>
              <w:right w:w="90" w:type="dxa"/>
            </w:tcMar>
          </w:tcPr>
          <w:p>
            <w:pPr>
              <w:spacing w:after="0" w:line="245" w:lineRule="auto"/>
            </w:pPr>
            <w:r>
              <w:rPr>
                <w:sz w:val="19"/>
              </w:rPr>
              <w:t>0.055387</w:t>
            </w:r>
          </w:p>
        </w:tc>
      </w:tr>
      <w:tr>
        <w:trPr>
          <w:cantSplit/>
        </w:trPr>
        <w:tc>
          <w:tcPr>
            <w:tcW w:type="dxa" w:w="3816"/>
            <w:vAlign w:val="center"/>
            <w:shd w:fill="FFFFFF"/>
            <w:tcMar>
              <w:top w:w="65" w:type="dxa"/>
              <w:bottom w:w="65" w:type="dxa"/>
              <w:left w:w="90" w:type="dxa"/>
              <w:right w:w="90" w:type="dxa"/>
            </w:tcMar>
          </w:tcPr>
          <w:p>
            <w:pPr>
              <w:spacing w:after="0" w:line="245" w:lineRule="auto"/>
            </w:pPr>
            <w:r>
              <w:rPr>
                <w:sz w:val="19"/>
              </w:rPr>
              <w:t>p02 blink, VEOG</w:t>
            </w:r>
          </w:p>
        </w:tc>
        <w:tc>
          <w:tcPr>
            <w:tcW w:type="dxa" w:w="1944"/>
            <w:vAlign w:val="center"/>
            <w:shd w:fill="FFFFFF"/>
            <w:tcMar>
              <w:top w:w="65" w:type="dxa"/>
              <w:bottom w:w="65" w:type="dxa"/>
              <w:left w:w="90" w:type="dxa"/>
              <w:right w:w="90" w:type="dxa"/>
            </w:tcMar>
          </w:tcPr>
          <w:p>
            <w:pPr>
              <w:spacing w:after="0" w:line="245" w:lineRule="auto"/>
            </w:pPr>
            <w:r>
              <w:rPr>
                <w:sz w:val="19"/>
              </w:rPr>
              <w:t>0.913125</w:t>
            </w:r>
          </w:p>
        </w:tc>
        <w:tc>
          <w:tcPr>
            <w:tcW w:type="dxa" w:w="1944"/>
            <w:vAlign w:val="center"/>
            <w:shd w:fill="FFFFFF"/>
            <w:tcMar>
              <w:top w:w="65" w:type="dxa"/>
              <w:bottom w:w="65" w:type="dxa"/>
              <w:left w:w="90" w:type="dxa"/>
              <w:right w:w="90" w:type="dxa"/>
            </w:tcMar>
          </w:tcPr>
          <w:p>
            <w:pPr>
              <w:spacing w:after="0" w:line="245" w:lineRule="auto"/>
            </w:pPr>
            <w:r>
              <w:rPr>
                <w:sz w:val="19"/>
              </w:rPr>
              <w:t>0.048049</w:t>
            </w:r>
          </w:p>
        </w:tc>
        <w:tc>
          <w:tcPr>
            <w:tcW w:type="dxa" w:w="1944"/>
            <w:vAlign w:val="center"/>
            <w:shd w:fill="FFFFFF"/>
            <w:tcMar>
              <w:top w:w="65" w:type="dxa"/>
              <w:bottom w:w="65" w:type="dxa"/>
              <w:left w:w="90" w:type="dxa"/>
              <w:right w:w="90" w:type="dxa"/>
            </w:tcMar>
          </w:tcPr>
          <w:p>
            <w:pPr>
              <w:spacing w:after="0" w:line="245" w:lineRule="auto"/>
            </w:pPr>
            <w:r>
              <w:rPr>
                <w:sz w:val="19"/>
              </w:rPr>
              <w:t>0.043421</w:t>
            </w:r>
          </w:p>
        </w:tc>
      </w:tr>
      <w:tr>
        <w:trPr>
          <w:cantSplit/>
        </w:trPr>
        <w:tc>
          <w:tcPr>
            <w:tcW w:type="dxa" w:w="3816"/>
            <w:vAlign w:val="center"/>
            <w:shd w:fill="F7F8FA"/>
            <w:tcMar>
              <w:top w:w="65" w:type="dxa"/>
              <w:bottom w:w="65" w:type="dxa"/>
              <w:left w:w="90" w:type="dxa"/>
              <w:right w:w="90" w:type="dxa"/>
            </w:tcMar>
          </w:tcPr>
          <w:p>
            <w:pPr>
              <w:spacing w:after="0" w:line="245" w:lineRule="auto"/>
            </w:pPr>
            <w:r>
              <w:rPr>
                <w:sz w:val="19"/>
              </w:rPr>
              <w:t>p03 blink, VEOG</w:t>
            </w:r>
          </w:p>
        </w:tc>
        <w:tc>
          <w:tcPr>
            <w:tcW w:type="dxa" w:w="1944"/>
            <w:vAlign w:val="center"/>
            <w:shd w:fill="F7F8FA"/>
            <w:tcMar>
              <w:top w:w="65" w:type="dxa"/>
              <w:bottom w:w="65" w:type="dxa"/>
              <w:left w:w="90" w:type="dxa"/>
              <w:right w:w="90" w:type="dxa"/>
            </w:tcMar>
          </w:tcPr>
          <w:p>
            <w:pPr>
              <w:spacing w:after="0" w:line="245" w:lineRule="auto"/>
            </w:pPr>
            <w:r>
              <w:rPr>
                <w:sz w:val="19"/>
              </w:rPr>
              <w:t>0.958671</w:t>
            </w:r>
          </w:p>
        </w:tc>
        <w:tc>
          <w:tcPr>
            <w:tcW w:type="dxa" w:w="1944"/>
            <w:vAlign w:val="center"/>
            <w:shd w:fill="F7F8FA"/>
            <w:tcMar>
              <w:top w:w="65" w:type="dxa"/>
              <w:bottom w:w="65" w:type="dxa"/>
              <w:left w:w="90" w:type="dxa"/>
              <w:right w:w="90" w:type="dxa"/>
            </w:tcMar>
          </w:tcPr>
          <w:p>
            <w:pPr>
              <w:spacing w:after="0" w:line="245" w:lineRule="auto"/>
            </w:pPr>
            <w:r>
              <w:rPr>
                <w:sz w:val="19"/>
              </w:rPr>
              <w:t>0.044100</w:t>
            </w:r>
          </w:p>
        </w:tc>
        <w:tc>
          <w:tcPr>
            <w:tcW w:type="dxa" w:w="1944"/>
            <w:vAlign w:val="center"/>
            <w:shd w:fill="F7F8FA"/>
            <w:tcMar>
              <w:top w:w="65" w:type="dxa"/>
              <w:bottom w:w="65" w:type="dxa"/>
              <w:left w:w="90" w:type="dxa"/>
              <w:right w:w="90" w:type="dxa"/>
            </w:tcMar>
          </w:tcPr>
          <w:p>
            <w:pPr>
              <w:spacing w:after="0" w:line="245" w:lineRule="auto"/>
            </w:pPr>
            <w:r>
              <w:rPr>
                <w:sz w:val="19"/>
              </w:rPr>
              <w:t>0.047265</w:t>
            </w:r>
          </w:p>
        </w:tc>
      </w:tr>
    </w:tbl>
    <w:p>
      <w:pPr>
        <w:spacing w:after="0"/>
      </w:pPr>
    </w:p>
    <w:p>
      <w:r>
        <w:t>These are source/condition means of channel correlations against unchanged publisher derivatives. Lower association supports ocular suppression; it is not clean reconstruction accuracy. Two exposed participants do not support a population superiority claim. Full vertical and other-method tables remain in [E18].</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16"/>
        <w:gridCol w:w="1944"/>
        <w:gridCol w:w="1944"/>
        <w:gridCol w:w="1944"/>
      </w:tblGrid>
      <w:tr>
        <w:trPr>
          <w:cantSplit/>
          <w:tblHeader/>
        </w:trPr>
        <w:tc>
          <w:tcPr>
            <w:tcW w:type="dxa" w:w="3816"/>
            <w:vAlign w:val="center"/>
            <w:shd w:fill="E9EEF3"/>
            <w:tcMar>
              <w:top w:w="65" w:type="dxa"/>
              <w:bottom w:w="65" w:type="dxa"/>
              <w:left w:w="90" w:type="dxa"/>
              <w:right w:w="90" w:type="dxa"/>
            </w:tcMar>
          </w:tcPr>
          <w:p>
            <w:pPr>
              <w:spacing w:after="0" w:line="245" w:lineRule="auto"/>
            </w:pPr>
            <w:r>
              <w:rPr>
                <w:b/>
                <w:sz w:val="19"/>
              </w:rPr>
              <w:t>Worst record mean resting statistic</w:t>
            </w:r>
          </w:p>
        </w:tc>
        <w:tc>
          <w:tcPr>
            <w:tcW w:type="dxa" w:w="1944"/>
            <w:vAlign w:val="center"/>
            <w:shd w:fill="E9EEF3"/>
            <w:tcMar>
              <w:top w:w="65" w:type="dxa"/>
              <w:bottom w:w="65" w:type="dxa"/>
              <w:left w:w="90" w:type="dxa"/>
              <w:right w:w="90" w:type="dxa"/>
            </w:tcMar>
          </w:tcPr>
          <w:p>
            <w:pPr>
              <w:spacing w:after="0" w:line="245" w:lineRule="auto"/>
            </w:pPr>
            <w:r>
              <w:rPr>
                <w:b/>
                <w:sz w:val="19"/>
              </w:rPr>
              <w:t>Raw shared</w:t>
            </w:r>
          </w:p>
        </w:tc>
        <w:tc>
          <w:tcPr>
            <w:tcW w:type="dxa" w:w="1944"/>
            <w:vAlign w:val="center"/>
            <w:shd w:fill="E9EEF3"/>
            <w:tcMar>
              <w:top w:w="65" w:type="dxa"/>
              <w:bottom w:w="65" w:type="dxa"/>
              <w:left w:w="90" w:type="dxa"/>
              <w:right w:w="90" w:type="dxa"/>
            </w:tcMar>
          </w:tcPr>
          <w:p>
            <w:pPr>
              <w:spacing w:after="0" w:line="245" w:lineRule="auto"/>
            </w:pPr>
            <w:r>
              <w:rPr>
                <w:b/>
                <w:sz w:val="19"/>
              </w:rPr>
              <w:t>Anchored plus fallback</w:t>
            </w:r>
          </w:p>
        </w:tc>
        <w:tc>
          <w:tcPr>
            <w:tcW w:type="dxa" w:w="1944"/>
            <w:vAlign w:val="center"/>
            <w:shd w:fill="E9EEF3"/>
            <w:tcMar>
              <w:top w:w="65" w:type="dxa"/>
              <w:bottom w:w="65" w:type="dxa"/>
              <w:left w:w="90" w:type="dxa"/>
              <w:right w:w="90" w:type="dxa"/>
            </w:tcMar>
          </w:tcPr>
          <w:p>
            <w:pPr>
              <w:spacing w:after="0" w:line="245" w:lineRule="auto"/>
            </w:pPr>
            <w:r>
              <w:rPr>
                <w:b/>
                <w:sz w:val="19"/>
              </w:rPr>
              <w:t>Required limit</w:t>
            </w:r>
          </w:p>
        </w:tc>
      </w:tr>
      <w:tr>
        <w:trPr>
          <w:cantSplit/>
        </w:trPr>
        <w:tc>
          <w:tcPr>
            <w:tcW w:type="dxa" w:w="3816"/>
            <w:vAlign w:val="center"/>
            <w:shd w:fill="FFFFFF"/>
            <w:tcMar>
              <w:top w:w="65" w:type="dxa"/>
              <w:bottom w:w="65" w:type="dxa"/>
              <w:left w:w="90" w:type="dxa"/>
              <w:right w:w="90" w:type="dxa"/>
            </w:tcMar>
          </w:tcPr>
          <w:p>
            <w:pPr>
              <w:spacing w:after="0" w:line="245" w:lineRule="auto"/>
            </w:pPr>
            <w:r>
              <w:rPr>
                <w:sz w:val="19"/>
              </w:rPr>
              <w:t>Relative RMS modification</w:t>
            </w:r>
          </w:p>
        </w:tc>
        <w:tc>
          <w:tcPr>
            <w:tcW w:type="dxa" w:w="1944"/>
            <w:vAlign w:val="center"/>
            <w:shd w:fill="FFFFFF"/>
            <w:tcMar>
              <w:top w:w="65" w:type="dxa"/>
              <w:bottom w:w="65" w:type="dxa"/>
              <w:left w:w="90" w:type="dxa"/>
              <w:right w:w="90" w:type="dxa"/>
            </w:tcMar>
          </w:tcPr>
          <w:p>
            <w:pPr>
              <w:spacing w:after="0" w:line="245" w:lineRule="auto"/>
            </w:pPr>
            <w:r>
              <w:rPr>
                <w:sz w:val="19"/>
              </w:rPr>
              <w:t>0.569527</w:t>
            </w:r>
          </w:p>
        </w:tc>
        <w:tc>
          <w:tcPr>
            <w:tcW w:type="dxa" w:w="1944"/>
            <w:vAlign w:val="center"/>
            <w:shd w:fill="FFFFFF"/>
            <w:tcMar>
              <w:top w:w="65" w:type="dxa"/>
              <w:bottom w:w="65" w:type="dxa"/>
              <w:left w:w="90" w:type="dxa"/>
              <w:right w:w="90" w:type="dxa"/>
            </w:tcMar>
          </w:tcPr>
          <w:p>
            <w:pPr>
              <w:spacing w:after="0" w:line="245" w:lineRule="auto"/>
            </w:pPr>
            <w:r>
              <w:rPr>
                <w:sz w:val="19"/>
              </w:rPr>
              <w:t>0.541158</w:t>
            </w:r>
          </w:p>
        </w:tc>
        <w:tc>
          <w:tcPr>
            <w:tcW w:type="dxa" w:w="1944"/>
            <w:vAlign w:val="center"/>
            <w:shd w:fill="FFFFFF"/>
            <w:tcMar>
              <w:top w:w="65" w:type="dxa"/>
              <w:bottom w:w="65" w:type="dxa"/>
              <w:left w:w="90" w:type="dxa"/>
              <w:right w:w="90" w:type="dxa"/>
            </w:tcMar>
          </w:tcPr>
          <w:p>
            <w:pPr>
              <w:spacing w:after="0" w:line="245" w:lineRule="auto"/>
            </w:pPr>
            <w:r>
              <w:rPr>
                <w:sz w:val="19"/>
              </w:rPr>
              <w:t>0.01</w:t>
            </w:r>
          </w:p>
        </w:tc>
      </w:tr>
      <w:tr>
        <w:trPr>
          <w:cantSplit/>
        </w:trPr>
        <w:tc>
          <w:tcPr>
            <w:tcW w:type="dxa" w:w="3816"/>
            <w:vAlign w:val="center"/>
            <w:shd w:fill="F7F8FA"/>
            <w:tcMar>
              <w:top w:w="65" w:type="dxa"/>
              <w:bottom w:w="65" w:type="dxa"/>
              <w:left w:w="90" w:type="dxa"/>
              <w:right w:w="90" w:type="dxa"/>
            </w:tcMar>
          </w:tcPr>
          <w:p>
            <w:pPr>
              <w:spacing w:after="0" w:line="245" w:lineRule="auto"/>
            </w:pPr>
            <w:r>
              <w:rPr>
                <w:sz w:val="19"/>
              </w:rPr>
              <w:t>Alpha error dB</w:t>
            </w:r>
          </w:p>
        </w:tc>
        <w:tc>
          <w:tcPr>
            <w:tcW w:type="dxa" w:w="1944"/>
            <w:vAlign w:val="center"/>
            <w:shd w:fill="F7F8FA"/>
            <w:tcMar>
              <w:top w:w="65" w:type="dxa"/>
              <w:bottom w:w="65" w:type="dxa"/>
              <w:left w:w="90" w:type="dxa"/>
              <w:right w:w="90" w:type="dxa"/>
            </w:tcMar>
          </w:tcPr>
          <w:p>
            <w:pPr>
              <w:spacing w:after="0" w:line="245" w:lineRule="auto"/>
            </w:pPr>
            <w:r>
              <w:rPr>
                <w:sz w:val="19"/>
              </w:rPr>
              <w:t>2.097657</w:t>
            </w:r>
          </w:p>
        </w:tc>
        <w:tc>
          <w:tcPr>
            <w:tcW w:type="dxa" w:w="1944"/>
            <w:vAlign w:val="center"/>
            <w:shd w:fill="F7F8FA"/>
            <w:tcMar>
              <w:top w:w="65" w:type="dxa"/>
              <w:bottom w:w="65" w:type="dxa"/>
              <w:left w:w="90" w:type="dxa"/>
              <w:right w:w="90" w:type="dxa"/>
            </w:tcMar>
          </w:tcPr>
          <w:p>
            <w:pPr>
              <w:spacing w:after="0" w:line="245" w:lineRule="auto"/>
            </w:pPr>
            <w:r>
              <w:rPr>
                <w:sz w:val="19"/>
              </w:rPr>
              <w:t>2.076375</w:t>
            </w:r>
          </w:p>
        </w:tc>
        <w:tc>
          <w:tcPr>
            <w:tcW w:type="dxa" w:w="1944"/>
            <w:vAlign w:val="center"/>
            <w:shd w:fill="F7F8FA"/>
            <w:tcMar>
              <w:top w:w="65" w:type="dxa"/>
              <w:bottom w:w="65" w:type="dxa"/>
              <w:left w:w="90" w:type="dxa"/>
              <w:right w:w="90" w:type="dxa"/>
            </w:tcMar>
          </w:tcPr>
          <w:p>
            <w:pPr>
              <w:spacing w:after="0" w:line="245" w:lineRule="auto"/>
            </w:pPr>
            <w:r>
              <w:rPr>
                <w:sz w:val="19"/>
              </w:rPr>
              <w:t>0.5</w:t>
            </w:r>
          </w:p>
        </w:tc>
      </w:tr>
      <w:tr>
        <w:trPr>
          <w:cantSplit/>
        </w:trPr>
        <w:tc>
          <w:tcPr>
            <w:tcW w:type="dxa" w:w="3816"/>
            <w:vAlign w:val="center"/>
            <w:shd w:fill="FFFFFF"/>
            <w:tcMar>
              <w:top w:w="65" w:type="dxa"/>
              <w:bottom w:w="65" w:type="dxa"/>
              <w:left w:w="90" w:type="dxa"/>
              <w:right w:w="90" w:type="dxa"/>
            </w:tcMar>
          </w:tcPr>
          <w:p>
            <w:pPr>
              <w:spacing w:after="0" w:line="245" w:lineRule="auto"/>
            </w:pPr>
            <w:r>
              <w:rPr>
                <w:sz w:val="19"/>
              </w:rPr>
              <w:t>Beta error dB</w:t>
            </w:r>
          </w:p>
        </w:tc>
        <w:tc>
          <w:tcPr>
            <w:tcW w:type="dxa" w:w="1944"/>
            <w:vAlign w:val="center"/>
            <w:shd w:fill="FFFFFF"/>
            <w:tcMar>
              <w:top w:w="65" w:type="dxa"/>
              <w:bottom w:w="65" w:type="dxa"/>
              <w:left w:w="90" w:type="dxa"/>
              <w:right w:w="90" w:type="dxa"/>
            </w:tcMar>
          </w:tcPr>
          <w:p>
            <w:pPr>
              <w:spacing w:after="0" w:line="245" w:lineRule="auto"/>
            </w:pPr>
            <w:r>
              <w:rPr>
                <w:sz w:val="19"/>
              </w:rPr>
              <w:t>0.967177</w:t>
            </w:r>
          </w:p>
        </w:tc>
        <w:tc>
          <w:tcPr>
            <w:tcW w:type="dxa" w:w="1944"/>
            <w:vAlign w:val="center"/>
            <w:shd w:fill="FFFFFF"/>
            <w:tcMar>
              <w:top w:w="65" w:type="dxa"/>
              <w:bottom w:w="65" w:type="dxa"/>
              <w:left w:w="90" w:type="dxa"/>
              <w:right w:w="90" w:type="dxa"/>
            </w:tcMar>
          </w:tcPr>
          <w:p>
            <w:pPr>
              <w:spacing w:after="0" w:line="245" w:lineRule="auto"/>
            </w:pPr>
            <w:r>
              <w:rPr>
                <w:sz w:val="19"/>
              </w:rPr>
              <w:t>0.967189</w:t>
            </w:r>
          </w:p>
        </w:tc>
        <w:tc>
          <w:tcPr>
            <w:tcW w:type="dxa" w:w="1944"/>
            <w:vAlign w:val="center"/>
            <w:shd w:fill="FFFFFF"/>
            <w:tcMar>
              <w:top w:w="65" w:type="dxa"/>
              <w:bottom w:w="65" w:type="dxa"/>
              <w:left w:w="90" w:type="dxa"/>
              <w:right w:w="90" w:type="dxa"/>
            </w:tcMar>
          </w:tcPr>
          <w:p>
            <w:pPr>
              <w:spacing w:after="0" w:line="245" w:lineRule="auto"/>
            </w:pPr>
            <w:r>
              <w:rPr>
                <w:sz w:val="19"/>
              </w:rPr>
              <w:t>0.5</w:t>
            </w:r>
          </w:p>
        </w:tc>
      </w:tr>
      <w:tr>
        <w:trPr>
          <w:cantSplit/>
        </w:trPr>
        <w:tc>
          <w:tcPr>
            <w:tcW w:type="dxa" w:w="3816"/>
            <w:vAlign w:val="center"/>
            <w:shd w:fill="F7F8FA"/>
            <w:tcMar>
              <w:top w:w="65" w:type="dxa"/>
              <w:bottom w:w="65" w:type="dxa"/>
              <w:left w:w="90" w:type="dxa"/>
              <w:right w:w="90" w:type="dxa"/>
            </w:tcMar>
          </w:tcPr>
          <w:p>
            <w:pPr>
              <w:spacing w:after="0" w:line="245" w:lineRule="auto"/>
            </w:pPr>
            <w:r>
              <w:rPr>
                <w:sz w:val="19"/>
              </w:rPr>
              <w:t>Relative covariance change</w:t>
            </w:r>
          </w:p>
        </w:tc>
        <w:tc>
          <w:tcPr>
            <w:tcW w:type="dxa" w:w="1944"/>
            <w:vAlign w:val="center"/>
            <w:shd w:fill="F7F8FA"/>
            <w:tcMar>
              <w:top w:w="65" w:type="dxa"/>
              <w:bottom w:w="65" w:type="dxa"/>
              <w:left w:w="90" w:type="dxa"/>
              <w:right w:w="90" w:type="dxa"/>
            </w:tcMar>
          </w:tcPr>
          <w:p>
            <w:pPr>
              <w:spacing w:after="0" w:line="245" w:lineRule="auto"/>
            </w:pPr>
            <w:r>
              <w:rPr>
                <w:sz w:val="19"/>
              </w:rPr>
              <w:t>0.433347</w:t>
            </w:r>
          </w:p>
        </w:tc>
        <w:tc>
          <w:tcPr>
            <w:tcW w:type="dxa" w:w="1944"/>
            <w:vAlign w:val="center"/>
            <w:shd w:fill="F7F8FA"/>
            <w:tcMar>
              <w:top w:w="65" w:type="dxa"/>
              <w:bottom w:w="65" w:type="dxa"/>
              <w:left w:w="90" w:type="dxa"/>
              <w:right w:w="90" w:type="dxa"/>
            </w:tcMar>
          </w:tcPr>
          <w:p>
            <w:pPr>
              <w:spacing w:after="0" w:line="245" w:lineRule="auto"/>
            </w:pPr>
            <w:r>
              <w:rPr>
                <w:sz w:val="19"/>
              </w:rPr>
              <w:t>0.425106</w:t>
            </w:r>
          </w:p>
        </w:tc>
        <w:tc>
          <w:tcPr>
            <w:tcW w:type="dxa" w:w="1944"/>
            <w:vAlign w:val="center"/>
            <w:shd w:fill="F7F8FA"/>
            <w:tcMar>
              <w:top w:w="65" w:type="dxa"/>
              <w:bottom w:w="65" w:type="dxa"/>
              <w:left w:w="90" w:type="dxa"/>
              <w:right w:w="90" w:type="dxa"/>
            </w:tcMar>
          </w:tcPr>
          <w:p>
            <w:pPr>
              <w:spacing w:after="0" w:line="245" w:lineRule="auto"/>
            </w:pPr>
            <w:r>
              <w:rPr>
                <w:sz w:val="19"/>
              </w:rPr>
              <w:t>0.02</w:t>
            </w:r>
          </w:p>
        </w:tc>
      </w:tr>
    </w:tbl>
    <w:p>
      <w:pPr>
        <w:spacing w:after="0"/>
      </w:pPr>
    </w:p>
    <w:p>
      <w:r>
        <w:t>Every active arm fails all four resting criteria. Identity passes by construction and removes no artifact. Anchored/fallback modification is 36.55% for p02 and 54.12% for p03. These are relative RMS changes, not percentages of neural activity proved lost. Rest may contain residual ocular activity; large changes nevertheless fail our declared engineering criteria. Worst statistics can come from different records.</w:t>
      </w:r>
    </w:p>
    <w:p>
      <w:r/>
      <w:r>
        <w:rPr>
          <w:b/>
        </w:rPr>
        <w:t>Decision:</w:t>
      </w:r>
      <w:r>
        <w:t xml:space="preserve"> teacher remains unqualified. The controlled 17.80 dB does not overrule native preservation. No reconstruction SNR is valid against native contaminated input. A dedicated latest-pilot native figure was not generated; this report uses the saved numerical tables rather than inventing a new plot.</w:t>
      </w:r>
    </w:p>
    <w:p>
      <w:r>
        <w:t>Evidence: [E18].</w:t>
      </w:r>
    </w:p>
    <w:p>
      <w:pPr>
        <w:pStyle w:val="Heading1"/>
        <w:pageBreakBefore/>
      </w:pPr>
      <w:r>
        <w:t>12 Neural experiments and what deployment would require</w:t>
      </w:r>
    </w:p>
    <w:p>
      <w:pPr>
        <w:pStyle w:val="Heading2"/>
      </w:pPr>
      <w:r>
        <w:t>What was implemented and actually trained</w:t>
      </w:r>
    </w:p>
    <w:p>
      <w:r>
        <w:t>The earlier band-routing adaptation includes a shared width-32 encoder, two scales, Inception kernels 3/7/15/31, group normalization, GRU bottleneck and component attention: 222,211 parameters. A separate shared TCN–BiGRU student has five dilated blocks, 32 units per direction and 47,427 parameters. Software fixtures exercised model arms, CUDA optimization and fresh CPU reload. Those are implementation checks, not denoising qualification.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2664"/>
        <w:gridCol w:w="3888"/>
      </w:tblGrid>
      <w:tr>
        <w:trPr>
          <w:cantSplit/>
          <w:tblHeader/>
        </w:trPr>
        <w:tc>
          <w:tcPr>
            <w:tcW w:type="dxa" w:w="3096"/>
            <w:vAlign w:val="center"/>
            <w:shd w:fill="E9EEF3"/>
            <w:tcMar>
              <w:top w:w="65" w:type="dxa"/>
              <w:bottom w:w="65" w:type="dxa"/>
              <w:left w:w="90" w:type="dxa"/>
              <w:right w:w="90" w:type="dxa"/>
            </w:tcMar>
          </w:tcPr>
          <w:p>
            <w:pPr>
              <w:spacing w:after="0" w:line="245" w:lineRule="auto"/>
            </w:pPr>
            <w:r>
              <w:rPr>
                <w:b/>
                <w:sz w:val="19"/>
              </w:rPr>
              <w:t>Five-epoch development pilot</w:t>
            </w:r>
          </w:p>
        </w:tc>
        <w:tc>
          <w:tcPr>
            <w:tcW w:type="dxa" w:w="2664"/>
            <w:vAlign w:val="center"/>
            <w:shd w:fill="E9EEF3"/>
            <w:tcMar>
              <w:top w:w="65" w:type="dxa"/>
              <w:bottom w:w="65" w:type="dxa"/>
              <w:left w:w="90" w:type="dxa"/>
              <w:right w:w="90" w:type="dxa"/>
            </w:tcMar>
          </w:tcPr>
          <w:p>
            <w:pPr>
              <w:spacing w:after="0" w:line="245" w:lineRule="auto"/>
            </w:pPr>
            <w:r>
              <w:rPr>
                <w:b/>
                <w:sz w:val="19"/>
              </w:rPr>
              <w:t>Output SNR dB</w:t>
            </w:r>
          </w:p>
        </w:tc>
        <w:tc>
          <w:tcPr>
            <w:tcW w:type="dxa" w:w="3888"/>
            <w:vAlign w:val="center"/>
            <w:shd w:fill="E9EEF3"/>
            <w:tcMar>
              <w:top w:w="65" w:type="dxa"/>
              <w:bottom w:w="65" w:type="dxa"/>
              <w:left w:w="90" w:type="dxa"/>
              <w:right w:w="90" w:type="dxa"/>
            </w:tcMar>
          </w:tcPr>
          <w:p>
            <w:pPr>
              <w:spacing w:after="0" w:line="245" w:lineRule="auto"/>
            </w:pPr>
            <w:r>
              <w:rPr>
                <w:b/>
                <w:sz w:val="19"/>
              </w:rPr>
              <w:t>Worst-source clean relative error</w:t>
            </w:r>
          </w:p>
        </w:tc>
      </w:tr>
      <w:tr>
        <w:trPr>
          <w:cantSplit/>
        </w:trPr>
        <w:tc>
          <w:tcPr>
            <w:tcW w:type="dxa" w:w="3096"/>
            <w:vAlign w:val="center"/>
            <w:shd w:fill="FFFFFF"/>
            <w:tcMar>
              <w:top w:w="65" w:type="dxa"/>
              <w:bottom w:w="65" w:type="dxa"/>
              <w:left w:w="90" w:type="dxa"/>
              <w:right w:w="90" w:type="dxa"/>
            </w:tcMar>
          </w:tcPr>
          <w:p>
            <w:pPr>
              <w:spacing w:after="0" w:line="245" w:lineRule="auto"/>
            </w:pPr>
            <w:r>
              <w:rPr>
                <w:sz w:val="19"/>
              </w:rPr>
              <w:t>Fixed-band MSE</w:t>
            </w:r>
          </w:p>
        </w:tc>
        <w:tc>
          <w:tcPr>
            <w:tcW w:type="dxa" w:w="2664"/>
            <w:vAlign w:val="center"/>
            <w:shd w:fill="FFFFFF"/>
            <w:tcMar>
              <w:top w:w="65" w:type="dxa"/>
              <w:bottom w:w="65" w:type="dxa"/>
              <w:left w:w="90" w:type="dxa"/>
              <w:right w:w="90" w:type="dxa"/>
            </w:tcMar>
          </w:tcPr>
          <w:p>
            <w:pPr>
              <w:spacing w:after="0" w:line="245" w:lineRule="auto"/>
            </w:pPr>
            <w:r>
              <w:rPr>
                <w:sz w:val="19"/>
              </w:rPr>
              <w:t>7.772145</w:t>
            </w:r>
          </w:p>
        </w:tc>
        <w:tc>
          <w:tcPr>
            <w:tcW w:type="dxa" w:w="3888"/>
            <w:vAlign w:val="center"/>
            <w:shd w:fill="FFFFFF"/>
            <w:tcMar>
              <w:top w:w="65" w:type="dxa"/>
              <w:bottom w:w="65" w:type="dxa"/>
              <w:left w:w="90" w:type="dxa"/>
              <w:right w:w="90" w:type="dxa"/>
            </w:tcMar>
          </w:tcPr>
          <w:p>
            <w:pPr>
              <w:spacing w:after="0" w:line="245" w:lineRule="auto"/>
            </w:pPr>
            <w:r>
              <w:rPr>
                <w:sz w:val="19"/>
              </w:rPr>
              <w:t>approximately 0.479</w:t>
            </w:r>
          </w:p>
        </w:tc>
      </w:tr>
      <w:tr>
        <w:trPr>
          <w:cantSplit/>
        </w:trPr>
        <w:tc>
          <w:tcPr>
            <w:tcW w:type="dxa" w:w="3096"/>
            <w:vAlign w:val="center"/>
            <w:shd w:fill="F7F8FA"/>
            <w:tcMar>
              <w:top w:w="65" w:type="dxa"/>
              <w:bottom w:w="65" w:type="dxa"/>
              <w:left w:w="90" w:type="dxa"/>
              <w:right w:w="90" w:type="dxa"/>
            </w:tcMar>
          </w:tcPr>
          <w:p>
            <w:pPr>
              <w:spacing w:after="0" w:line="245" w:lineRule="auto"/>
            </w:pPr>
            <w:r>
              <w:rPr>
                <w:sz w:val="19"/>
              </w:rPr>
              <w:t>Student MSE</w:t>
            </w:r>
          </w:p>
        </w:tc>
        <w:tc>
          <w:tcPr>
            <w:tcW w:type="dxa" w:w="2664"/>
            <w:vAlign w:val="center"/>
            <w:shd w:fill="F7F8FA"/>
            <w:tcMar>
              <w:top w:w="65" w:type="dxa"/>
              <w:bottom w:w="65" w:type="dxa"/>
              <w:left w:w="90" w:type="dxa"/>
              <w:right w:w="90" w:type="dxa"/>
            </w:tcMar>
          </w:tcPr>
          <w:p>
            <w:pPr>
              <w:spacing w:after="0" w:line="245" w:lineRule="auto"/>
            </w:pPr>
            <w:r>
              <w:rPr>
                <w:sz w:val="19"/>
              </w:rPr>
              <w:t>7.364268</w:t>
            </w:r>
          </w:p>
        </w:tc>
        <w:tc>
          <w:tcPr>
            <w:tcW w:type="dxa" w:w="3888"/>
            <w:vAlign w:val="center"/>
            <w:shd w:fill="F7F8FA"/>
            <w:tcMar>
              <w:top w:w="65" w:type="dxa"/>
              <w:bottom w:w="65" w:type="dxa"/>
              <w:left w:w="90" w:type="dxa"/>
              <w:right w:w="90" w:type="dxa"/>
            </w:tcMar>
          </w:tcPr>
          <w:p>
            <w:pPr>
              <w:spacing w:after="0" w:line="245" w:lineRule="auto"/>
            </w:pPr>
            <w:r>
              <w:rPr>
                <w:sz w:val="19"/>
              </w:rPr>
              <w:t>0.478943</w:t>
            </w:r>
          </w:p>
        </w:tc>
      </w:tr>
      <w:tr>
        <w:trPr>
          <w:cantSplit/>
        </w:trPr>
        <w:tc>
          <w:tcPr>
            <w:tcW w:type="dxa" w:w="3096"/>
            <w:vAlign w:val="center"/>
            <w:shd w:fill="FFFFFF"/>
            <w:tcMar>
              <w:top w:w="65" w:type="dxa"/>
              <w:bottom w:w="65" w:type="dxa"/>
              <w:left w:w="90" w:type="dxa"/>
              <w:right w:w="90" w:type="dxa"/>
            </w:tcMar>
          </w:tcPr>
          <w:p>
            <w:pPr>
              <w:spacing w:after="0" w:line="245" w:lineRule="auto"/>
            </w:pPr>
            <w:r>
              <w:rPr>
                <w:sz w:val="19"/>
              </w:rPr>
              <w:t>Fixed-band preservation loss</w:t>
            </w:r>
          </w:p>
        </w:tc>
        <w:tc>
          <w:tcPr>
            <w:tcW w:type="dxa" w:w="2664"/>
            <w:vAlign w:val="center"/>
            <w:shd w:fill="FFFFFF"/>
            <w:tcMar>
              <w:top w:w="65" w:type="dxa"/>
              <w:bottom w:w="65" w:type="dxa"/>
              <w:left w:w="90" w:type="dxa"/>
              <w:right w:w="90" w:type="dxa"/>
            </w:tcMar>
          </w:tcPr>
          <w:p>
            <w:pPr>
              <w:spacing w:after="0" w:line="245" w:lineRule="auto"/>
            </w:pPr>
            <w:r>
              <w:rPr>
                <w:sz w:val="19"/>
              </w:rPr>
              <w:t>7.458374</w:t>
            </w:r>
          </w:p>
        </w:tc>
        <w:tc>
          <w:tcPr>
            <w:tcW w:type="dxa" w:w="3888"/>
            <w:vAlign w:val="center"/>
            <w:shd w:fill="FFFFFF"/>
            <w:tcMar>
              <w:top w:w="65" w:type="dxa"/>
              <w:bottom w:w="65" w:type="dxa"/>
              <w:left w:w="90" w:type="dxa"/>
              <w:right w:w="90" w:type="dxa"/>
            </w:tcMar>
          </w:tcPr>
          <w:p>
            <w:pPr>
              <w:spacing w:after="0" w:line="245" w:lineRule="auto"/>
            </w:pPr>
            <w:r>
              <w:rPr>
                <w:sz w:val="19"/>
              </w:rPr>
              <w:t>0.554103</w:t>
            </w:r>
          </w:p>
        </w:tc>
      </w:tr>
      <w:tr>
        <w:trPr>
          <w:cantSplit/>
        </w:trPr>
        <w:tc>
          <w:tcPr>
            <w:tcW w:type="dxa" w:w="3096"/>
            <w:vAlign w:val="center"/>
            <w:shd w:fill="F7F8FA"/>
            <w:tcMar>
              <w:top w:w="65" w:type="dxa"/>
              <w:bottom w:w="65" w:type="dxa"/>
              <w:left w:w="90" w:type="dxa"/>
              <w:right w:w="90" w:type="dxa"/>
            </w:tcMar>
          </w:tcPr>
          <w:p>
            <w:pPr>
              <w:spacing w:after="0" w:line="245" w:lineRule="auto"/>
            </w:pPr>
            <w:r>
              <w:rPr>
                <w:sz w:val="19"/>
              </w:rPr>
              <w:t>Student preservation loss</w:t>
            </w:r>
          </w:p>
        </w:tc>
        <w:tc>
          <w:tcPr>
            <w:tcW w:type="dxa" w:w="2664"/>
            <w:vAlign w:val="center"/>
            <w:shd w:fill="F7F8FA"/>
            <w:tcMar>
              <w:top w:w="65" w:type="dxa"/>
              <w:bottom w:w="65" w:type="dxa"/>
              <w:left w:w="90" w:type="dxa"/>
              <w:right w:w="90" w:type="dxa"/>
            </w:tcMar>
          </w:tcPr>
          <w:p>
            <w:pPr>
              <w:spacing w:after="0" w:line="245" w:lineRule="auto"/>
            </w:pPr>
            <w:r>
              <w:rPr>
                <w:sz w:val="19"/>
              </w:rPr>
              <w:t>7.619747</w:t>
            </w:r>
          </w:p>
        </w:tc>
        <w:tc>
          <w:tcPr>
            <w:tcW w:type="dxa" w:w="3888"/>
            <w:vAlign w:val="center"/>
            <w:shd w:fill="F7F8FA"/>
            <w:tcMar>
              <w:top w:w="65" w:type="dxa"/>
              <w:bottom w:w="65" w:type="dxa"/>
              <w:left w:w="90" w:type="dxa"/>
              <w:right w:w="90" w:type="dxa"/>
            </w:tcMar>
          </w:tcPr>
          <w:p>
            <w:pPr>
              <w:spacing w:after="0" w:line="245" w:lineRule="auto"/>
            </w:pPr>
            <w:r>
              <w:rPr>
                <w:sz w:val="19"/>
              </w:rPr>
              <w:t>0.460719</w:t>
            </w:r>
          </w:p>
        </w:tc>
      </w:tr>
    </w:tbl>
    <w:p>
      <w:pPr>
        <w:spacing w:after="0"/>
      </w:pPr>
    </w:p>
    <w:p>
      <w:r>
        <w:t>All four pilots failed clean preservation. They used a bounded development fold/seed, not completed multi-seed grouped final training. The preservation loss added identity, log-PSD and covariance terms with project weights 1.0/0.1/0.05. The results do not establish that longer training, a larger model or a larger SNR penalty will solve preservation. A diagnosis dispatcher failed after 78 tests and was repaired before the replacement diagnosis; this was an integration failure, not a cleaning score.</w:t>
      </w:r>
    </w:p>
    <w:p>
      <w:pPr>
        <w:pStyle w:val="Heading1"/>
        <w:pageBreakBefore w:val="0"/>
      </w:pPr>
      <w:r>
        <w:t>13 Evaluation interpretation and evidence access</w:t>
      </w:r>
    </w:p>
    <w:p>
      <w:r>
        <w:t>Primary paired outcomes are MSE, temporal RRMSE, ordinary Pearson correlation, explicitly defined output SNR and SNR improvement. Native outcomes use ordinary absolute EEG HEOG correlation for lateral movement, EEG VEOG correlation for blink and vertical movement, resting RMSE and spectral preservation. EOG references remain unchanged between before and after calculations.</w:t>
      </w:r>
    </w:p>
    <w:p>
      <w:r>
        <w:t>Project engineering limits are separate from published metric definitions: worst-source mean relative clean or resting modification at most 1%, alpha and beta power error at most 0.5 dB, relative covariance error at most 0.02, and paired correlation deterioration at most 0.005 against the declared comparator. The latest candidate fails preservation and is not production qualified.</w:t>
      </w:r>
    </w:p>
    <w:p>
      <w:r>
        <w:t>The latest native run passed 341 numerical and source-contract tests and all 744 output payloads were recovered and hash verified. Test passage verifies implemented contracts, not scientific efficacy. No completed reserved confirmation, independent waveform benchmark or final EEG-only deployment qualification is claimed.</w:t>
      </w:r>
    </w:p>
    <w:p>
      <w:r>
        <w:t>Evidence identifiers follow the companion Full Research Report and its evidence register. Source reports are retained in docs/FRONTAL_RESULTS.md, docs/GUARDED_REPLAY_RESULTS_20261011.md, docs/NATIVE_SEPARATE_AXIS_RESULTS.md, docs/FRONTAL_BOUNDED_FEASIBILITY_RESULTS.md, docs/FRONTAL_ARTIFACT_SHAPE_RESULTS.md, posterior results.md, docs/REGIONAL_RESULTS.md, docs/REGIONAL_DIAGNOSTIC_RESULTS.md, docs/NONFRONTAL_CHALLENGERS_RESULTS.md, docs/LATERAL_GAIN_RESULTS_20261015.md, docs/BROADER_FRONTAL_RESULTS_20261015.md and docs/NATIVE_FROZEN_FRONTAL_RESULTS_20261015.md. Evaluation equations and paper mappings are retained in docs/EVALUATION_PROTOCOL.md. Full run histories and detailed tables remain in Work So Far.md.</w:t>
      </w:r>
    </w:p>
    <w:p>
      <w:r>
        <w:t>The latest native source commit is c48af6a0cda4d6bd905856613a3cf0c01f5bdcd2. Its artifact manifest SHA256 is ccc9253ee7b71f676bfacf805c5d7aabf3b4fed3cae147abad707c04ff071111.</w:t>
      </w:r>
    </w:p>
    <w:sectPr w:rsidR="00FC693F" w:rsidRPr="0006063C" w:rsidSect="00034616">
      <w:headerReference w:type="default" r:id="rId9"/>
      <w:footerReference w:type="default" r:id="rId10"/>
      <w:pgSz w:w="12240" w:h="15840"/>
      <w:pgMar w:top="1008" w:right="1224" w:bottom="1008" w:left="1224"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16 October 2026     |     Page </w:t>
    </w:r>
    <w:fldSimple w:instr="PAGE"/>
    <w:r>
      <w:rPr>
        <w:sz w:val="16"/>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REGIONAL EOG REMOVAL     EXPERIMENTAL RESULTS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4" w:lineRule="auto" w:after="12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Calibri" w:hAnsi="Calibri"/>
      <w:color w:val="000000"/>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val="0"/>
      <w:iCs/>
      <w:color w:val="000000"/>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Regional EOG Artifact Removal Experimental Results</dc:title>
  <dc:subject>Measured research results and evaluation limitations</dc:subject>
  <dc:creator>python-docx</dc:creator>
  <cp:keywords/>
  <dc:description>Development research; no production qualification or native reconstruction SNR claim.</dc:description>
  <cp:lastModifiedBy/>
  <cp:revision>1</cp:revision>
  <dcterms:created xsi:type="dcterms:W3CDTF">2013-12-23T23:15:00Z</dcterms:created>
  <dcterms:modified xsi:type="dcterms:W3CDTF">2013-12-23T23:15:00Z</dcterms:modified>
  <cp:category/>
</cp:coreProperties>
</file>