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t>FIRST INSPECTION REPORT</w:t>
      </w:r>
    </w:p>
    <w:p>
      <w:r>
        <w:t>INSURED/POLICYHOLDER: Emily Brown</w:t>
      </w:r>
    </w:p>
    <w:p>
      <w:r>
        <w:t>ADDRESS: 27 Maple Lane, Brampton, ON L6Y 4T2</w:t>
      </w:r>
    </w:p>
    <w:p>
      <w:r>
        <w:t>INSURER: JKL Insurance</w:t>
      </w:r>
    </w:p>
    <w:p>
      <w:r>
        <w:t>CLAIM #: CL3691</w:t>
      </w:r>
    </w:p>
    <w:p>
      <w:r>
        <w:t>ADJUSTER/ CLAIM REP: TOP GUN</w:t>
      </w:r>
    </w:p>
    <w:p>
      <w:r>
        <w:t>DATE OF INSPECTION: 2025-07-20</w:t>
      </w:r>
    </w:p>
    <w:p>
      <w:r>
        <w:t>DATE OF LOSS: 2025-07-18</w:t>
      </w:r>
    </w:p>
    <w:p>
      <w:r>
        <w:t>DATE OF REPORT: 2025-07-21</w:t>
      </w:r>
    </w:p>
    <w:p>
      <w:r>
        <w:t>TYPE OF LOSS: SMOKE DAMAGE</w:t>
      </w:r>
    </w:p>
    <w:p>
      <w:r>
        <w:drawing>
          <wp:inline xmlns:a="http://schemas.openxmlformats.org/drawingml/2006/main" xmlns:pic="http://schemas.openxmlformats.org/drawingml/2006/picture">
            <wp:extent cx="2971800" cy="2057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hous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PhotoCaption"/>
        <w:jc w:val="center"/>
      </w:pPr>
      <w:r>
        <w:t>Image 1</w:t>
      </w:r>
    </w:p>
    <w:p>
      <w:r>
        <w:rPr>
          <w:b/>
        </w:rPr>
        <w:t>CAUSE OF LOSS:</w:t>
      </w:r>
    </w:p>
    <w:p>
      <w:r>
        <w:t>Kitchen fire in adjacent unit</w:t>
      </w:r>
    </w:p>
    <w:p>
      <w:r>
        <w:rPr>
          <w:b/>
        </w:rPr>
        <w:t>SCOPE OF WORK:</w:t>
      </w:r>
    </w:p>
    <w:p>
      <w:r>
        <w:t>The following is a brief outline of the work to be completed on the contents portion of this claim.</w:t>
      </w:r>
    </w:p>
    <w:p>
      <w:r>
        <w:t>1. Assess, pack and move out all salvageable contents.</w:t>
      </w:r>
    </w:p>
    <w:p>
      <w:r>
        <w:t>2. Inventory all the affected contents.</w:t>
      </w:r>
    </w:p>
    <w:p>
      <w:r>
        <w:t>3. Inspect all affected electronics.</w:t>
      </w:r>
    </w:p>
    <w:p>
      <w:r>
        <w:t>4. Restore salvageable contents.</w:t>
      </w:r>
    </w:p>
    <w:p>
      <w:r>
        <w:t>5. Dispose of non-salvageable contents.</w:t>
      </w:r>
    </w:p>
    <w:p>
      <w:r>
        <w:rPr>
          <w:b/>
        </w:rPr>
        <w:t>RECOMMENDED RESERVES FOR TRINITY’S INVOLVEMENT:</w:t>
      </w:r>
    </w:p>
    <w:p>
      <w:r>
        <w:t>The estimated cost for Trinity’s involvement is as follows:</w:t>
      </w:r>
    </w:p>
    <w:p>
      <w:r>
        <w:t>• Indemnity Work: Should not exceed $22,000.00 plus HST</w:t>
      </w:r>
    </w:p>
    <w:p>
      <w:r>
        <w:t>Our actual cost will be adjusted once the exact scope of approved work is known. The recommended estimate is only based on visual inspection for reserves setting purposes.</w:t>
      </w:r>
    </w:p>
    <w:p>
      <w:r>
        <w:t>• Trinity Listing &amp; Pricing Expense Reserve: Should not exceed $4,500.00 plus HST</w:t>
      </w:r>
    </w:p>
    <w:p>
      <w:r>
        <w:rPr>
          <w:b/>
        </w:rPr>
        <w:t>RECOMMENDED RESERVES FOR THE TOTAL CONTENTS LOSS:</w:t>
      </w:r>
    </w:p>
    <w:p>
      <w:r>
        <w:t>Based on a visual inspection of the extent of non-salvageable items on the main floor, we believe that the total replacement cost for the non-salvageable items should not exceed $5,800.00 plus HST.</w:t>
      </w:r>
    </w:p>
    <w:p>
      <w:r>
        <w:rPr>
          <w:b/>
        </w:rPr>
        <w:t>CONCLUSION:</w:t>
      </w:r>
    </w:p>
    <w:p>
      <w:r>
        <w:t>Once our scope of work is approved, we can attend and begin the pack out process.</w:t>
      </w:r>
    </w:p>
    <w:p>
      <w:r>
        <w:br/>
        <w:t>Thank You,</w:t>
        <w:br/>
        <w:br/>
        <w:t>Mo Waez</w:t>
        <w:br/>
        <w:t>Trinity Contents Management</w:t>
        <w:br/>
        <w:t>mo@trinitycontents.com</w:t>
        <w:br/>
        <w:t>(647) 613-2246</w:t>
      </w:r>
    </w:p>
    <w:p>
      <w:r>
        <w:br w:type="page"/>
      </w:r>
    </w:p>
    <w:p>
      <w:r>
        <w:rPr>
          <w:b/>
        </w:rPr>
        <w:t>KITCHEN &amp; DINING AREA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3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3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4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5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5</w:t>
            </w:r>
          </w:p>
        </w:tc>
      </w:tr>
    </w:tbl>
    <w:p>
      <w:r>
        <w:br w:type="page"/>
      </w:r>
    </w:p>
    <w:p>
      <w:r>
        <w:rPr>
          <w:b/>
        </w:rPr>
        <w:t>LIVING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7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7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8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9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9</w:t>
            </w:r>
          </w:p>
        </w:tc>
      </w:tr>
    </w:tbl>
    <w:p>
      <w:r>
        <w:br w:type="page"/>
      </w:r>
    </w:p>
    <w:p>
      <w:r>
        <w:rPr>
          <w:b/>
        </w:rPr>
        <w:t>BEDROOM 1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0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10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1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11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2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12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3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13</w:t>
            </w:r>
          </w:p>
        </w:tc>
      </w:tr>
      <w:tr>
        <w:tc>
          <w:tcPr>
            <w:tcW w:type="dxa" w:w="4320"/>
          </w:tcPr>
          <w:p/>
        </w:tc>
        <w:tc>
          <w:tcPr>
            <w:tcW w:type="dxa" w:w="4320"/>
          </w:tcPr>
          <w:p/>
        </w:tc>
      </w:tr>
    </w:tbl>
    <w:p>
      <w:r>
        <w:br w:type="page"/>
      </w:r>
    </w:p>
    <w:p>
      <w:r>
        <w:rPr>
          <w:b/>
        </w:rPr>
        <w:t>BEDROOM 2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5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14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6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15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7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16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8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17</w:t>
            </w:r>
          </w:p>
        </w:tc>
      </w:tr>
    </w:tbl>
    <w:p>
      <w:r>
        <w:br w:type="page"/>
      </w:r>
    </w:p>
    <w:p>
      <w:r>
        <w:rPr>
          <w:b/>
        </w:rPr>
        <w:t>STORAGE ROOM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19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18</w:t>
            </w:r>
          </w:p>
        </w:tc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0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19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29718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2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hotoCaption"/>
              <w:jc w:val="center"/>
            </w:pPr>
            <w:r>
              <w:t>Image 20</w:t>
            </w:r>
          </w:p>
        </w:tc>
        <w:tc>
          <w:tcPr>
            <w:tcW w:type="dxa" w:w="4320"/>
          </w:tcPr>
          <w:p/>
        </w:tc>
      </w:tr>
    </w:tbl>
    <w:sectPr w:rsidR="00FC693F" w:rsidRPr="0006063C" w:rsidSect="00034616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drawing>
        <wp:inline xmlns:a="http://schemas.openxmlformats.org/drawingml/2006/main" xmlns:pic="http://schemas.openxmlformats.org/drawingml/2006/picture">
          <wp:extent cx="5943600" cy="713447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foot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713447"/>
                  </a:xfrm>
                  <a:prstGeom prst="rect"/>
                </pic:spPr>
              </pic:pic>
            </a:graphicData>
          </a:graphic>
        </wp:inline>
      </w:drawing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drawing>
        <wp:inline xmlns:a="http://schemas.openxmlformats.org/drawingml/2006/main" xmlns:pic="http://schemas.openxmlformats.org/drawingml/2006/picture">
          <wp:extent cx="5943600" cy="1245891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head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1245891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hotoCaption">
    <w:name w:val="PhotoCaption"/>
    <w:rPr>
      <w:rFonts w:ascii="Calibri" w:hAnsi="Calibri"/>
      <w:i/>
      <w:color w:val="787878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