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580"/>
        <w:gridCol w:w="2000"/>
      </w:tblGrid>
      <w:tr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6"/>
                <w:szCs w:val="36"/>
              </w:rPr>
              <w:t xml:space="preserve">Ahmed-Razine KHONTACHI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Apprenti analyste financier, Groupe BPCE  |  Master Audit, Audencia (diplôme juin 2027)</w:t>
            </w:r>
          </w:p>
          <w:p>
            <w:pPr>
              <w:spacing w:after="20" w:before="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+33 7 66 37 95 54  ·  ahmed.razine.khontachi@gmail.com  · 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[Lien LinkedIn]</w:t>
            </w:r>
          </w:p>
          <w:p>
            <w:pPr>
              <w:spacing w:after="20" w:before="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Nationalité française (ressortissant UE/AELE)  ·  Né le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[jj.mm.aaaa]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·  Domicile :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[Ville, pays]</w:t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Installation en Suisse prévue  ·  Disponible dès octobre 2027  ·  Titulaire du permis de conduire</w:t>
            </w:r>
          </w:p>
        </w:tc>
        <w:tc>
          <w:tcPr>
            <w:tcW w:type="dxa" w:w="2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color="auto" w:val="clear"/>
            <w:vAlign w:val="center"/>
          </w:tcPr>
          <w:p>
            <w:pPr>
              <w:spacing w:after="0" w:before="500"/>
              <w:jc w:val="center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Photo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professionnelle</w:t>
            </w:r>
          </w:p>
          <w:p>
            <w:pPr>
              <w:spacing w:after="500"/>
              <w:jc w:val="center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3,5 × 4,5 cm</w:t>
            </w:r>
          </w:p>
        </w:tc>
      </w:tr>
    </w:tbl>
    <w:p>
      <w:pPr>
        <w:keepNext/>
        <w:pBdr>
          <w:bottom w:val="single" w:color="1F3864" w:sz="6" w:space="2"/>
        </w:pBdr>
        <w:spacing w:after="30" w:before="9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PROFIL</w:t>
      </w:r>
    </w:p>
    <w:p>
      <w:pPr>
        <w:spacing w:after="20" w:before="0" w:line="252"/>
      </w:pPr>
      <w:r>
        <w:rPr>
          <w:rFonts w:ascii="Calibri" w:cs="Calibri" w:eastAsia="Calibri" w:hAnsi="Calibri"/>
          <w:sz w:val="20"/>
          <w:szCs w:val="20"/>
        </w:rPr>
        <w:t xml:space="preserve">Futur diplômé (juin 2027) du Master Audit d’Audencia, apprenti à la Direction financière du Groupe BPCE (contrôle de données d’instruments financiers, clôtures, justificatifs pour les commissaires aux comptes), après deux stages en cabinet comptable et d’audit. Membre d’Ethereum France. Objectif : débuter en audit des services financiers chez EY Genève et préparer le diplôme d’expert-comptable suisse.</w:t>
      </w:r>
    </w:p>
    <w:p>
      <w:pPr>
        <w:keepNext/>
        <w:pBdr>
          <w:bottom w:val="single" w:color="1F3864" w:sz="6" w:space="2"/>
        </w:pBdr>
        <w:spacing w:after="30" w:before="9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FORMATION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Audencia Business School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Nantes (France)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sept. 2025 – juin 2027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Programme Grande École, spécialisation Audit – grade de Master (bac+5, diplôme visé par l’État), suivi en apprentissage (alternance école / entreprise)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Cours : audit et contrôle interne, comptabilité approfondie et IFRS, finance d’entreprise et marchés financiers, évaluation d’entreprise, contrôle de gestion, droit et fiscalité, systèmes d’information. Confère 5 équivalences sur 7 UE du DSCG (filière française d’expertise comptable).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Université Lumière Lyon 2 – Lycée La Martinière Duchère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Lyon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2024 – 2025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Licence 3 Économie-Gestion (bac+3) en double cursus avec la classe préparatoire ATS (concours des grandes écoles)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Université Toulouse III – Paul Sabatier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Toulouse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2021 – 2024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DCG, Diplôme de comptabilité et de gestion (bac+3, filière expertise comptable) et BUT GEA option Finance – classé 3e sur 150</w:t>
      </w:r>
    </w:p>
    <w:p>
      <w:pPr>
        <w:keepNext/>
        <w:pBdr>
          <w:bottom w:val="single" w:color="1F3864" w:sz="6" w:space="2"/>
        </w:pBdr>
        <w:spacing w:after="30" w:before="9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EXPÉRIENCE PROFESSIONNELLE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Groupe BPCE – Direction financière, Placements (équipe Data Référentiel)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Paris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sept. 2025 – juin 2027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Apprenti analyste financier – Référentiel titres, assurance-vie (contrat d’apprentissage en cours)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Contrôlé les données de référence de plusieurs milliers d’instruments financiers (ISIN, devise, prix, classification, coupons) dans SimCorp Dimension, par rapprochement avec Bloomberg et les documents contractuels (term sheets, avis d’opéré).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Créé et paramétré plusieurs centaines de titres (obligations, EMTN, fonds, dérivés) après contrôle de cohérence des sources, justificatifs conservés.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Participé aux travaux de clôture mensuelle, trimestrielle et annuelle : contrôle des prix et de leur fraîcheur, alimentation des fixings et données de marché, suivi des produits dérivés.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Analysé et documenté les écarts (coupon d’EMTN, classification Bloomberg vs référentiel) : reconstitution du calcul attendu, identification de l’origine, correction sécurisée avec la MOA ou le fournisseur de données.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Contribué aux reportings de suivi et réglementaires (dont reporting Volcker) et préparé les justificatifs demandés par les commissaires aux comptes et le contrôle interne.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Automatisé sous Excel/VBA le retraitement de fichiers hétérogènes avec contrôles intégrés (devise, variation de prix, champs obligatoires) : anomalies détectées avant intégration, manipulations manuelles réduites.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Traité les opérations sur titres (remboursements anticipés, fusions, consentements) et contrôlé leur paramétrage.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Pôle Sud – cabinet d’expertise comptable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Toulouse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janv. – juin 2024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Stagiaire comptable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Participé à l’établissement des états financiers (bilan, compte de résultat, tableau de flux de trésorerie) de PME.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Assisté les travaux d’audit (documentation, vérification des écritures et pièces justificatives) et participé aux clôtures mensuelles et annuelles.</w:t>
      </w:r>
    </w:p>
    <w:p>
      <w:pPr>
        <w:keepNext/>
        <w:tabs>
          <w:tab w:val="right" w:pos="10580"/>
        </w:tabs>
        <w:spacing w:after="0" w:before="7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Euro Audit Conseil – cabinet d’audit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, Toulouse</w:t>
      </w:r>
      <w:r>
        <w:t xml:space="preserve">	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avr. – juin 2023</w:t>
      </w:r>
    </w:p>
    <w:p>
      <w:pPr>
        <w:keepNext/>
        <w:spacing w:after="10" w:before="0" w:line="2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Stagiaire audit et analyse financière</w:t>
      </w:r>
    </w:p>
    <w:p>
      <w:pPr>
        <w:pStyle w:val="ListParagraph"/>
        <w:numPr>
          <w:ilvl w:val="0"/>
          <w:numId w:val="2"/>
        </w:numPr>
        <w:spacing w:after="10" w:before="0" w:line="240"/>
      </w:pPr>
      <w:r>
        <w:rPr>
          <w:rFonts w:ascii="Calibri" w:cs="Calibri" w:eastAsia="Calibri" w:hAnsi="Calibri"/>
          <w:sz w:val="20"/>
          <w:szCs w:val="20"/>
        </w:rPr>
        <w:t xml:space="preserve">Contribué à l’analyse financière de dossiers clients et à l’évaluation des risques ; rédigé des rapports et supports de synthèse pour les réunions clients.</w:t>
      </w:r>
    </w:p>
    <w:p>
      <w:pPr>
        <w:keepNext/>
        <w:pBdr>
          <w:bottom w:val="single" w:color="1F3864" w:sz="6" w:space="2"/>
        </w:pBdr>
        <w:spacing w:after="30" w:before="9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COMPÉTENCES</w:t>
      </w:r>
    </w:p>
    <w:p>
      <w:pPr>
        <w:spacing w:after="2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Référentiels : </w:t>
      </w:r>
      <w:r>
        <w:rPr>
          <w:rFonts w:ascii="Calibri" w:cs="Calibri" w:eastAsia="Calibri" w:hAnsi="Calibri"/>
          <w:sz w:val="20"/>
          <w:szCs w:val="20"/>
        </w:rPr>
        <w:t xml:space="preserve">comptabilité française (DCG), IFRS, audit et contrôle interne ; instruments financiers (obligations, EMTN, dérivés, fonds) ; actifs numériques : registres distribués et veille réglementaire (MiCA, lutte contre le blanchiment).</w:t>
      </w:r>
    </w:p>
    <w:p>
      <w:pPr>
        <w:spacing w:after="2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Outils : </w:t>
      </w:r>
      <w:r>
        <w:rPr>
          <w:rFonts w:ascii="Calibri" w:cs="Calibri" w:eastAsia="Calibri" w:hAnsi="Calibri"/>
          <w:sz w:val="20"/>
          <w:szCs w:val="20"/>
        </w:rPr>
        <w:t xml:space="preserve">Excel avancé (TCD, Power Query, VBA), Power Automate, SQL, Python (notions), SimCorp Dimension, Bloomberg.</w:t>
      </w:r>
    </w:p>
    <w:p>
      <w:pPr>
        <w:spacing w:after="2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Langues : </w:t>
      </w:r>
      <w:r>
        <w:rPr>
          <w:rFonts w:ascii="Calibri" w:cs="Calibri" w:eastAsia="Calibri" w:hAnsi="Calibri"/>
          <w:sz w:val="20"/>
          <w:szCs w:val="20"/>
        </w:rPr>
        <w:t xml:space="preserve">Français – langue maternelle ; Anglais – courant, C1 (TOEIC 985/990) ; Arabe – intermédiaire.</w:t>
      </w:r>
    </w:p>
    <w:p>
      <w:pPr>
        <w:keepNext/>
        <w:pBdr>
          <w:bottom w:val="single" w:color="1F3864" w:sz="6" w:space="2"/>
        </w:pBdr>
        <w:spacing w:after="30" w:before="9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ENGAGEMENTS</w:t>
      </w:r>
    </w:p>
    <w:p>
      <w:pPr>
        <w:spacing w:after="2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Ethereum France, association loi 1901 (éducation et formation) – membre actif depuis 2024 : </w:t>
      </w:r>
      <w:r>
        <w:rPr>
          <w:rFonts w:ascii="Calibri" w:cs="Calibri" w:eastAsia="Calibri" w:hAnsi="Calibri"/>
          <w:sz w:val="20"/>
          <w:szCs w:val="20"/>
        </w:rPr>
        <w:t xml:space="preserve">rédaction de contenus pédagogiques sur les actifs numériques (registres distribués, traçabilité des transactions, smart contracts) pour la communauté francophone ; participation aux meetups et événements.</w:t>
      </w:r>
    </w:p>
    <w:p>
      <w:pPr>
        <w:spacing w:after="20" w:before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Projet « Quartier Propre », Toulouse – fondateur, 2022 – 2023 : </w:t>
      </w:r>
      <w:r>
        <w:rPr>
          <w:rFonts w:ascii="Calibri" w:cs="Calibri" w:eastAsia="Calibri" w:hAnsi="Calibri"/>
          <w:sz w:val="20"/>
          <w:szCs w:val="20"/>
        </w:rPr>
        <w:t xml:space="preserve">opérations de nettoyage et ateliers de sensibilisation avec des associations locales.</w:t>
      </w:r>
    </w:p>
    <w:sectPr>
      <w:pgSz w:w="11906" w:h="16838" w:orient="portrait"/>
      <w:pgMar w:top="500" w:right="680" w:bottom="4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Ahmed-Razine Khontachi – EY Genève</dc:title>
  <dc:creator>Ahmed-Razine Khontachi</dc:creator>
  <cp:lastModifiedBy>Un-named</cp:lastModifiedBy>
  <cp:revision>1</cp:revision>
  <dcterms:created xsi:type="dcterms:W3CDTF">2026-10-18T16:10:55.157Z</dcterms:created>
  <dcterms:modified xsi:type="dcterms:W3CDTF">2026-10-18T16:10:55.157Z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