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620"/>
        <w:gridCol w:w="2000"/>
      </w:tblGrid>
      <w:tr>
        <w:tc>
          <w:tcPr>
            <w:tcW w:type="dxa" w:w="8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8"/>
                <w:szCs w:val="38"/>
              </w:rPr>
              <w:t xml:space="preserve">Ahmed-Razine KHONTACHI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sz w:val="23"/>
                <w:szCs w:val="23"/>
              </w:rPr>
              <w:t xml:space="preserve">Candidat Assistant Audit Services Financiers – octobre 2027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Apprenti analyste financier au Groupe BPCE  ·  Master Audit, Audencia (diplôme juin 2027)</w:t>
            </w:r>
          </w:p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+33 7 66 37 95 54  ·  ahmed.razine.khontachi@gmail.com  ·  </w:t>
            </w: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[Lien LinkedIn]</w:t>
            </w:r>
          </w:p>
          <w:p>
            <w:pPr>
              <w:spacing w:after="20" w:before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Nationalité française (UE/AELE)  ·  Né le </w:t>
            </w: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[jj.mm.aaaa]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·  Domicile : </w:t>
            </w: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[Ville, pays]</w:t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Installation en Suisse prévue pour octobre 2027  ·  Titulaire du permis de conduire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vAlign w:val="center"/>
          </w:tcPr>
          <w:p>
            <w:pPr>
              <w:spacing w:after="0" w:before="520"/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Photo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professionnelle</w:t>
            </w:r>
          </w:p>
          <w:p>
            <w:pPr>
              <w:spacing w:after="520"/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3,5 × 4,5 cm</w:t>
            </w:r>
          </w:p>
        </w:tc>
      </w:tr>
    </w:tbl>
    <w:p>
      <w:pPr>
        <w:keepNext/>
        <w:pBdr>
          <w:bottom w:val="single" w:color="1F3864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PROFIL</w:t>
      </w:r>
    </w:p>
    <w:p>
      <w:pPr>
        <w:spacing w:after="20" w:before="0" w:line="252"/>
      </w:pPr>
      <w:r>
        <w:rPr>
          <w:rFonts w:ascii="Calibri" w:cs="Calibri" w:eastAsia="Calibri" w:hAnsi="Calibri"/>
          <w:sz w:val="20"/>
          <w:szCs w:val="20"/>
        </w:rPr>
        <w:t xml:space="preserve">Au quotidien, je contrôle les données d’instruments financiers d’une direction financière et je prépare ce que les commissaires aux comptes viennent vérifier ; par intérêt, j’analyse les marchés on-chain avec la même exigence de preuve. Votre poste réunit ces deux mondes, l’audit des établissements financiers et les actifs numériques ; j’y vise un début en octobre 2027 et le diplôme d’expert-comptable suisse.</w:t>
      </w:r>
    </w:p>
    <w:p>
      <w:pPr>
        <w:keepNext/>
        <w:pBdr>
          <w:bottom w:val="single" w:color="1F3864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FORMATION</w:t>
      </w:r>
    </w:p>
    <w:p>
      <w:pPr>
        <w:keepNext/>
        <w:tabs>
          <w:tab w:val="right" w:pos="10620"/>
        </w:tabs>
        <w:spacing w:after="0" w:before="8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Audencia Business School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Nantes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sept. 2025 – juin 2027</w:t>
      </w:r>
    </w:p>
    <w:p>
      <w:pPr>
        <w:keepNext/>
        <w:spacing w:after="30" w:before="0" w:line="252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Programme Grande École, spécialisation Audit – grade de Master (bac+5), en apprentissage ; 5 équivalences sur 7 UE du DSCG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20"/>
          <w:szCs w:val="20"/>
        </w:rPr>
        <w:t xml:space="preserve">Cours clés : audit et contrôle interne, comptabilité approfondie et IFRS, finance de marché et instruments financiers, management des systèmes d’information.</w:t>
      </w:r>
    </w:p>
    <w:p>
      <w:pPr>
        <w:keepNext/>
        <w:tabs>
          <w:tab w:val="right" w:pos="10620"/>
        </w:tabs>
        <w:spacing w:after="0" w:before="8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Université Lumière Lyon 2 – Lycée La Martinière Duchère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Lyon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sept. 2024 – juin 2025</w:t>
      </w:r>
    </w:p>
    <w:p>
      <w:pPr>
        <w:keepNext/>
        <w:spacing w:after="30" w:before="0" w:line="252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Licence 3 Économie-Gestion (bac+3) en double cursus avec la classe préparatoire ATS</w:t>
      </w:r>
    </w:p>
    <w:p>
      <w:pPr>
        <w:keepNext/>
        <w:tabs>
          <w:tab w:val="right" w:pos="10620"/>
        </w:tabs>
        <w:spacing w:after="0" w:before="8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Université Toulouse III – Paul Sabatier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Toulouse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sept. 2021 – juin 2024</w:t>
      </w:r>
    </w:p>
    <w:p>
      <w:pPr>
        <w:keepNext/>
        <w:spacing w:after="30" w:before="0" w:line="252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DCG (Diplôme de comptabilité et de gestion, bac+3) et BUT GEA option Finance – classé 3e sur 150</w:t>
      </w:r>
    </w:p>
    <w:p>
      <w:pPr>
        <w:keepNext/>
        <w:pBdr>
          <w:bottom w:val="single" w:color="1F3864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EXPÉRIENCE PROFESSIONNELLE</w:t>
      </w:r>
    </w:p>
    <w:p>
      <w:pPr>
        <w:keepNext/>
        <w:tabs>
          <w:tab w:val="right" w:pos="10620"/>
        </w:tabs>
        <w:spacing w:after="0" w:before="8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Groupe BPCE – Direction financière, Placements (équipe Data Référentiel)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Paris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sept. 2025 – juin 2027</w:t>
      </w:r>
    </w:p>
    <w:p>
      <w:pPr>
        <w:keepNext/>
        <w:spacing w:after="30" w:before="0" w:line="252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Apprenti analyste financier – Référentiel titres (contrat d’apprentissage en cours)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20"/>
          <w:szCs w:val="20"/>
        </w:rPr>
        <w:t xml:space="preserve">Contrôlé les données de plusieurs milliers d’instruments financiers (obligations, EMTN, fonds, dérivés) par rapprochement entre SimCorp Dimension, Bloomberg et les documents contractuels ; créé plusieurs centaines de titres.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20"/>
          <w:szCs w:val="20"/>
        </w:rPr>
        <w:t xml:space="preserve">Participé aux clôtures mensuelles, trimestrielles et annuelles (prix, taux de référence, données de marché) et préparé les justificatifs demandés par les commissaires aux comptes et le contrôle interne.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20"/>
          <w:szCs w:val="20"/>
        </w:rPr>
        <w:t xml:space="preserve">Analysé et documenté les écarts (coupon d’EMTN, classifications) : calcul attendu reconstitué, origine identifiée, correction sécurisée avec la MOA ou le fournisseur de données.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20"/>
          <w:szCs w:val="20"/>
        </w:rPr>
        <w:t xml:space="preserve">Contribué aux reportings réglementaires et de suivi (dont reporting Volcker).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20"/>
          <w:szCs w:val="20"/>
        </w:rPr>
        <w:t xml:space="preserve">Automatisé sous Excel/VBA le retraitement de fichiers hétérogènes avec contrôles intégrés (devise, variation de prix, champs obligatoires) et conçu un flux Power Automate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[objet du flux et résultat : à préciser]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keepNext/>
        <w:tabs>
          <w:tab w:val="right" w:pos="10620"/>
        </w:tabs>
        <w:spacing w:after="0" w:before="8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Pôle Sud – cabinet d’expertise comptable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Toulouse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janv. 2024 – juin 2024</w:t>
      </w:r>
    </w:p>
    <w:p>
      <w:pPr>
        <w:keepNext/>
        <w:spacing w:after="30" w:before="0" w:line="252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Stagiaire comptable et assistant audit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20"/>
          <w:szCs w:val="20"/>
        </w:rPr>
        <w:t xml:space="preserve">Participé à l’établissement des états financiers de PME et aux clôtures ; assisté les travaux d’audit (documentation, vérification des écritures et pièces justificatives).</w:t>
      </w:r>
    </w:p>
    <w:p>
      <w:pPr>
        <w:keepNext/>
        <w:tabs>
          <w:tab w:val="right" w:pos="10620"/>
        </w:tabs>
        <w:spacing w:after="0" w:before="8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Euro Audit Conseil – cabinet d’audit et de conseil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Toulouse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avr. 2023 – juin 2023</w:t>
      </w:r>
    </w:p>
    <w:p>
      <w:pPr>
        <w:keepNext/>
        <w:spacing w:after="30" w:before="0" w:line="252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Stagiaire audit et conseil financier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20"/>
          <w:szCs w:val="20"/>
        </w:rPr>
        <w:t xml:space="preserve">Analysé des plans financiers et des portefeuilles d’investissement de clients, évalué les risques (profil, allocation, concentration) ; rédigé rapports et présentations pour les réunions clients.</w:t>
      </w:r>
    </w:p>
    <w:p>
      <w:pPr>
        <w:keepNext/>
        <w:pBdr>
          <w:bottom w:val="single" w:color="1F3864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PROJET PERSONNEL – DONNÉES ON-CHAIN</w:t>
      </w:r>
    </w:p>
    <w:p>
      <w:pPr>
        <w:keepNext/>
        <w:tabs>
          <w:tab w:val="right" w:pos="10620"/>
        </w:tabs>
        <w:spacing w:after="0" w:before="8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Recherche quantitative sur un marché de prédiction décentralisé (Polymarket, blockchain Polygon)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/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20"/>
          <w:szCs w:val="20"/>
        </w:rPr>
        <w:t xml:space="preserve">Collecté et analysé par API les carnets d’ordres de 12 000 événements et 3 500 instruments, suivi en temps réel sur 24 h ; chaque résultat documenté avec sa provenance (mesuré, calculé, hypothèse).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20"/>
          <w:szCs w:val="20"/>
        </w:rPr>
        <w:t xml:space="preserve">Audité en lecture seule 20 dépôts open source avant toute utilisation : exfiltration de clés, code obfusqué, dépendances à risque ; verdict de sécurité par dépôt.</w:t>
      </w:r>
    </w:p>
    <w:p>
      <w:pPr>
        <w:keepNext/>
        <w:pBdr>
          <w:bottom w:val="single" w:color="1F3864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COMPÉTENCES ET DIVERS</w:t>
      </w:r>
    </w:p>
    <w:p>
      <w:pPr>
        <w:spacing w:after="40" w:before="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Référentiels : </w:t>
      </w:r>
      <w:r>
        <w:rPr>
          <w:rFonts w:ascii="Calibri" w:cs="Calibri" w:eastAsia="Calibri" w:hAnsi="Calibri"/>
          <w:sz w:val="20"/>
          <w:szCs w:val="20"/>
        </w:rPr>
        <w:t xml:space="preserve">comptabilité française (DCG), IFRS, audit et contrôle interne ; instruments financiers ; actifs numériques (registres distribués, traçabilité, cadre MiCA, lutte contre le blanchiment).</w:t>
      </w:r>
    </w:p>
    <w:p>
      <w:pPr>
        <w:spacing w:after="40" w:before="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Outils : </w:t>
      </w:r>
      <w:r>
        <w:rPr>
          <w:rFonts w:ascii="Calibri" w:cs="Calibri" w:eastAsia="Calibri" w:hAnsi="Calibri"/>
          <w:sz w:val="20"/>
          <w:szCs w:val="20"/>
        </w:rPr>
        <w:t xml:space="preserve">Excel avancé (TCD, Power Query, VBA), Power Automate, SQL, Python, SimCorp Dimension, Bloomberg, API de marché.</w:t>
      </w:r>
    </w:p>
    <w:p>
      <w:pPr>
        <w:spacing w:after="40" w:before="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Langues : </w:t>
      </w:r>
      <w:r>
        <w:rPr>
          <w:rFonts w:ascii="Calibri" w:cs="Calibri" w:eastAsia="Calibri" w:hAnsi="Calibri"/>
          <w:sz w:val="20"/>
          <w:szCs w:val="20"/>
        </w:rPr>
        <w:t xml:space="preserve">Français – langue maternelle ; Anglais – courant, C1 (TOEIC 985/990) ; Arabe – intermédiaire (B1).</w:t>
      </w:r>
    </w:p>
    <w:p>
      <w:pPr>
        <w:spacing w:after="40" w:before="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Engagement : </w:t>
      </w:r>
      <w:r>
        <w:rPr>
          <w:rFonts w:ascii="Calibri" w:cs="Calibri" w:eastAsia="Calibri" w:hAnsi="Calibri"/>
          <w:sz w:val="20"/>
          <w:szCs w:val="20"/>
        </w:rPr>
        <w:t xml:space="preserve">fondateur du projet « Quartier Propre », Toulouse (sept. 2022 – févr. 2023), nettoyages et ateliers citoyens.</w:t>
      </w:r>
    </w:p>
    <w:p>
      <w:pPr>
        <w:spacing w:after="40" w:before="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Centres d’intérêt : </w:t>
      </w:r>
      <w:r>
        <w:rPr>
          <w:rFonts w:ascii="Calibri" w:cs="Calibri" w:eastAsia="Calibri" w:hAnsi="Calibri"/>
          <w:sz w:val="20"/>
          <w:szCs w:val="20"/>
        </w:rPr>
        <w:t xml:space="preserve">technologies financières et actifs numériques, sport.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Références disponibles sur demande.</w:t>
      </w:r>
    </w:p>
    <w:sectPr>
      <w:pgSz w:w="11906" w:h="16838" w:orient="portrait"/>
      <w:pgMar w:top="460" w:right="660" w:bottom="42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Ahmed-Razine Khontachi – EY Genève</dc:title>
  <dc:creator>Ahmed-Razine Khontachi</dc:creator>
  <cp:lastModifiedBy>Un-named</cp:lastModifiedBy>
  <cp:revision>1</cp:revision>
  <dcterms:created xsi:type="dcterms:W3CDTF">2026-10-18T16:34:09.212Z</dcterms:created>
  <dcterms:modified xsi:type="dcterms:W3CDTF">2026-10-18T16:34:09.212Z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