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580"/>
        <w:gridCol w:w="2000"/>
      </w:tblGrid>
      <w:tr>
        <w:tc>
          <w:tcPr>
            <w:tcW w:type="dxa" w:w="8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6"/>
                <w:szCs w:val="36"/>
              </w:rPr>
              <w:t xml:space="preserve">Ahmed-Razine KHONTACHI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Apprenti analyste financier, Groupe BPCE  |  Master Audit, Audencia (diplôme juin 2027)</w:t>
            </w:r>
          </w:p>
          <w:p>
            <w:pPr>
              <w:spacing w:after="20" w:before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+33 7 66 37 95 54  ·  ahmed.razine.khontachi@gmail.com  ·  </w:t>
            </w: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[Lien LinkedIn]</w:t>
            </w:r>
          </w:p>
          <w:p>
            <w:pPr>
              <w:spacing w:after="20" w:before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Nationalité française (ressortissant UE/AELE)  ·  Né le </w:t>
            </w: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[jj.mm.aaaa]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·  Domicile : </w:t>
            </w:r>
            <w:r>
              <w:rPr>
                <w:rFonts w:ascii="Calibri" w:cs="Calibri" w:eastAsia="Calibri" w:hAnsi="Calibri"/>
                <w:sz w:val="20"/>
                <w:szCs w:val="20"/>
                <w:highlight w:val="yellow"/>
                <w:highlightCs w:val="yellow"/>
              </w:rPr>
              <w:t xml:space="preserve">[Ville, pays]</w:t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Installation en Suisse prévue  ·  Disponible dès octobre 2027  ·  Titulaire du permis de conduire</w:t>
            </w:r>
          </w:p>
        </w:tc>
        <w:tc>
          <w:tcPr>
            <w:tcW w:type="dxa" w:w="200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color="auto" w:val="clear"/>
            <w:vAlign w:val="center"/>
          </w:tcPr>
          <w:p>
            <w:pPr>
              <w:spacing w:after="0" w:before="500"/>
              <w:jc w:val="center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Photo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professionnelle</w:t>
            </w:r>
          </w:p>
          <w:p>
            <w:pPr>
              <w:spacing w:after="500"/>
              <w:jc w:val="center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3,5 × 4,5 cm</w:t>
            </w:r>
          </w:p>
        </w:tc>
      </w:tr>
    </w:tbl>
    <w:p>
      <w:pPr>
        <w:keepNext/>
        <w:pBdr>
          <w:bottom w:val="single" w:color="1F3864" w:sz="6" w:space="2"/>
        </w:pBdr>
        <w:spacing w:after="3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PROFIL</w:t>
      </w:r>
    </w:p>
    <w:p>
      <w:pPr>
        <w:spacing w:after="20" w:before="0" w:line="252"/>
      </w:pPr>
      <w:r>
        <w:rPr>
          <w:rFonts w:ascii="Calibri" w:cs="Calibri" w:eastAsia="Calibri" w:hAnsi="Calibri"/>
          <w:sz w:val="20"/>
          <w:szCs w:val="20"/>
        </w:rPr>
        <w:t xml:space="preserve">Futur diplômé (juin 2027) du Master Audit d’Audencia, apprenti à la Direction financière du Groupe BPCE (contrôle de données financières, clôtures, justificatifs pour les commissaires aux comptes), après deux stages en cabinet comptable et d’audit. Objectif : débuter en audit financier chez EY Lausanne et préparer le diplôme d’expert-comptable suisse.</w:t>
      </w:r>
    </w:p>
    <w:p>
      <w:pPr>
        <w:keepNext/>
        <w:pBdr>
          <w:bottom w:val="single" w:color="1F3864" w:sz="6" w:space="2"/>
        </w:pBdr>
        <w:spacing w:after="3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FORMATION</w:t>
      </w:r>
    </w:p>
    <w:p>
      <w:pPr>
        <w:keepNext/>
        <w:tabs>
          <w:tab w:val="right" w:pos="10580"/>
        </w:tabs>
        <w:spacing w:after="0" w:before="7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Audencia Business School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Nantes (France)</w:t>
      </w:r>
      <w:r>
        <w:t xml:space="preserve">	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sept. 2025 – juin 2027</w:t>
      </w:r>
    </w:p>
    <w:p>
      <w:pPr>
        <w:keepNext/>
        <w:spacing w:after="10" w:before="0" w:line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Programme Grande École, spécialisation Audit – grade de Master (bac+5, diplôme visé par l’État), suivi en apprentissage (alternance école / entreprise)</w:t>
      </w:r>
    </w:p>
    <w:p>
      <w:pPr>
        <w:pStyle w:val="ListParagraph"/>
        <w:numPr>
          <w:ilvl w:val="0"/>
          <w:numId w:val="2"/>
        </w:numPr>
        <w:spacing w:after="10" w:before="0" w:line="240"/>
      </w:pPr>
      <w:r>
        <w:rPr>
          <w:rFonts w:ascii="Calibri" w:cs="Calibri" w:eastAsia="Calibri" w:hAnsi="Calibri"/>
          <w:sz w:val="20"/>
          <w:szCs w:val="20"/>
        </w:rPr>
        <w:t xml:space="preserve">Cours : audit et contrôle interne, comptabilité approfondie et IFRS, évaluation d’entreprise, finance, contrôle de gestion, droit et fiscalité, systèmes d’information. Confère 5 équivalences sur 7 UE du DSCG (filière française d’expertise comptable).</w:t>
      </w:r>
    </w:p>
    <w:p>
      <w:pPr>
        <w:keepNext/>
        <w:tabs>
          <w:tab w:val="right" w:pos="10580"/>
        </w:tabs>
        <w:spacing w:after="0" w:before="7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Université Lumière Lyon 2 – Lycée La Martinière Duchère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Lyon</w:t>
      </w:r>
      <w:r>
        <w:t xml:space="preserve">	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2024 – 2025</w:t>
      </w:r>
    </w:p>
    <w:p>
      <w:pPr>
        <w:keepNext/>
        <w:spacing w:after="10" w:before="0" w:line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Licence 3 Économie-Gestion (bac+3) en double cursus avec la classe préparatoire ATS (concours des grandes écoles)</w:t>
      </w:r>
    </w:p>
    <w:p>
      <w:pPr>
        <w:keepNext/>
        <w:tabs>
          <w:tab w:val="right" w:pos="10580"/>
        </w:tabs>
        <w:spacing w:after="0" w:before="7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Université Toulouse III – Paul Sabatier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Toulouse</w:t>
      </w:r>
      <w:r>
        <w:t xml:space="preserve">	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2021 – 2024</w:t>
      </w:r>
    </w:p>
    <w:p>
      <w:pPr>
        <w:keepNext/>
        <w:spacing w:after="10" w:before="0" w:line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DCG, Diplôme de comptabilité et de gestion (bac+3, filière française d’expertise comptable) et BUT GEA option Finance – classé 3e sur 150</w:t>
      </w:r>
    </w:p>
    <w:p>
      <w:pPr>
        <w:keepNext/>
        <w:pBdr>
          <w:bottom w:val="single" w:color="1F3864" w:sz="6" w:space="2"/>
        </w:pBdr>
        <w:spacing w:after="3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EXPÉRIENCE PROFESSIONNELLE</w:t>
      </w:r>
    </w:p>
    <w:p>
      <w:pPr>
        <w:keepNext/>
        <w:tabs>
          <w:tab w:val="right" w:pos="10580"/>
        </w:tabs>
        <w:spacing w:after="0" w:before="7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Groupe BPCE – Direction financière, Placements (équipe Data Référentiel)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Paris</w:t>
      </w:r>
      <w:r>
        <w:t xml:space="preserve">	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sept. 2025 – juin 2027</w:t>
      </w:r>
    </w:p>
    <w:p>
      <w:pPr>
        <w:keepNext/>
        <w:spacing w:after="10" w:before="0" w:line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Apprenti analyste financier – Référentiel titres (contrat d’apprentissage en cours)</w:t>
      </w:r>
    </w:p>
    <w:p>
      <w:pPr>
        <w:pStyle w:val="ListParagraph"/>
        <w:numPr>
          <w:ilvl w:val="0"/>
          <w:numId w:val="2"/>
        </w:numPr>
        <w:spacing w:after="10" w:before="0" w:line="240"/>
      </w:pPr>
      <w:r>
        <w:rPr>
          <w:rFonts w:ascii="Calibri" w:cs="Calibri" w:eastAsia="Calibri" w:hAnsi="Calibri"/>
          <w:sz w:val="20"/>
          <w:szCs w:val="20"/>
        </w:rPr>
        <w:t xml:space="preserve">Contrôlé les données de référence de plusieurs milliers d’instruments financiers (ISIN, devise, prix, classification, coupons) dans SimCorp Dimension, par rapprochement avec Bloomberg et les documents contractuels (term sheets, avis d’opéré).</w:t>
      </w:r>
    </w:p>
    <w:p>
      <w:pPr>
        <w:pStyle w:val="ListParagraph"/>
        <w:numPr>
          <w:ilvl w:val="0"/>
          <w:numId w:val="2"/>
        </w:numPr>
        <w:spacing w:after="10" w:before="0" w:line="240"/>
      </w:pPr>
      <w:r>
        <w:rPr>
          <w:rFonts w:ascii="Calibri" w:cs="Calibri" w:eastAsia="Calibri" w:hAnsi="Calibri"/>
          <w:sz w:val="20"/>
          <w:szCs w:val="20"/>
        </w:rPr>
        <w:t xml:space="preserve">Créé et paramétré plusieurs centaines de titres (obligations, EMTN, fonds, dérivés) après vérification de la cohérence des sources et conservation des pièces justificatives.</w:t>
      </w:r>
    </w:p>
    <w:p>
      <w:pPr>
        <w:pStyle w:val="ListParagraph"/>
        <w:numPr>
          <w:ilvl w:val="0"/>
          <w:numId w:val="2"/>
        </w:numPr>
        <w:spacing w:after="10" w:before="0" w:line="240"/>
      </w:pPr>
      <w:r>
        <w:rPr>
          <w:rFonts w:ascii="Calibri" w:cs="Calibri" w:eastAsia="Calibri" w:hAnsi="Calibri"/>
          <w:sz w:val="20"/>
          <w:szCs w:val="20"/>
        </w:rPr>
        <w:t xml:space="preserve">Participé aux travaux de clôture mensuelle, trimestrielle et annuelle : contrôle des prix et de leur fraîcheur, alimentation des fixings et données de marché, suivi des produits dérivés.</w:t>
      </w:r>
    </w:p>
    <w:p>
      <w:pPr>
        <w:pStyle w:val="ListParagraph"/>
        <w:numPr>
          <w:ilvl w:val="0"/>
          <w:numId w:val="2"/>
        </w:numPr>
        <w:spacing w:after="10" w:before="0" w:line="240"/>
      </w:pPr>
      <w:r>
        <w:rPr>
          <w:rFonts w:ascii="Calibri" w:cs="Calibri" w:eastAsia="Calibri" w:hAnsi="Calibri"/>
          <w:sz w:val="20"/>
          <w:szCs w:val="20"/>
        </w:rPr>
        <w:t xml:space="preserve">Analysé et documenté les écarts (coupon d’EMTN, classification Bloomberg vs référentiel) : reconstitution du calcul attendu, identification de l’origine, correction sécurisée avec la MOA ou le fournisseur de données.</w:t>
      </w:r>
    </w:p>
    <w:p>
      <w:pPr>
        <w:pStyle w:val="ListParagraph"/>
        <w:numPr>
          <w:ilvl w:val="0"/>
          <w:numId w:val="2"/>
        </w:numPr>
        <w:spacing w:after="10" w:before="0" w:line="240"/>
      </w:pPr>
      <w:r>
        <w:rPr>
          <w:rFonts w:ascii="Calibri" w:cs="Calibri" w:eastAsia="Calibri" w:hAnsi="Calibri"/>
          <w:sz w:val="20"/>
          <w:szCs w:val="20"/>
        </w:rPr>
        <w:t xml:space="preserve">Contribué aux reportings de suivi et réglementaires (dont reporting Volcker) et préparé les justificatifs demandés par les commissaires aux comptes et le contrôle interne.</w:t>
      </w:r>
    </w:p>
    <w:p>
      <w:pPr>
        <w:pStyle w:val="ListParagraph"/>
        <w:numPr>
          <w:ilvl w:val="0"/>
          <w:numId w:val="2"/>
        </w:numPr>
        <w:spacing w:after="10" w:before="0" w:line="240"/>
      </w:pPr>
      <w:r>
        <w:rPr>
          <w:rFonts w:ascii="Calibri" w:cs="Calibri" w:eastAsia="Calibri" w:hAnsi="Calibri"/>
          <w:sz w:val="20"/>
          <w:szCs w:val="20"/>
        </w:rPr>
        <w:t xml:space="preserve">Automatisé sous Excel/VBA le retraitement de fichiers hétérogènes avec contrôles intégrés (devise, variation de prix, champs obligatoires) : anomalies détectées avant intégration, manipulations manuelles réduites.</w:t>
      </w:r>
    </w:p>
    <w:p>
      <w:pPr>
        <w:pStyle w:val="ListParagraph"/>
        <w:numPr>
          <w:ilvl w:val="0"/>
          <w:numId w:val="2"/>
        </w:numPr>
        <w:spacing w:after="10" w:before="0" w:line="240"/>
      </w:pPr>
      <w:r>
        <w:rPr>
          <w:rFonts w:ascii="Calibri" w:cs="Calibri" w:eastAsia="Calibri" w:hAnsi="Calibri"/>
          <w:sz w:val="20"/>
          <w:szCs w:val="20"/>
        </w:rPr>
        <w:t xml:space="preserve">Traité les opérations sur titres (remboursements anticipés, fusions, consentements) et contrôlé leur paramétrage avant confirmation au transactionnel.</w:t>
      </w:r>
    </w:p>
    <w:p>
      <w:pPr>
        <w:keepNext/>
        <w:tabs>
          <w:tab w:val="right" w:pos="10580"/>
        </w:tabs>
        <w:spacing w:after="0" w:before="7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Pôle Sud – cabinet d’expertise comptable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Toulouse</w:t>
      </w:r>
      <w:r>
        <w:t xml:space="preserve">	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janv. – juin 2024</w:t>
      </w:r>
    </w:p>
    <w:p>
      <w:pPr>
        <w:keepNext/>
        <w:spacing w:after="10" w:before="0" w:line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Stagiaire comptable</w:t>
      </w:r>
    </w:p>
    <w:p>
      <w:pPr>
        <w:pStyle w:val="ListParagraph"/>
        <w:numPr>
          <w:ilvl w:val="0"/>
          <w:numId w:val="2"/>
        </w:numPr>
        <w:spacing w:after="10" w:before="0" w:line="240"/>
      </w:pPr>
      <w:r>
        <w:rPr>
          <w:rFonts w:ascii="Calibri" w:cs="Calibri" w:eastAsia="Calibri" w:hAnsi="Calibri"/>
          <w:sz w:val="20"/>
          <w:szCs w:val="20"/>
        </w:rPr>
        <w:t xml:space="preserve">Participé à l’établissement des états financiers (bilan, compte de résultat, tableau de flux de trésorerie) de PME.</w:t>
      </w:r>
    </w:p>
    <w:p>
      <w:pPr>
        <w:pStyle w:val="ListParagraph"/>
        <w:numPr>
          <w:ilvl w:val="0"/>
          <w:numId w:val="2"/>
        </w:numPr>
        <w:spacing w:after="10" w:before="0" w:line="240"/>
      </w:pPr>
      <w:r>
        <w:rPr>
          <w:rFonts w:ascii="Calibri" w:cs="Calibri" w:eastAsia="Calibri" w:hAnsi="Calibri"/>
          <w:sz w:val="20"/>
          <w:szCs w:val="20"/>
        </w:rPr>
        <w:t xml:space="preserve">Assisté les travaux d’audit : préparation de la documentation, vérification des écritures et des pièces justificatives.</w:t>
      </w:r>
    </w:p>
    <w:p>
      <w:pPr>
        <w:pStyle w:val="ListParagraph"/>
        <w:numPr>
          <w:ilvl w:val="0"/>
          <w:numId w:val="2"/>
        </w:numPr>
        <w:spacing w:after="10" w:before="0" w:line="240"/>
      </w:pPr>
      <w:r>
        <w:rPr>
          <w:rFonts w:ascii="Calibri" w:cs="Calibri" w:eastAsia="Calibri" w:hAnsi="Calibri"/>
          <w:sz w:val="20"/>
          <w:szCs w:val="20"/>
        </w:rPr>
        <w:t xml:space="preserve">Participé aux travaux de clôture mensuelle et annuelle (révision des comptes, écritures d’inventaire).</w:t>
      </w:r>
    </w:p>
    <w:p>
      <w:pPr>
        <w:keepNext/>
        <w:tabs>
          <w:tab w:val="right" w:pos="10580"/>
        </w:tabs>
        <w:spacing w:after="0" w:before="7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Euro Audit Conseil – cabinet d’audit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Toulouse</w:t>
      </w:r>
      <w:r>
        <w:t xml:space="preserve">	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avr. – juin 2023</w:t>
      </w:r>
    </w:p>
    <w:p>
      <w:pPr>
        <w:keepNext/>
        <w:spacing w:after="10" w:before="0" w:line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Stagiaire audit et analyse financière</w:t>
      </w:r>
    </w:p>
    <w:p>
      <w:pPr>
        <w:pStyle w:val="ListParagraph"/>
        <w:numPr>
          <w:ilvl w:val="0"/>
          <w:numId w:val="2"/>
        </w:numPr>
        <w:spacing w:after="10" w:before="0" w:line="240"/>
      </w:pPr>
      <w:r>
        <w:rPr>
          <w:rFonts w:ascii="Calibri" w:cs="Calibri" w:eastAsia="Calibri" w:hAnsi="Calibri"/>
          <w:sz w:val="20"/>
          <w:szCs w:val="20"/>
        </w:rPr>
        <w:t xml:space="preserve">Contribué à l’analyse financière de dossiers clients et à l’évaluation des risques ; rédigé des rapports et supports de synthèse pour les réunions clients.</w:t>
      </w:r>
    </w:p>
    <w:p>
      <w:pPr>
        <w:keepNext/>
        <w:pBdr>
          <w:bottom w:val="single" w:color="1F3864" w:sz="6" w:space="2"/>
        </w:pBdr>
        <w:spacing w:after="3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COMPÉTENCES</w:t>
      </w:r>
    </w:p>
    <w:p>
      <w:pPr>
        <w:spacing w:after="20" w:before="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Référentiels : </w:t>
      </w:r>
      <w:r>
        <w:rPr>
          <w:rFonts w:ascii="Calibri" w:cs="Calibri" w:eastAsia="Calibri" w:hAnsi="Calibri"/>
          <w:sz w:val="20"/>
          <w:szCs w:val="20"/>
        </w:rPr>
        <w:t xml:space="preserve">comptabilité française (DCG), IFRS et audit / contrôle interne (Master Audit, DSCG) ; CO suisse et US GAAP : en cours d’acquisition en vue du poste.</w:t>
      </w:r>
    </w:p>
    <w:p>
      <w:pPr>
        <w:spacing w:after="20" w:before="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Outils : </w:t>
      </w:r>
      <w:r>
        <w:rPr>
          <w:rFonts w:ascii="Calibri" w:cs="Calibri" w:eastAsia="Calibri" w:hAnsi="Calibri"/>
          <w:sz w:val="20"/>
          <w:szCs w:val="20"/>
        </w:rPr>
        <w:t xml:space="preserve">Excel avancé (TCD, Power Query, VBA), Power Automate, SQL, Python (notions), SimCorp Dimension, Bloomberg.</w:t>
      </w:r>
    </w:p>
    <w:p>
      <w:pPr>
        <w:spacing w:after="20" w:before="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Langues : </w:t>
      </w:r>
      <w:r>
        <w:rPr>
          <w:rFonts w:ascii="Calibri" w:cs="Calibri" w:eastAsia="Calibri" w:hAnsi="Calibri"/>
          <w:sz w:val="20"/>
          <w:szCs w:val="20"/>
        </w:rPr>
        <w:t xml:space="preserve">Français – langue maternelle ; Anglais – courant, C1 (TOEIC 985/990) ; Arabe – intermédiaire.</w:t>
      </w:r>
    </w:p>
    <w:p>
      <w:pPr>
        <w:keepNext/>
        <w:pBdr>
          <w:bottom w:val="single" w:color="1F3864" w:sz="6" w:space="2"/>
        </w:pBdr>
        <w:spacing w:after="3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ENGAGEMENTS</w:t>
      </w:r>
    </w:p>
    <w:p>
      <w:pPr>
        <w:spacing w:after="20" w:before="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Ethereum France, association loi 1901 (éducation et formation) – membre actif depuis 2024 : </w:t>
      </w:r>
      <w:r>
        <w:rPr>
          <w:rFonts w:ascii="Calibri" w:cs="Calibri" w:eastAsia="Calibri" w:hAnsi="Calibri"/>
          <w:sz w:val="20"/>
          <w:szCs w:val="20"/>
        </w:rPr>
        <w:t xml:space="preserve">rédaction de contenus pédagogiques sur le fonctionnement des actifs numériques (registres distribués, traçabilité des transactions) pour la communauté francophone ; participation aux meetups et événements.</w:t>
      </w:r>
    </w:p>
    <w:p>
      <w:pPr>
        <w:spacing w:after="20" w:before="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Projet « Quartier Propre », Toulouse – fondateur, sept. 2022 – févr. 2023 : </w:t>
      </w:r>
      <w:r>
        <w:rPr>
          <w:rFonts w:ascii="Calibri" w:cs="Calibri" w:eastAsia="Calibri" w:hAnsi="Calibri"/>
          <w:sz w:val="20"/>
          <w:szCs w:val="20"/>
        </w:rPr>
        <w:t xml:space="preserve">coordination d’opérations de nettoyage et d’ateliers de sensibilisation avec des associations locales.</w:t>
      </w:r>
    </w:p>
    <w:sectPr>
      <w:pgSz w:w="11906" w:h="16838" w:orient="portrait"/>
      <w:pgMar w:top="540" w:right="680" w:bottom="50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Ahmed-Razine Khontachi – EY Lausanne</dc:title>
  <dc:creator>Ahmed-Razine Khontachi</dc:creator>
  <cp:lastModifiedBy>Un-named</cp:lastModifiedBy>
  <cp:revision>1</cp:revision>
  <dcterms:created xsi:type="dcterms:W3CDTF">2026-10-18T15:31:09.558Z</dcterms:created>
  <dcterms:modified xsi:type="dcterms:W3CDTF">2026-10-18T15:31:09.558Z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