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B3A86"/>
          <w:sz w:val="48"/>
          <w:szCs w:val="48"/>
        </w:rPr>
        <w:t xml:space="preserve">Quiz Pokémon</w:t>
      </w:r>
    </w:p>
    <w:p>
      <w:pPr>
        <w:spacing w:after="240"/>
        <w:jc w:val="center"/>
      </w:pPr>
      <w:r>
        <w:rPr>
          <w:color w:val="666666"/>
          <w:sz w:val="28"/>
          <w:szCs w:val="28"/>
        </w:rPr>
        <w:t xml:space="preserve">Feuille de route des modifications du site</w:t>
      </w:r>
    </w:p>
    <w:p>
      <w:pPr>
        <w:spacing w:after="120"/>
      </w:pPr>
      <w:r>
        <w:rPr>
          <w:sz w:val="22"/>
          <w:szCs w:val="22"/>
        </w:rPr>
        <w:t xml:space="preserve">Document de suivi, à compléter au fur et à mesure. Site : index.html, style.css, script.js.</w:t>
      </w:r>
    </w:p>
    <w:p>
      <w:pPr>
        <w:pStyle w:val="Heading1"/>
        <w:spacing w:after="140" w:before="320"/>
      </w:pPr>
      <w:r>
        <w:t xml:space="preserve">1. Ce qui existe déjà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Page d’accueil, 3 modes de jeu : Libre, Versus (2 à 4 joueurs) et Compétition.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 bonus : Gonflette, Métronome, Détection.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Comptes et classement enregistrés dans le navigateur (localStorage).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Record personnel en mode Libre, chrono de 15 secondes par question.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10 épreuves actuelles : mises de côté pour le moment, on se concentre sur les 6 nouvelles.</w:t>
      </w:r>
    </w:p>
    <w:p>
      <w:pPr>
        <w:pStyle w:val="Heading1"/>
        <w:spacing w:after="140" w:before="320"/>
      </w:pPr>
      <w:r>
        <w:t xml:space="preserve">2. Nouvelles épreuves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3938"/>
        <w:gridCol w:w="1900"/>
        <w:gridCol w:w="10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Épreuve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Fonctionnement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À fournir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Retrouver le Pokémon d’après son cri. 4 manches : manches 1 et 2 à 3 choix, manche 3 à 4 choix, manche 4 où le joueur écrit le nom.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Fichiers audio des cris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 du Pokédex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Retrouver le Pokémon d’après sa description du Pokédex.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Textes des entrées du Pokédex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Lieux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Une image d’un lieu est affichée : retrouver le jeu d’où il vient.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Images des lieux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Anime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Questions sur l’animé Pokémon.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Questions et réponses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Jeux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Questions sur les jeux de la licence principale (pour le moment).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Questions et réponses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Thèmes musicaux</w:t>
            </w:r>
          </w:p>
        </w:tc>
        <w:tc>
          <w:tcPr>
            <w:tcW w:type="dxa" w:w="3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Retrouver le Pokémon légendaire d’après le thème musical diffusé.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Fichiers audio des thèmes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</w:tbl>
    <w:p>
      <w:pPr>
        <w:pStyle w:val="Heading1"/>
        <w:spacing w:after="140" w:before="320"/>
      </w:pPr>
      <w:r>
        <w:t xml:space="preserve">3. Modifications des bonus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5638"/>
        <w:gridCol w:w="15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Fonctionnement voulu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Métronome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Utilisable à l’écran de sélection des épreuves : choisit une épreuve au hasard et la lance immédiatement.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Gonflette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Utilisable à l’écran de sélection des épreuves : on l’active avant de choisir l’épreuve, et le total de points de l’épreuve lancée ensuite est doublé (une seule épreuve).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faire</w:t>
            </w:r>
          </w:p>
        </w:tc>
      </w:tr>
    </w:tbl>
    <w:p/>
    <w:p>
      <w:pPr>
        <w:spacing w:after="120"/>
      </w:pPr>
      <w:r>
        <w:rPr>
          <w:sz w:val="22"/>
          <w:szCs w:val="22"/>
        </w:rPr>
        <w:t xml:space="preserve">Détection reste inchangé : il s’utilise pendant les questions.</w:t>
      </w:r>
    </w:p>
    <w:p>
      <w:pPr>
        <w:pStyle w:val="Heading1"/>
        <w:spacing w:after="140" w:before="320"/>
      </w:pPr>
      <w:r>
        <w:t xml:space="preserve">4. Points à décider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Source des sons (cris, thèmes musicaux) : fichiers placés dans un dossier du projet, ou chargés depuis une base en ligne.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Nombre de questions par épreuve et points attribués (les épreuves actuelles ont 3 questions chacune).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Nombre d’épreuves en Compétition : actuellement 5, alors qu’il n’y aura que 6 épreuves.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Métronome : tirage parmi les épreuves pas encore jouées (proposé, à confirmer).</w:t>
      </w:r>
    </w:p>
    <w:p>
      <w:pPr>
        <w:pStyle w:val="Heading1"/>
        <w:spacing w:after="140" w:before="320"/>
      </w:pPr>
      <w:r>
        <w:t xml:space="preserve">5. Autres modifications à ajouter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18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B3A8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120"/>
      </w:pPr>
      <w:r>
        <w:rPr>
          <w:sz w:val="22"/>
          <w:szCs w:val="22"/>
        </w:rPr>
        <w:t xml:space="preserve">Principe de travail : modifications minimales et ciblées dans le code existant, sans réécriture complète.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4B3A8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2026-10-21T16:52:14.381Z</dcterms:created>
  <dcterms:modified xsi:type="dcterms:W3CDTF">2026-10-21T16:52:14.392Z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