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05"/>
        <w:pBdr/>
        <w:spacing/>
        <w:ind/>
        <w:rPr/>
      </w:pPr>
      <w:r>
        <w:rPr>
          <w:lang w:val="fr-FR" w:bidi="fr-FR"/>
        </w:rPr>
      </w:r>
      <w:r>
        <w:t xml:space="preserve">Feuille de route — Site de sensibilisation aux risques</w:t>
      </w:r>
      <w:r/>
    </w:p>
    <w:p>
      <w:pPr>
        <w:pBdr/>
        <w:spacing w:after="300"/>
        <w:ind/>
        <w:rPr>
          <w:highlight w:val="none"/>
        </w:rPr>
      </w:pPr>
      <w:r>
        <w:t xml:space="preserve">Projet réalisé par Enzo Lethiais</w:t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06"/>
        <w:pBdr/>
        <w:spacing/>
        <w:ind/>
        <w:rPr/>
      </w:pPr>
      <w:r>
        <w:t xml:space="preserve">1. Contexte du projet</w:t>
      </w:r>
      <w:r/>
    </w:p>
    <w:p>
      <w:pPr>
        <w:pStyle w:val="713"/>
        <w:numPr>
          <w:ilvl w:val="0"/>
          <w:numId w:val="1"/>
        </w:numPr>
        <w:pBdr/>
        <w:spacing/>
        <w:ind/>
        <w:rPr/>
      </w:pPr>
      <w:r>
        <w:t xml:space="preserve">Site web de sensibilisation aux risques, basé sur un mockup initial (Title, Intro, affiches, section « Different Risks », bouton Help).</w:t>
      </w:r>
      <w:r/>
    </w:p>
    <w:p>
      <w:pPr>
        <w:pStyle w:val="713"/>
        <w:numPr>
          <w:ilvl w:val="0"/>
          <w:numId w:val="1"/>
        </w:numPr>
        <w:pBdr/>
        <w:spacing/>
        <w:ind/>
        <w:rPr/>
      </w:pPr>
      <w:r>
        <w:t xml:space="preserve">Thème visuel (couleurs de fond, cartes, palette) repris du site déjà réalisé sur Black Goku.</w:t>
      </w:r>
      <w:r/>
    </w:p>
    <w:p>
      <w:pPr>
        <w:pStyle w:val="713"/>
        <w:numPr>
          <w:ilvl w:val="0"/>
          <w:numId w:val="1"/>
        </w:numPr>
        <w:pBdr/>
        <w:spacing/>
        <w:ind/>
        <w:rPr/>
      </w:pPr>
      <w:r>
        <w:t xml:space="preserve">Aucun lien vers GitHub ni vers le Trombinoscope sur cette page.</w:t>
      </w:r>
      <w:r/>
    </w:p>
    <w:p>
      <w:pPr>
        <w:pStyle w:val="713"/>
        <w:numPr>
          <w:ilvl w:val="0"/>
          <w:numId w:val="1"/>
        </w:numPr>
        <w:pBdr/>
        <w:spacing/>
        <w:ind/>
        <w:rPr/>
      </w:pPr>
      <w:r>
        <w:t xml:space="preserve">Les affiches et les textes des 3 risques seront en anglais.</w:t>
      </w:r>
      <w:r/>
    </w:p>
    <w:p>
      <w:pPr>
        <w:pStyle w:val="706"/>
        <w:pBdr/>
        <w:spacing w:before="300"/>
        <w:ind/>
        <w:rPr>
          <w:highlight w:val="none"/>
        </w:rPr>
      </w:pPr>
      <w:r>
        <w:t xml:space="preserve">2. Structure de la page</w:t>
      </w:r>
      <w:r/>
    </w:p>
    <w:tbl>
      <w:tblPr>
        <w:tblW w:w="90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000"/>
        <w:gridCol w:w="6000"/>
      </w:tblGrid>
      <w:tr>
        <w:trPr/>
        <w:tc>
          <w:tcPr>
            <w:shd w:val="clear" w:color="auto" w:fill="1f2937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</w:rPr>
              <w:t xml:space="preserve">Section</w:t>
            </w:r>
            <w:r/>
          </w:p>
        </w:tc>
        <w:tc>
          <w:tcPr>
            <w:shd w:val="clear" w:color="auto" w:fill="1f2937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W w:w="60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</w:rPr>
              <w:t xml:space="preserve">Contenu</w:t>
            </w:r>
            <w:r/>
          </w:p>
        </w:tc>
      </w:tr>
      <w:tr>
        <w:trPr/>
        <w:tc>
          <w:tcPr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color w:val="000000"/>
              </w:rPr>
              <w:t xml:space="preserve">En-tête</w:t>
            </w:r>
            <w:r/>
          </w:p>
        </w:tc>
        <w:tc>
          <w:tcPr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color w:val="000000"/>
              </w:rPr>
              <w:t xml:space="preserve">Titre de la page (« Title »)</w:t>
            </w:r>
            <w:r/>
          </w:p>
        </w:tc>
      </w:tr>
      <w:tr>
        <w:trPr/>
        <w:tc>
          <w:tcPr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color w:val="000000"/>
              </w:rPr>
              <w:t xml:space="preserve">Intro</w:t>
            </w:r>
            <w:r/>
          </w:p>
        </w:tc>
        <w:tc>
          <w:tcPr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color w:val="000000"/>
              </w:rPr>
              <w:t xml:space="preserve">Paragraphe de présentation, encadré </w:t>
            </w:r>
            <w:r/>
          </w:p>
        </w:tc>
      </w:tr>
      <w:tr>
        <w:trPr/>
        <w:tc>
          <w:tcPr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color w:val="000000"/>
              </w:rPr>
              <w:t xml:space="preserve">Affiches</w:t>
            </w:r>
            <w:r/>
          </w:p>
        </w:tc>
        <w:tc>
          <w:tcPr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color w:val="000000"/>
              </w:rPr>
              <w:t xml:space="preserve">Galerie d'affiches de prévention (en anglais, sources type HSE)</w:t>
            </w:r>
            <w:r/>
          </w:p>
        </w:tc>
      </w:tr>
      <w:tr>
        <w:trPr/>
        <w:tc>
          <w:tcPr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color w:val="000000"/>
              </w:rPr>
              <w:t xml:space="preserve">Different Risks</w:t>
            </w:r>
            <w:r/>
          </w:p>
        </w:tc>
        <w:tc>
          <w:tcPr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color w:val="000000"/>
              </w:rPr>
              <w:t xml:space="preserve">3 cartes en accordéon : Risk 1, Risk 2, Risk 3 — une seule ouverte à la fois</w:t>
            </w:r>
            <w:r/>
          </w:p>
        </w:tc>
      </w:tr>
      <w:tr>
        <w:trPr/>
        <w:tc>
          <w:tcPr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color w:val="000000"/>
              </w:rPr>
              <w:t xml:space="preserve">Bouton Help</w:t>
            </w:r>
            <w:r/>
          </w:p>
        </w:tc>
        <w:tc>
          <w:tcPr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color w:val="000000"/>
              </w:rPr>
              <w:t xml:space="preserve">Ouvre une modale d'aide sur l'utilisation de la page</w:t>
            </w:r>
            <w:r/>
          </w:p>
        </w:tc>
      </w:tr>
      <w:tr>
        <w:trPr/>
        <w:tc>
          <w:tcPr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color w:val="000000"/>
              </w:rPr>
              <w:t xml:space="preserve">Bouton More infos</w:t>
            </w:r>
            <w:r/>
          </w:p>
        </w:tc>
        <w:tc>
          <w:tcPr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color w:val="000000"/>
              </w:rPr>
              <w:t xml:space="preserve">Ouvre une modale affichant l'auteur et la version de la page</w:t>
            </w:r>
            <w:r/>
          </w:p>
        </w:tc>
      </w:tr>
      <w:tr>
        <w:trPr/>
        <w:tc>
          <w:tcPr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color w:val="000000"/>
              </w:rPr>
              <w:t xml:space="preserve">Retour en haut</w:t>
            </w:r>
            <w:r/>
          </w:p>
        </w:tc>
        <w:tc>
          <w:tcPr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color w:val="000000"/>
              </w:rPr>
              <w:t xml:space="preserve">Bouton flottant, visible après 500px de défilement</w:t>
            </w:r>
            <w:r/>
          </w:p>
        </w:tc>
      </w:tr>
    </w:tbl>
    <w:p>
      <w:pPr>
        <w:pStyle w:val="706"/>
        <w:pBdr/>
        <w:spacing w:before="300"/>
        <w:ind/>
        <w:rPr>
          <w:highlight w:val="none"/>
        </w:rPr>
      </w:pPr>
      <w:r>
        <w:t xml:space="preserve">3. Les 3 risques retenus</w:t>
      </w:r>
      <w:r/>
    </w:p>
    <w:tbl>
      <w:tblPr>
        <w:tblW w:w="90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800"/>
        <w:gridCol w:w="3600"/>
        <w:gridCol w:w="3600"/>
      </w:tblGrid>
      <w:tr>
        <w:trPr/>
        <w:tc>
          <w:tcPr>
            <w:shd w:val="clear" w:color="auto" w:fill="1f2937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</w:rPr>
              <w:t xml:space="preserve">Carte</w:t>
            </w:r>
            <w:r/>
          </w:p>
        </w:tc>
        <w:tc>
          <w:tcPr>
            <w:shd w:val="clear" w:color="auto" w:fill="1f2937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W w:w="36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</w:rPr>
              <w:t xml:space="preserve">Thème</w:t>
            </w:r>
            <w:r/>
          </w:p>
        </w:tc>
        <w:tc>
          <w:tcPr>
            <w:shd w:val="clear" w:color="auto" w:fill="1f2937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W w:w="36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</w:rPr>
              <w:t xml:space="preserve">Source d'affiche suggérée (anglais)</w:t>
            </w:r>
            <w:r/>
          </w:p>
        </w:tc>
      </w:tr>
      <w:tr>
        <w:trPr/>
        <w:tc>
          <w:tcPr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color w:val="000000"/>
              </w:rPr>
              <w:t xml:space="preserve">Risk 1</w:t>
            </w:r>
            <w:r/>
          </w:p>
        </w:tc>
        <w:tc>
          <w:tcPr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color w:val="000000"/>
              </w:rPr>
              <w:t xml:space="preserve">Travail sur écran (Display Screen Equipment)</w:t>
            </w:r>
            <w:r/>
          </w:p>
        </w:tc>
        <w:tc>
          <w:tcPr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color w:val="000000"/>
              </w:rPr>
              <w:t xml:space="preserve">HSE — « Working with Display Screen Equipment »</w:t>
            </w:r>
            <w:r/>
          </w:p>
        </w:tc>
      </w:tr>
      <w:tr>
        <w:trPr/>
        <w:tc>
          <w:tcPr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color w:val="000000"/>
              </w:rPr>
              <w:t xml:space="preserve">Risk 2</w:t>
            </w:r>
            <w:r/>
          </w:p>
        </w:tc>
        <w:tc>
          <w:tcPr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color w:val="000000"/>
              </w:rPr>
              <w:t xml:space="preserve">Risques sociaux / psychosociaux</w:t>
            </w:r>
            <w:r/>
          </w:p>
        </w:tc>
        <w:tc>
          <w:tcPr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color w:val="000000"/>
              </w:rPr>
              <w:t xml:space="preserve">HSE — « Work-related stress »</w:t>
            </w:r>
            <w:r/>
          </w:p>
        </w:tc>
      </w:tr>
      <w:tr>
        <w:trPr/>
        <w:tc>
          <w:tcPr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color w:val="000000"/>
              </w:rPr>
              <w:t xml:space="preserve">Risk 3</w:t>
            </w:r>
            <w:r/>
          </w:p>
        </w:tc>
        <w:tc>
          <w:tcPr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color w:val="000000"/>
              </w:rPr>
              <w:t xml:space="preserve">Risques sur le corps et la santé (TMS)</w:t>
            </w:r>
            <w:r/>
          </w:p>
        </w:tc>
        <w:tc>
          <w:tcPr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color w:val="000000"/>
              </w:rPr>
              <w:t xml:space="preserve">HSE — « Musculoskeletal disorders (MSDs) »</w:t>
            </w:r>
            <w:r/>
          </w:p>
        </w:tc>
      </w:tr>
    </w:tbl>
    <w:p w14:paraId="2A93D190">
      <w:pPr>
        <w:pStyle w:val="706"/>
        <w:pBdr/>
        <w:spacing w:before="300"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06"/>
        <w:pBdr/>
        <w:spacing w:before="300"/>
        <w:ind/>
        <w:rPr>
          <w:highlight w:val="none"/>
        </w:rPr>
      </w:pPr>
      <w:r>
        <w:t xml:space="preserve">4. Étapes déjà réalisées</w:t>
      </w:r>
      <w:r/>
    </w:p>
    <w:p>
      <w:pPr>
        <w:pStyle w:val="713"/>
        <w:numPr>
          <w:ilvl w:val="0"/>
          <w:numId w:val="1"/>
        </w:numPr>
        <w:pBdr/>
        <w:spacing/>
        <w:ind/>
        <w:rPr/>
      </w:pPr>
      <w:r>
        <w:t xml:space="preserve">Squelette HTML complet (header, intro, galerie, 3 cartes, boutons).</w:t>
      </w:r>
      <w:r/>
    </w:p>
    <w:p>
      <w:pPr>
        <w:pStyle w:val="713"/>
        <w:numPr>
          <w:ilvl w:val="0"/>
          <w:numId w:val="1"/>
        </w:numPr>
        <w:pBdr/>
        <w:spacing/>
        <w:ind/>
        <w:rPr/>
      </w:pPr>
      <w:r>
        <w:t xml:space="preserve">Feuille de style reprenant les tokens de couleur du site Black Goku (fond sombre, cartes, accents).</w:t>
      </w:r>
      <w:r/>
    </w:p>
    <w:p>
      <w:pPr>
        <w:pStyle w:val="713"/>
        <w:numPr>
          <w:ilvl w:val="0"/>
          <w:numId w:val="1"/>
        </w:numPr>
        <w:pBdr/>
        <w:spacing/>
        <w:ind/>
        <w:rPr/>
      </w:pPr>
      <w:r>
        <w:t xml:space="preserve">Accordéon fonctionnel : ouverture/fermeture au clic, une seule carte ouverte à la fois.</w:t>
      </w:r>
      <w:r/>
    </w:p>
    <w:p>
      <w:pPr>
        <w:pStyle w:val="713"/>
        <w:numPr>
          <w:ilvl w:val="0"/>
          <w:numId w:val="1"/>
        </w:numPr>
        <w:pBdr/>
        <w:spacing/>
        <w:ind/>
        <w:rPr/>
      </w:pPr>
      <w:r>
        <w:t xml:space="preserve">Modale « Help » (aide à l'utilisation).</w:t>
      </w:r>
      <w:r/>
    </w:p>
    <w:p>
      <w:pPr>
        <w:pStyle w:val="713"/>
        <w:numPr>
          <w:ilvl w:val="0"/>
          <w:numId w:val="1"/>
        </w:numPr>
        <w:pBdr/>
        <w:spacing/>
        <w:ind/>
        <w:rPr/>
      </w:pPr>
      <w:r>
        <w:t xml:space="preserve">Modale « More infos » (auteur + version), avec fonction JS générique réutilisable pour les deux modales.</w:t>
      </w:r>
      <w:r/>
    </w:p>
    <w:p>
      <w:pPr>
        <w:pStyle w:val="713"/>
        <w:numPr>
          <w:ilvl w:val="0"/>
          <w:numId w:val="1"/>
        </w:numPr>
        <w:pBdr/>
        <w:spacing/>
        <w:ind/>
        <w:rPr/>
      </w:pPr>
      <w:r>
        <w:t xml:space="preserve">Bouton « Retour en haut », repris du site Black Goku.</w:t>
      </w:r>
      <w:r/>
    </w:p>
    <w:p w14:paraId="3AC9D4A1">
      <w:pPr>
        <w:pStyle w:val="706"/>
        <w:pBdr/>
        <w:spacing w:before="300"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06"/>
        <w:pBdr/>
        <w:spacing w:before="300"/>
        <w:ind/>
        <w:rPr>
          <w:highlight w:val="none"/>
        </w:rPr>
      </w:pPr>
      <w:r>
        <w:t xml:space="preserve">5. Ce qu'il reste à faire</w:t>
      </w:r>
      <w:r/>
    </w:p>
    <w:p>
      <w:pPr>
        <w:pStyle w:val="713"/>
        <w:numPr>
          <w:ilvl w:val="0"/>
          <w:numId w:val="1"/>
        </w:numPr>
        <w:pBdr/>
        <w:spacing/>
        <w:ind/>
        <w:rPr/>
      </w:pPr>
      <w:r>
        <w:t xml:space="preserve">Rédiger les textes complets (en anglais) des 3 cartes Risk 1 / 2 / 3.</w:t>
      </w:r>
      <w:r/>
    </w:p>
    <w:p>
      <w:pPr>
        <w:pStyle w:val="713"/>
        <w:numPr>
          <w:ilvl w:val="0"/>
          <w:numId w:val="1"/>
        </w:numPr>
        <w:pBdr/>
        <w:spacing/>
        <w:ind/>
        <w:rPr/>
      </w:pPr>
      <w:r>
        <w:t xml:space="preserve">Choisir et intégrer les images des affiches (galerie « Affiches sur les différents types de risques »).</w:t>
      </w:r>
      <w:r/>
    </w:p>
    <w:p>
      <w:pPr>
        <w:pStyle w:val="713"/>
        <w:numPr>
          <w:ilvl w:val="0"/>
          <w:numId w:val="1"/>
        </w:numPr>
        <w:pBdr/>
        <w:spacing/>
        <w:ind/>
        <w:rPr/>
      </w:pPr>
      <w:r>
        <w:t xml:space="preserve">Rédiger le texte définitif de l'introduction.</w:t>
      </w:r>
      <w:r/>
    </w:p>
    <w:p>
      <w:pPr>
        <w:pStyle w:val="713"/>
        <w:numPr>
          <w:ilvl w:val="0"/>
          <w:numId w:val="1"/>
        </w:numPr>
        <w:pBdr/>
        <w:spacing/>
        <w:ind/>
        <w:rPr/>
      </w:pPr>
      <w:r>
        <w:t xml:space="preserve">Mettre à jour le champ Version dans la modale « More infos » au fil des évolutions.</w:t>
      </w:r>
      <w:r/>
    </w:p>
    <w:p>
      <w:pPr>
        <w:pStyle w:val="713"/>
        <w:numPr>
          <w:ilvl w:val="0"/>
          <w:numId w:val="1"/>
        </w:numPr>
        <w:pBdr/>
        <w:spacing/>
        <w:ind/>
        <w:rPr/>
      </w:pPr>
      <w:r>
        <w:t xml:space="preserve">Vérifier l'affichage sur mobile (accordéon, boutons flottants).</w:t>
      </w:r>
      <w:r/>
    </w:p>
    <w:sectPr>
      <w:footnotePr/>
      <w:endnotePr/>
      <w:type w:val="nextPage"/>
      <w:pgSz w:h="16838" w:orient="portrait" w:w="11906"/>
      <w:pgMar w:top="1440" w:right="1440" w:bottom="1440" w:left="144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fr-FR" w:eastAsia="zh-CN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0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0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0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0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1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0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05">
    <w:name w:val="Title"/>
    <w:qFormat/>
    <w:pPr>
      <w:pBdr/>
      <w:spacing/>
      <w:ind/>
    </w:pPr>
    <w:rPr>
      <w:sz w:val="56"/>
      <w:szCs w:val="56"/>
    </w:rPr>
  </w:style>
  <w:style w:type="paragraph" w:styleId="706">
    <w:name w:val="Heading 1"/>
    <w:qFormat/>
    <w:pPr>
      <w:pBdr/>
      <w:spacing/>
      <w:ind/>
    </w:pPr>
    <w:rPr>
      <w:color w:val="2e74b5"/>
      <w:sz w:val="32"/>
      <w:szCs w:val="32"/>
    </w:rPr>
  </w:style>
  <w:style w:type="paragraph" w:styleId="707">
    <w:name w:val="Heading 2"/>
    <w:qFormat/>
    <w:pPr>
      <w:pBdr/>
      <w:spacing/>
      <w:ind/>
    </w:pPr>
    <w:rPr>
      <w:color w:val="2e74b5"/>
      <w:sz w:val="26"/>
      <w:szCs w:val="26"/>
    </w:rPr>
  </w:style>
  <w:style w:type="paragraph" w:styleId="708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709">
    <w:name w:val="Heading 4"/>
    <w:qFormat/>
    <w:pPr>
      <w:pBdr/>
      <w:spacing/>
      <w:ind/>
    </w:pPr>
    <w:rPr>
      <w:i/>
      <w:iCs/>
      <w:color w:val="2e74b5"/>
    </w:rPr>
  </w:style>
  <w:style w:type="paragraph" w:styleId="710">
    <w:name w:val="Heading 5"/>
    <w:qFormat/>
    <w:pPr>
      <w:pBdr/>
      <w:spacing/>
      <w:ind/>
    </w:pPr>
    <w:rPr>
      <w:color w:val="2e74b5"/>
    </w:rPr>
  </w:style>
  <w:style w:type="paragraph" w:styleId="711">
    <w:name w:val="Heading 6"/>
    <w:qFormat/>
    <w:pPr>
      <w:pBdr/>
      <w:spacing/>
      <w:ind/>
    </w:pPr>
    <w:rPr>
      <w:color w:val="1f4d78"/>
    </w:rPr>
  </w:style>
  <w:style w:type="paragraph" w:styleId="712">
    <w:name w:val="Strong"/>
    <w:qFormat/>
    <w:pPr>
      <w:pBdr/>
      <w:spacing/>
      <w:ind/>
    </w:pPr>
    <w:rPr>
      <w:b/>
      <w:bCs/>
    </w:rPr>
  </w:style>
  <w:style w:type="paragraph" w:styleId="713">
    <w:name w:val="List Paragraph"/>
    <w:qFormat/>
    <w:pPr>
      <w:pBdr/>
      <w:spacing/>
      <w:ind/>
    </w:pPr>
  </w:style>
  <w:style w:type="character" w:styleId="714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15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16">
    <w:name w:val="footnote text"/>
    <w:link w:val="71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17">
    <w:name w:val="Footnote Text Char"/>
    <w:link w:val="716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18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19">
    <w:name w:val="endnote text"/>
    <w:link w:val="72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20">
    <w:name w:val="Endnote Text Char"/>
    <w:link w:val="719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2026-09-26T15:36:54Z</dcterms:created>
  <dcterms:modified xsi:type="dcterms:W3CDTF">2026-09-26T15:40:52Z</dcterms:modified>
</cp:coreProperties>
</file>