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00" w:after="200"/>
        <w:ind w:left="0" w:right="0" w:hanging="0"/>
        <w:rPr>
          <w:rFonts w:ascii="Google Sans" w:hAnsi="Google Sans" w:eastAsia="Google Sans" w:cs="Google Sans"/>
          <w:b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report analysis</w: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chart as a way to practice applying the NIST framework to different situations you encounter.</w:t>
      </w:r>
    </w:p>
    <w:tbl>
      <w:tblPr>
        <w:tblStyle w:val="Table1"/>
        <w:tblW w:w="10080" w:type="dxa"/>
        <w:jc w:val="left"/>
        <w:tblInd w:w="-38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Summary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</w:rPr>
              <w:t>A problem with the network occurred today causing a disruption in accessing company resources. This impacted the business where the network service was unresponsive for approximately 2 hours.Throughout the course of the investigation the cybersecurity team discovered that a continuous transmission of ICMP packets was flooding the network through an unconfigured firewall. This indicated that a bad actor took advantage of our security flaws via a DDOS attack. The incident management team managed to block all ICMP traffic  where they gradually restored critical network services.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Identify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</w:rPr>
              <w:t xml:space="preserve">The incident management team throughout their investigation performed an analysis  where they identified that a DDOS attack was occurring </w:t>
            </w:r>
            <w:r>
              <w:rPr>
                <w:rFonts w:eastAsia="Google Sans" w:cs="Google Sans" w:ascii="Google Sans" w:hAnsi="Google Sans"/>
              </w:rPr>
              <w:t>which impacted the entire internal network.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Protect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b w:val="false"/>
                <w:bCs w:val="false"/>
              </w:rPr>
              <w:t>As a preventative and security hardening measure t</w:t>
            </w:r>
            <w:r>
              <w:rPr>
                <w:rFonts w:eastAsia="Google Sans" w:cs="Google Sans" w:ascii="Google Sans" w:hAnsi="Google Sans"/>
                <w:b w:val="false"/>
                <w:bCs w:val="false"/>
              </w:rPr>
              <w:t>he nework security team configured the firewall rules to control the flow of inbound ICMP data pack</w:t>
            </w:r>
            <w:r>
              <w:rPr>
                <w:rFonts w:eastAsia="Google Sans" w:cs="Google Sans" w:ascii="Google Sans" w:hAnsi="Google Sans"/>
                <w:b w:val="false"/>
                <w:bCs w:val="false"/>
              </w:rPr>
              <w:t>e</w:t>
            </w:r>
            <w:r>
              <w:rPr>
                <w:rFonts w:eastAsia="Google Sans" w:cs="Google Sans" w:ascii="Google Sans" w:hAnsi="Google Sans"/>
                <w:b w:val="false"/>
                <w:bCs w:val="false"/>
              </w:rPr>
              <w:t>ts.</w:t>
            </w:r>
          </w:p>
        </w:tc>
      </w:tr>
      <w:tr>
        <w:trPr>
          <w:trHeight w:val="63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Detect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360"/>
              <w:ind w:left="0" w:hanging="0"/>
              <w:rPr/>
            </w:pPr>
            <w:r>
              <w:rPr>
                <w:rFonts w:eastAsia="Google Sans" w:cs="Google Sans" w:ascii="Google Sans" w:hAnsi="Google Sans"/>
              </w:rPr>
              <w:t>N</w:t>
            </w:r>
            <w:r>
              <w:rPr>
                <w:rFonts w:eastAsia="Google Sans" w:cs="Google Sans" w:ascii="Google Sans" w:hAnsi="Google Sans"/>
              </w:rPr>
              <w:t>e</w:t>
            </w:r>
            <w:r>
              <w:rPr>
                <w:rFonts w:eastAsia="Google Sans" w:cs="Google Sans" w:ascii="Google Sans" w:hAnsi="Google Sans"/>
              </w:rPr>
              <w:t xml:space="preserve">twork monitoring software was </w:t>
            </w:r>
            <w:r>
              <w:rPr>
                <w:rFonts w:eastAsia="Google Sans" w:cs="Google Sans" w:ascii="Google Sans" w:hAnsi="Google Sans"/>
              </w:rPr>
              <w:t>implmented</w:t>
            </w:r>
            <w:r>
              <w:rPr>
                <w:rFonts w:eastAsia="Google Sans" w:cs="Google Sans" w:ascii="Google Sans" w:hAnsi="Google Sans"/>
              </w:rPr>
              <w:t xml:space="preserve"> in order to detect irregularities with abnormal network traffic. IDS/ IPS system w</w:t>
            </w:r>
            <w:r>
              <w:rPr>
                <w:rFonts w:eastAsia="Google Sans" w:cs="Google Sans" w:ascii="Google Sans" w:hAnsi="Google Sans"/>
              </w:rPr>
              <w:t>ill be implemented</w:t>
            </w:r>
            <w:r>
              <w:rPr>
                <w:rFonts w:eastAsia="Google Sans" w:cs="Google Sans" w:ascii="Google Sans" w:hAnsi="Google Sans"/>
              </w:rPr>
              <w:t xml:space="preserve"> in order to filter traffic that we deem as suspicious.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Respond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</w:rPr>
              <w:t xml:space="preserve">Once the organisation based on their analysis from </w:t>
            </w:r>
            <w:r>
              <w:rPr>
                <w:rFonts w:eastAsia="Google Sans" w:cs="Google Sans" w:ascii="Google Sans" w:hAnsi="Google Sans"/>
              </w:rPr>
              <w:t xml:space="preserve">network </w:t>
            </w:r>
            <w:r>
              <w:rPr>
                <w:rFonts w:eastAsia="Google Sans" w:cs="Google Sans" w:ascii="Google Sans" w:hAnsi="Google Sans"/>
              </w:rPr>
              <w:t xml:space="preserve">monitoring software </w:t>
            </w:r>
            <w:r>
              <w:rPr>
                <w:rFonts w:eastAsia="Google Sans" w:cs="Google Sans" w:ascii="Google Sans" w:hAnsi="Google Sans"/>
              </w:rPr>
              <w:t>dtermines that an</w:t>
            </w:r>
            <w:r>
              <w:rPr>
                <w:rFonts w:eastAsia="Google Sans" w:cs="Google Sans" w:ascii="Google Sans" w:hAnsi="Google Sans"/>
              </w:rPr>
              <w:t xml:space="preserve"> attack </w:t>
            </w:r>
            <w:r>
              <w:rPr>
                <w:rFonts w:eastAsia="Google Sans" w:cs="Google Sans" w:ascii="Google Sans" w:hAnsi="Google Sans"/>
              </w:rPr>
              <w:t>pattern is occuring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  <w:r>
              <w:rPr>
                <w:rFonts w:eastAsia="Google Sans" w:cs="Google Sans" w:ascii="Google Sans" w:hAnsi="Google Sans"/>
              </w:rPr>
              <w:t xml:space="preserve">incoming ICMP traffic </w:t>
            </w:r>
            <w:r>
              <w:rPr>
                <w:rFonts w:eastAsia="Google Sans" w:cs="Google Sans" w:ascii="Google Sans" w:hAnsi="Google Sans"/>
              </w:rPr>
              <w:t>will be blocked. N</w:t>
            </w:r>
            <w:r>
              <w:rPr>
                <w:rFonts w:eastAsia="Google Sans" w:cs="Google Sans" w:ascii="Google Sans" w:hAnsi="Google Sans"/>
              </w:rPr>
              <w:t>on-critical services w</w:t>
            </w:r>
            <w:r>
              <w:rPr>
                <w:rFonts w:eastAsia="Google Sans" w:cs="Google Sans" w:ascii="Google Sans" w:hAnsi="Google Sans"/>
              </w:rPr>
              <w:t>ill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  <w:r>
              <w:rPr>
                <w:rFonts w:eastAsia="Google Sans" w:cs="Google Sans" w:ascii="Google Sans" w:hAnsi="Google Sans"/>
              </w:rPr>
              <w:t>be t</w:t>
            </w:r>
            <w:r>
              <w:rPr>
                <w:rFonts w:eastAsia="Google Sans" w:cs="Google Sans" w:ascii="Google Sans" w:hAnsi="Google Sans"/>
              </w:rPr>
              <w:t>ake</w:t>
            </w:r>
            <w:r>
              <w:rPr>
                <w:rFonts w:eastAsia="Google Sans" w:cs="Google Sans" w:ascii="Google Sans" w:hAnsi="Google Sans"/>
              </w:rPr>
              <w:t xml:space="preserve">n </w:t>
            </w:r>
            <w:r>
              <w:rPr>
                <w:rFonts w:eastAsia="Google Sans" w:cs="Google Sans" w:ascii="Google Sans" w:hAnsi="Google Sans"/>
              </w:rPr>
              <w:t xml:space="preserve">down and </w:t>
            </w:r>
            <w:r>
              <w:rPr>
                <w:rFonts w:eastAsia="Google Sans" w:cs="Google Sans" w:ascii="Google Sans" w:hAnsi="Google Sans"/>
              </w:rPr>
              <w:t xml:space="preserve">were took </w:t>
            </w:r>
            <w:r>
              <w:rPr>
                <w:rFonts w:eastAsia="Google Sans" w:cs="Google Sans" w:ascii="Google Sans" w:hAnsi="Google Sans"/>
              </w:rPr>
              <w:t>offline.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Recover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 </w:t>
            </w:r>
            <w:r>
              <w:rPr>
                <w:rFonts w:eastAsia="Google Sans" w:cs="Google Sans" w:ascii="Google Sans" w:hAnsi="Google Sans"/>
              </w:rPr>
              <w:t xml:space="preserve">During the IT restauration process the cybersecurity team returned crtical network services back to normal </w:t>
            </w:r>
            <w:r>
              <w:rPr>
                <w:rFonts w:eastAsia="Google Sans" w:cs="Google Sans" w:ascii="Google Sans" w:hAnsi="Google Sans"/>
              </w:rPr>
              <w:t>operations</w:t>
            </w:r>
            <w:r>
              <w:rPr>
                <w:rFonts w:eastAsia="Google Sans" w:cs="Google Sans" w:ascii="Google Sans" w:hAnsi="Google Sans"/>
              </w:rPr>
              <w:t>.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2"/>
        <w:tblW w:w="10080" w:type="dxa"/>
        <w:jc w:val="left"/>
        <w:tblInd w:w="-38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0080"/>
      </w:tblGrid>
      <w:tr>
        <w:trPr/>
        <w:tc>
          <w:tcPr>
            <w:tcW w:w="10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Reflections/Notes:</w:t>
            </w:r>
          </w:p>
        </w:tc>
      </w:tr>
    </w:tbl>
    <w:p>
      <w:pPr>
        <w:pStyle w:val="Normal"/>
        <w:spacing w:lineRule="auto" w:line="360"/>
        <w:ind w:left="0" w:right="0" w:hanging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inline distT="0" distB="0" distL="0" distR="0">
          <wp:extent cx="1096645" cy="81407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941" t="28612" r="18909" b="26278"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814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244</TotalTime>
  <Application>LibreOffice/5.0.2.2$MacOSX_X86_64 LibreOffice_project/37b43f919e4de5eeaca9b9755ed688758a8251fe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2024-02-29T14:13:52Z</dcterms:modified>
  <cp:revision>13</cp:revision>
</cp:coreProperties>
</file>