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0" w:after="200"/>
        <w:ind w:left="0" w:right="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Table1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 problem with the network occurred today causing a disruption in accessing company resources. This impacted the business where the network service was unresponsive for approximately 2 hours.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Throughout the course of the investigation the cybersecurity team discovered that a continuous transmission of ICMP packets was flooding the network through an unconfigured firewall. This indicated that a bad actor took advantage of our security flaws via a DDOS attack.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incident management team managed to block all ICMP traffic  where they gradually restored critical network services.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incident management team throughout their investigation performed an analysis  where they identified that a DDOS attack was occurring throughout the network. 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 w:val="false"/>
                <w:b w:val="false"/>
                <w:bCs w:val="false"/>
              </w:rPr>
            </w:pPr>
            <w:r>
              <w:rPr>
                <w:rFonts w:eastAsia="Google Sans" w:cs="Google Sans" w:ascii="Google Sans" w:hAnsi="Google Sans"/>
                <w:b w:val="false"/>
                <w:bCs w:val="false"/>
              </w:rPr>
              <w:t>The nework security team configured the firewall rules to control the flow of inbound ICMP data packts</w:t>
            </w:r>
          </w:p>
        </w:tc>
      </w:tr>
      <w:tr>
        <w:trPr>
          <w:trHeight w:val="63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Detect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ind w:left="0" w:hanging="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Ntwork monitoring software was used in order to detect irregularities with abnormal network traffic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IDS/ IPS system was implemented in order to filter traffic that we deemed as suspicious. Incident management team blocked incoming ICMP traffic where non-critical services were take down and offline.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>During the IT restauration process the cybersecurity team returned crtical network services back to normal.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Reflections/Notes: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1096645" cy="81407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41" t="28612" r="18909" b="26278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LibreOffice/5.0.2.2$MacOSX_X86_64 LibreOffice_project/37b43f919e4de5eeaca9b9755ed688758a8251fe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2024-02-28T21:36:39Z</dcterms:modified>
  <cp:revision>2</cp:revision>
</cp:coreProperties>
</file>