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97a7"/>
          <w:sz w:val="36"/>
          <w:szCs w:val="36"/>
        </w:rPr>
      </w:pPr>
      <w:r w:rsidDel="00000000" w:rsidR="00000000" w:rsidRPr="00000000">
        <w:rPr>
          <w:b w:val="1"/>
          <w:color w:val="0097a7"/>
          <w:sz w:val="36"/>
          <w:szCs w:val="36"/>
          <w:rtl w:val="0"/>
        </w:rPr>
        <w:t xml:space="preserve">Project Ederson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97a7"/>
          <w:sz w:val="24"/>
          <w:szCs w:val="24"/>
        </w:rPr>
      </w:pPr>
      <w:r w:rsidDel="00000000" w:rsidR="00000000" w:rsidRPr="00000000">
        <w:rPr>
          <w:b w:val="1"/>
          <w:color w:val="0097a7"/>
          <w:sz w:val="24"/>
          <w:szCs w:val="24"/>
          <w:rtl w:val="0"/>
        </w:rPr>
        <w:t xml:space="preserve">Secured Development Debt Facility</w:t>
      </w:r>
    </w:p>
    <w:p w:rsidR="00000000" w:rsidDel="00000000" w:rsidP="00000000" w:rsidRDefault="00000000" w:rsidRPr="00000000" w14:paraId="00000003">
      <w:pPr>
        <w:widowControl w:val="1"/>
        <w:spacing w:line="275" w:lineRule="auto"/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0f0f0f"/>
          <w:sz w:val="22"/>
          <w:szCs w:val="22"/>
          <w:rtl w:val="0"/>
        </w:rPr>
        <w:t xml:space="preserve">Secured Facility for the Refinancing &amp; Development of a PV &amp; BESS portfolio in Italy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27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3"/>
        <w:gridCol w:w="6657"/>
        <w:tblGridChange w:id="0">
          <w:tblGrid>
            <w:gridCol w:w="2853"/>
            <w:gridCol w:w="6657"/>
          </w:tblGrid>
        </w:tblGridChange>
      </w:tblGrid>
      <w:tr>
        <w:trPr>
          <w:cantSplit w:val="0"/>
          <w:trHeight w:val="180" w:hRule="atLeast"/>
          <w:tblHeader w:val="0"/>
        </w:trPr>
        <w:tc>
          <w:tcPr>
            <w:gridSpan w:val="2"/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widowControl w:val="1"/>
              <w:spacing w:after="105" w:before="105" w:lineRule="auto"/>
              <w:ind w:right="75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TERMS AND CONDITIONS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Senior facility secured by a solar PV portfolio in Italy encompassing 18 solar PV projects under development for a total of 1.16GW installed capacity and 23 Battery Energy Storage Systems (“BESS”) units for a total of 2.81GWn installed capacity.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PV Plants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PV Plants under development encompassing the Project (each, a “PV Plant”).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BESS Units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Battery Energy Storage Systems (“BESS”) under development encompassing the Project (each, a “BESS unit”).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Enerside Energy S.A.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Borrower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Italian HoldCo 100% owned by the Sponsor. The Borrower owns or will own 100% of the shares of the SPVs owning the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[TBD].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Coordinating Entity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Alter5 Financial Technologies, S.L. (“Alter5”).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of the Financing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Refinancing of existing debt facilities and development costs.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Financing Amount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widowControl w:val="1"/>
              <w:spacing w:after="105" w:before="105" w:lineRule="auto"/>
              <w:ind w:left="75" w:right="75" w:firstLine="0"/>
              <w:rPr/>
            </w:pPr>
            <w:r w:rsidDel="00000000" w:rsidR="00000000" w:rsidRPr="00000000">
              <w:rPr>
                <w:rtl w:val="0"/>
              </w:rPr>
              <w:t xml:space="preserve">Up to 60 million euro.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Upfront Fee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2.50% over the total Financing Amount. The Upfront Fee will be deducted from the Financing Amount on the closing date of the Financing.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Interest Rate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10.50%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Interest Period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05" w:before="105" w:lineRule="auto"/>
              <w:ind w:left="75" w:right="75" w:firstLine="0"/>
              <w:rPr/>
            </w:pPr>
            <w:r w:rsidDel="00000000" w:rsidR="00000000" w:rsidRPr="00000000">
              <w:rPr>
                <w:rtl w:val="0"/>
              </w:rPr>
              <w:t xml:space="preserve">Three months. Payment in Kind.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 Interest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Interest Rate plus three (3)% percentage points.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Availability Period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 months from signing 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Commitment Fee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30% of Interest Rate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Early Repayment Fee / MOIC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1.5x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Drawdowns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Maximum of [12] drawdowns. Required equity will have been disbursed prior to the first drawdown.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 Maturity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1"/>
              <w:spacing w:after="105" w:before="105" w:line="264" w:lineRule="auto"/>
              <w:ind w:right="7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5 years from the signing of the financing agreement.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Amortization Profile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Bullet.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Loan to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widowControl w:val="1"/>
              <w:spacing w:line="264" w:lineRule="auto"/>
              <w:ind w:right="8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45%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First Drawdown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widowControl w:val="1"/>
              <w:spacing w:after="105" w:before="105" w:line="264" w:lineRule="auto"/>
              <w:ind w:right="75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30/06/2025.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Sale and Purchase Agreements (SPAs)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existing and future Sale and Purchase Agreements signed between the Borrower and/or the Sponsor and the buyers for the acquisition of the PV Plants.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Conditions Precedent to Signing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customary for this type of financing including among others:</w:t>
            </w:r>
          </w:p>
          <w:p w:rsidR="00000000" w:rsidDel="00000000" w:rsidP="00000000" w:rsidRDefault="00000000" w:rsidRPr="00000000" w14:paraId="00000036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ind w:left="75" w:right="75" w:firstLine="0"/>
              <w:jc w:val="both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- Satisfactory due diligence of the Project and confirmation of the current status of the plants;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Release of any existing pledge over the Project;</w:t>
            </w:r>
          </w:p>
          <w:p w:rsidR="00000000" w:rsidDel="00000000" w:rsidP="00000000" w:rsidRDefault="00000000" w:rsidRPr="00000000" w14:paraId="00000039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Signing of the Guarantee Package;</w:t>
            </w:r>
          </w:p>
          <w:p w:rsidR="00000000" w:rsidDel="00000000" w:rsidP="00000000" w:rsidRDefault="00000000" w:rsidRPr="00000000" w14:paraId="0000003A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- 2024 Project valuation report from a reputable third-party;</w:t>
            </w:r>
          </w:p>
          <w:p w:rsidR="00000000" w:rsidDel="00000000" w:rsidP="00000000" w:rsidRDefault="00000000" w:rsidRPr="00000000" w14:paraId="0000003B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Signed NBO and exclusivity granted to a reputable investor for the sale of at least 25% of the Financing Amount.</w:t>
            </w:r>
          </w:p>
          <w:p w:rsidR="00000000" w:rsidDel="00000000" w:rsidP="00000000" w:rsidRDefault="00000000" w:rsidRPr="00000000" w14:paraId="0000003C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Conditions Precedents to Drawdown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Financing will be subject to, among others, the following:</w:t>
            </w:r>
          </w:p>
          <w:p w:rsidR="00000000" w:rsidDel="00000000" w:rsidP="00000000" w:rsidRDefault="00000000" w:rsidRPr="00000000" w14:paraId="0000003F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Fulfillment of the Conditions Precedent to Signing;</w:t>
            </w:r>
          </w:p>
          <w:p w:rsidR="00000000" w:rsidDel="00000000" w:rsidP="00000000" w:rsidRDefault="00000000" w:rsidRPr="00000000" w14:paraId="00000041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Any required update of the Project valuation report;</w:t>
            </w:r>
          </w:p>
          <w:p w:rsidR="00000000" w:rsidDel="00000000" w:rsidP="00000000" w:rsidRDefault="00000000" w:rsidRPr="00000000" w14:paraId="00000042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Absence of any material adverse change in the development of the PV Plants;</w:t>
            </w:r>
          </w:p>
          <w:p w:rsidR="00000000" w:rsidDel="00000000" w:rsidP="00000000" w:rsidRDefault="00000000" w:rsidRPr="00000000" w14:paraId="00000043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Fulfillment of a Maximum Loan to Value ratio of 45%</w:t>
            </w:r>
          </w:p>
          <w:p w:rsidR="00000000" w:rsidDel="00000000" w:rsidP="00000000" w:rsidRDefault="00000000" w:rsidRPr="00000000" w14:paraId="00000044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Mandatory Prepayment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mandatory prepayment of the financing will take place, in its entirety, in any of the following cases:</w:t>
            </w:r>
          </w:p>
          <w:p w:rsidR="00000000" w:rsidDel="00000000" w:rsidP="00000000" w:rsidRDefault="00000000" w:rsidRPr="00000000" w14:paraId="00000047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Event of Default;</w:t>
            </w:r>
          </w:p>
          <w:p w:rsidR="00000000" w:rsidDel="00000000" w:rsidP="00000000" w:rsidRDefault="00000000" w:rsidRPr="00000000" w14:paraId="00000048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Change of Control without the prior authorization of the Lender;</w:t>
            </w:r>
          </w:p>
          <w:p w:rsidR="00000000" w:rsidDel="00000000" w:rsidP="00000000" w:rsidRDefault="00000000" w:rsidRPr="00000000" w14:paraId="00000049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Termination of any SPA;</w:t>
            </w:r>
          </w:p>
          <w:p w:rsidR="00000000" w:rsidDel="00000000" w:rsidP="00000000" w:rsidRDefault="00000000" w:rsidRPr="00000000" w14:paraId="0000004A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Transfer of Project assets;</w:t>
            </w:r>
          </w:p>
          <w:p w:rsidR="00000000" w:rsidDel="00000000" w:rsidP="00000000" w:rsidRDefault="00000000" w:rsidRPr="00000000" w14:paraId="0000004B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Abandonment, termination or suspension of the exploitation of the Project or any of the PV Plants.</w:t>
            </w:r>
          </w:p>
          <w:p w:rsidR="00000000" w:rsidDel="00000000" w:rsidP="00000000" w:rsidRDefault="00000000" w:rsidRPr="00000000" w14:paraId="0000004C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Cash sweep / Mandatory Prepayments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widowControl w:val="1"/>
              <w:ind w:left="90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100% of the net cash received from completed sales (Palmadula &amp; Torremaggiore); 80% of the net cash received from ongoing sale processes in Italy (BESS Italy); and 30% of the net cash received from future sale processes, subject at all times to a LTV of [45]% or lower.</w:t>
            </w:r>
          </w:p>
          <w:p w:rsidR="00000000" w:rsidDel="00000000" w:rsidP="00000000" w:rsidRDefault="00000000" w:rsidRPr="00000000" w14:paraId="0000004F">
            <w:pPr>
              <w:widowControl w:val="1"/>
              <w:ind w:left="90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ind w:left="90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If LTV results higher than [45]% at any point in time, the applicable cash sweep percentages shall be increased as necessary to restore the LTV to 45%.</w:t>
            </w:r>
          </w:p>
          <w:p w:rsidR="00000000" w:rsidDel="00000000" w:rsidP="00000000" w:rsidRDefault="00000000" w:rsidRPr="00000000" w14:paraId="00000051">
            <w:pPr>
              <w:widowControl w:val="1"/>
              <w:ind w:left="90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of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change of control shall occur without prior authorisation from the Lender.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Event of 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Those that are customary in a financing agreement of these characteristics that are agreed between the Lender and the Borrower and which might include, among others:</w:t>
            </w:r>
          </w:p>
          <w:p w:rsidR="00000000" w:rsidDel="00000000" w:rsidP="00000000" w:rsidRDefault="00000000" w:rsidRPr="00000000" w14:paraId="00000056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Failure to pay interest or principal;</w:t>
            </w:r>
          </w:p>
          <w:p w:rsidR="00000000" w:rsidDel="00000000" w:rsidP="00000000" w:rsidRDefault="00000000" w:rsidRPr="00000000" w14:paraId="00000057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Termination of more than 5 SPAs;</w:t>
            </w:r>
          </w:p>
          <w:p w:rsidR="00000000" w:rsidDel="00000000" w:rsidP="00000000" w:rsidRDefault="00000000" w:rsidRPr="00000000" w14:paraId="00000058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Suspension or cancellation of any of the permits licenses or authorizations of at more than 30% of the plants;</w:t>
            </w:r>
          </w:p>
          <w:p w:rsidR="00000000" w:rsidDel="00000000" w:rsidP="00000000" w:rsidRDefault="00000000" w:rsidRPr="00000000" w14:paraId="00000059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Abandonment of more than 3 PV Plants.</w:t>
            </w:r>
          </w:p>
          <w:p w:rsidR="00000000" w:rsidDel="00000000" w:rsidP="00000000" w:rsidRDefault="00000000" w:rsidRPr="00000000" w14:paraId="0000005A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Any breach of the clauses and covenants of the financing agreement;</w:t>
            </w:r>
          </w:p>
          <w:p w:rsidR="00000000" w:rsidDel="00000000" w:rsidP="00000000" w:rsidRDefault="00000000" w:rsidRPr="00000000" w14:paraId="0000005B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Insolvency situation or bankruptcy;</w:t>
            </w:r>
          </w:p>
          <w:p w:rsidR="00000000" w:rsidDel="00000000" w:rsidP="00000000" w:rsidRDefault="00000000" w:rsidRPr="00000000" w14:paraId="0000005C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Illegality;</w:t>
            </w:r>
          </w:p>
          <w:p w:rsidR="00000000" w:rsidDel="00000000" w:rsidP="00000000" w:rsidRDefault="00000000" w:rsidRPr="00000000" w14:paraId="0000005D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Other events standard for this type of financing.</w:t>
            </w:r>
          </w:p>
          <w:p w:rsidR="00000000" w:rsidDel="00000000" w:rsidP="00000000" w:rsidRDefault="00000000" w:rsidRPr="00000000" w14:paraId="0000005E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Security Package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Guarantees granted by the Borrower:</w:t>
            </w:r>
          </w:p>
          <w:p w:rsidR="00000000" w:rsidDel="00000000" w:rsidP="00000000" w:rsidRDefault="00000000" w:rsidRPr="00000000" w14:paraId="00000061">
            <w:pPr>
              <w:widowControl w:val="1"/>
              <w:spacing w:line="264" w:lineRule="auto"/>
              <w:ind w:left="141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(a) Share pledge of HoldCo shares</w:t>
            </w:r>
          </w:p>
          <w:p w:rsidR="00000000" w:rsidDel="00000000" w:rsidP="00000000" w:rsidRDefault="00000000" w:rsidRPr="00000000" w14:paraId="00000062">
            <w:pPr>
              <w:widowControl w:val="1"/>
              <w:spacing w:line="264" w:lineRule="auto"/>
              <w:ind w:left="141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(b) Pledge of shareholder loan agreements</w:t>
            </w:r>
          </w:p>
          <w:p w:rsidR="00000000" w:rsidDel="00000000" w:rsidP="00000000" w:rsidRDefault="00000000" w:rsidRPr="00000000" w14:paraId="00000063">
            <w:pPr>
              <w:widowControl w:val="1"/>
              <w:spacing w:line="264" w:lineRule="auto"/>
              <w:ind w:left="141" w:righ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(c) Pledge of the Borrower’s bank accounts</w:t>
            </w:r>
          </w:p>
          <w:p w:rsidR="00000000" w:rsidDel="00000000" w:rsidP="00000000" w:rsidRDefault="00000000" w:rsidRPr="00000000" w14:paraId="00000064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Any other guarantee standard for a transaction of this 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Information Covenants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Financial:</w:t>
            </w:r>
          </w:p>
          <w:p w:rsidR="00000000" w:rsidDel="00000000" w:rsidP="00000000" w:rsidRDefault="00000000" w:rsidRPr="00000000" w14:paraId="00000067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Semiannual Financial Statements of the Borrower;</w:t>
            </w:r>
          </w:p>
          <w:p w:rsidR="00000000" w:rsidDel="00000000" w:rsidP="00000000" w:rsidRDefault="00000000" w:rsidRPr="00000000" w14:paraId="00000068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Audited Annual Financial Statements of the Borrower;</w:t>
            </w:r>
          </w:p>
          <w:p w:rsidR="00000000" w:rsidDel="00000000" w:rsidP="00000000" w:rsidRDefault="00000000" w:rsidRPr="00000000" w14:paraId="00000069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Borrower’s annual budget;</w:t>
            </w:r>
          </w:p>
          <w:p w:rsidR="00000000" w:rsidDel="00000000" w:rsidP="00000000" w:rsidRDefault="00000000" w:rsidRPr="00000000" w14:paraId="0000006A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Audited certification of key financial ratios;</w:t>
            </w:r>
          </w:p>
          <w:p w:rsidR="00000000" w:rsidDel="00000000" w:rsidP="00000000" w:rsidRDefault="00000000" w:rsidRPr="00000000" w14:paraId="0000006B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Annual Project valuation report.</w:t>
            </w:r>
          </w:p>
          <w:p w:rsidR="00000000" w:rsidDel="00000000" w:rsidP="00000000" w:rsidRDefault="00000000" w:rsidRPr="00000000" w14:paraId="0000006C">
            <w:pPr>
              <w:widowControl w:val="1"/>
              <w:ind w:right="75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KYC:</w:t>
            </w:r>
          </w:p>
          <w:p w:rsidR="00000000" w:rsidDel="00000000" w:rsidP="00000000" w:rsidRDefault="00000000" w:rsidRPr="00000000" w14:paraId="0000006E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Upon request from the Lender, any information regarding Borrower’s identification (“Know Your Customer” or “KYC”).</w:t>
            </w:r>
          </w:p>
          <w:p w:rsidR="00000000" w:rsidDel="00000000" w:rsidP="00000000" w:rsidRDefault="00000000" w:rsidRPr="00000000" w14:paraId="0000006F">
            <w:pPr>
              <w:widowControl w:val="1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Others that are standard for this type of financing.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Costs and Expenses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costs of validation, due diligence and financial or other advice relating to the Project shall be considered as transaction costs and may be financed under the Financing Amount.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widowControl w:val="1"/>
              <w:spacing w:after="105" w:before="105" w:line="264" w:lineRule="auto"/>
              <w:ind w:left="75" w:right="75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Valuation Report provider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4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PwC.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widowControl w:val="1"/>
              <w:spacing w:after="105" w:before="105" w:line="264" w:lineRule="auto"/>
              <w:ind w:left="75" w:right="75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Facility agent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[Palmer FS] [ApexFS].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Applicable Law / Jurisdiction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Italian Law / Courts of the city of Milan, Italy.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widowControl w:val="1"/>
              <w:spacing w:after="105" w:before="105" w:lineRule="auto"/>
              <w:ind w:left="75" w:right="75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Confidentiality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widowControl w:val="1"/>
              <w:spacing w:after="105" w:before="105" w:line="264" w:lineRule="auto"/>
              <w:ind w:left="75" w:right="75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content of this non-binding offer, the existing negotiations between the Lender and the Borrower as well as any information disclosed by the parties in connection with this non-binding offer constitutes confidential information and shall not be disclosed by the Lender, the Borrower or the Sponsor except as required by applicable law.</w:t>
            </w:r>
          </w:p>
        </w:tc>
      </w:tr>
    </w:tbl>
    <w:p w:rsidR="00000000" w:rsidDel="00000000" w:rsidP="00000000" w:rsidRDefault="00000000" w:rsidRPr="00000000" w14:paraId="0000007B">
      <w:pPr>
        <w:widowControl w:val="1"/>
        <w:spacing w:after="22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pacing w:after="220" w:line="2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Accepted by:</w:t>
      </w:r>
    </w:p>
    <w:p w:rsidR="00000000" w:rsidDel="00000000" w:rsidP="00000000" w:rsidRDefault="00000000" w:rsidRPr="00000000" w14:paraId="0000007D">
      <w:pPr>
        <w:spacing w:after="15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5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5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80">
      <w:pPr>
        <w:spacing w:after="150" w:lineRule="auto"/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81">
      <w:pPr>
        <w:spacing w:after="150" w:lineRule="auto"/>
        <w:rPr/>
      </w:pPr>
      <w:r w:rsidDel="00000000" w:rsidR="00000000" w:rsidRPr="00000000">
        <w:rPr>
          <w:rtl w:val="0"/>
        </w:rPr>
        <w:t xml:space="preserve">Role: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Company:</w:t>
      </w:r>
    </w:p>
    <w:p w:rsidR="00000000" w:rsidDel="00000000" w:rsidP="00000000" w:rsidRDefault="00000000" w:rsidRPr="00000000" w14:paraId="0000008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20" w:lineRule="auto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8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sz w:val="14"/>
              <w:szCs w:val="14"/>
            </w:rPr>
          </w:pPr>
          <w:r w:rsidDel="00000000" w:rsidR="00000000" w:rsidRPr="00000000">
            <w:rPr>
              <w:sz w:val="14"/>
              <w:szCs w:val="14"/>
              <w:rtl w:val="0"/>
            </w:rPr>
            <w:t xml:space="preserve">Confidential</w:t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8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line="276" w:lineRule="auto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right"/>
      <w:rPr>
        <w:sz w:val="14"/>
        <w:szCs w:val="14"/>
      </w:rPr>
    </w:pPr>
    <w:r w:rsidDel="00000000" w:rsidR="00000000" w:rsidRPr="00000000">
      <w:rPr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Layout w:type="fixed"/>
      <w:tblLook w:val="0600"/>
    </w:tblPr>
    <w:tblGrid>
      <w:gridCol w:w="2808"/>
      <w:gridCol w:w="6552"/>
      <w:tblGridChange w:id="0">
        <w:tblGrid>
          <w:gridCol w:w="2808"/>
          <w:gridCol w:w="6552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8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sz w:val="22"/>
              <w:szCs w:val="22"/>
            </w:rPr>
            <w:drawing>
              <wp:inline distB="19050" distT="19050" distL="19050" distR="19050">
                <wp:extent cx="1428750" cy="316757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3167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8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right"/>
            <w:rPr>
              <w:rFonts w:ascii="Arial" w:cs="Arial" w:eastAsia="Arial" w:hAnsi="Arial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color w:val="000000"/>
        <w:sz w:val="22"/>
        <w:szCs w:val="2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sz w:val="18"/>
        <w:szCs w:val="18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="9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25" w:before="225" w:line="12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="151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55" w:before="255" w:line="18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55" w:before="255" w:line="221" w:lineRule="auto"/>
    </w:pPr>
    <w:rPr>
      <w:b w:val="1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60" w:before="360" w:line="261" w:lineRule="auto"/>
    </w:pPr>
    <w:rPr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="90" w:lineRule="auto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25" w:before="225" w:line="120" w:lineRule="auto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="151" w:lineRule="auto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55" w:before="255" w:line="180" w:lineRule="auto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55" w:before="255" w:line="221" w:lineRule="auto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60" w:before="360" w:line="261" w:lineRule="auto"/>
      <w:outlineLvl w:val="5"/>
    </w:pPr>
    <w:rPr>
      <w:b w:val="1"/>
      <w:sz w:val="16"/>
      <w:szCs w:val="1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0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B0222F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B0222F"/>
  </w:style>
  <w:style w:type="paragraph" w:styleId="Piedepgina">
    <w:name w:val="footer"/>
    <w:basedOn w:val="Normal"/>
    <w:link w:val="PiedepginaCar"/>
    <w:uiPriority w:val="99"/>
    <w:unhideWhenUsed w:val="1"/>
    <w:rsid w:val="00B0222F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B0222F"/>
  </w:style>
  <w:style w:type="table" w:styleId="a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F09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6F0959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6F09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F0959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F0959"/>
    <w:rPr>
      <w:b w:val="1"/>
      <w:bCs w:val="1"/>
      <w:sz w:val="20"/>
      <w:szCs w:val="20"/>
    </w:rPr>
  </w:style>
  <w:style w:type="paragraph" w:styleId="Revisin">
    <w:name w:val="Revision"/>
    <w:hidden w:val="1"/>
    <w:uiPriority w:val="99"/>
    <w:semiHidden w:val="1"/>
    <w:rsid w:val="00863C1F"/>
    <w:pPr>
      <w:widowControl w:val="1"/>
    </w:p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Mencionar">
    <w:name w:val="Mention"/>
    <w:basedOn w:val="Fuentedeprrafopredeter"/>
    <w:uiPriority w:val="99"/>
    <w:unhideWhenUsed w:val="1"/>
    <w:rsid w:val="00B56F9B"/>
    <w:rPr>
      <w:color w:val="2b579a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YgOOH0N3iXVj8QecQPx7aB4LwA==">CgMxLjA4AGpGCjVzdWdnZXN0SWRJbXBvcnQyMWZkMGYyOC04Yzk1LTQ3MjUtYTJlMS1mOGZiMGFiMmQ2YmNfMRINTWlndWVsIFNhc3RyZWpGCjVzdWdnZXN0SWRJbXBvcnQyMWZkMGYyOC04Yzk1LTQ3MjUtYTJlMS1mOGZiMGFiMmQ2YmNfMhINTWlndWVsIFNhc3RyZWpGCjVzdWdnZXN0SWRJbXBvcnQyMWZkMGYyOC04Yzk1LTQ3MjUtYTJlMS1mOGZiMGFiMmQ2YmNfMxINTWlndWVsIFNhc3RyZXIhMURFNC1KNVRRMEUyTkRxbEdXRVFhdW0zTTgzSUpOdk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2024-02-13T11:51:00Z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0x010100092AA6A4EFC46D479410AD3D226EB0F1</vt:lpwstr>
  </property>
  <property fmtid="{D5CDD505-2E9C-101B-9397-08002B2CF9AE}" pid="3" name="MediaServiceImageTags">
    <vt:lpwstr/>
  </property>
</Properties>
</file>