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after="0" w:before="0" w:line="240" w:lineRule="auto"/>
        <w:ind w:left="0" w:firstLine="0"/>
        <w:jc w:val="left"/>
        <w:rPr>
          <w:rFonts w:ascii="Helvetica Neue" w:cs="Helvetica Neue" w:eastAsia="Helvetica Neue" w:hAnsi="Helvetica Neue"/>
          <w:b w:val="1"/>
          <w:color w:val="20124d"/>
          <w:sz w:val="32"/>
          <w:szCs w:val="32"/>
        </w:rPr>
      </w:pPr>
      <w:bookmarkStart w:colFirst="0" w:colLast="0" w:name="_srekxb94kmyz" w:id="0"/>
      <w:bookmarkEnd w:id="0"/>
      <w:r w:rsidDel="00000000" w:rsidR="00000000" w:rsidRPr="00000000">
        <w:rPr>
          <w:rtl w:val="0"/>
        </w:rPr>
      </w:r>
    </w:p>
    <w:p w:rsidR="00000000" w:rsidDel="00000000" w:rsidP="00000000" w:rsidRDefault="00000000" w:rsidRPr="00000000" w14:paraId="00000002">
      <w:pPr>
        <w:pStyle w:val="Heading3"/>
        <w:keepNext w:val="0"/>
        <w:keepLines w:val="0"/>
        <w:spacing w:after="0" w:before="0" w:line="240" w:lineRule="auto"/>
        <w:ind w:left="720" w:hanging="360"/>
        <w:jc w:val="center"/>
        <w:rPr>
          <w:rFonts w:ascii="Helvetica Neue" w:cs="Helvetica Neue" w:eastAsia="Helvetica Neue" w:hAnsi="Helvetica Neue"/>
          <w:b w:val="1"/>
          <w:color w:val="073763"/>
          <w:sz w:val="32"/>
          <w:szCs w:val="32"/>
        </w:rPr>
      </w:pPr>
      <w:bookmarkStart w:colFirst="0" w:colLast="0" w:name="_hz1bklo30e13" w:id="1"/>
      <w:bookmarkEnd w:id="1"/>
      <w:r w:rsidDel="00000000" w:rsidR="00000000" w:rsidRPr="00000000">
        <w:rPr>
          <w:rFonts w:ascii="Helvetica Neue" w:cs="Helvetica Neue" w:eastAsia="Helvetica Neue" w:hAnsi="Helvetica Neue"/>
          <w:b w:val="1"/>
          <w:color w:val="073763"/>
          <w:sz w:val="32"/>
          <w:szCs w:val="32"/>
          <w:rtl w:val="0"/>
        </w:rPr>
        <w:t xml:space="preserve">Proyecto ZURICH</w:t>
      </w:r>
    </w:p>
    <w:p w:rsidR="00000000" w:rsidDel="00000000" w:rsidP="00000000" w:rsidRDefault="00000000" w:rsidRPr="00000000" w14:paraId="00000003">
      <w:pPr>
        <w:spacing w:after="240" w:before="240" w:lineRule="auto"/>
        <w:jc w:val="center"/>
        <w:rPr>
          <w:b w:val="1"/>
          <w:color w:val="0097a7"/>
          <w:sz w:val="24"/>
          <w:szCs w:val="24"/>
        </w:rPr>
      </w:pPr>
      <w:r w:rsidDel="00000000" w:rsidR="00000000" w:rsidRPr="00000000">
        <w:rPr>
          <w:b w:val="1"/>
          <w:color w:val="0097a7"/>
          <w:sz w:val="24"/>
          <w:szCs w:val="24"/>
          <w:rtl w:val="0"/>
        </w:rPr>
        <w:t xml:space="preserve">Inversión de EUR</w:t>
      </w:r>
      <w:r w:rsidDel="00000000" w:rsidR="00000000" w:rsidRPr="00000000">
        <w:rPr>
          <w:b w:val="1"/>
          <w:color w:val="0097a7"/>
          <w:sz w:val="24"/>
          <w:szCs w:val="24"/>
          <w:rtl w:val="0"/>
        </w:rPr>
        <w:t xml:space="preserve"> 21M </w:t>
      </w:r>
      <w:r w:rsidDel="00000000" w:rsidR="00000000" w:rsidRPr="00000000">
        <w:rPr>
          <w:b w:val="1"/>
          <w:color w:val="0097a7"/>
          <w:sz w:val="24"/>
          <w:szCs w:val="24"/>
          <w:rtl w:val="0"/>
        </w:rPr>
        <w:t xml:space="preserve">“Build to Sale” de corto plazo (</w:t>
      </w:r>
      <w:r w:rsidDel="00000000" w:rsidR="00000000" w:rsidRPr="00000000">
        <w:rPr>
          <w:b w:val="1"/>
          <w:color w:val="0097a7"/>
          <w:sz w:val="24"/>
          <w:szCs w:val="24"/>
          <w:rtl w:val="0"/>
        </w:rPr>
        <w:t xml:space="preserve">3</w:t>
      </w:r>
      <w:r w:rsidDel="00000000" w:rsidR="00000000" w:rsidRPr="00000000">
        <w:rPr>
          <w:b w:val="1"/>
          <w:color w:val="0097a7"/>
          <w:sz w:val="24"/>
          <w:szCs w:val="24"/>
          <w:rtl w:val="0"/>
        </w:rPr>
        <w:t xml:space="preserve">2 meses) en SOCIMI para proyecto de construcción de vivienda asequible en zona prime de Madrid</w:t>
      </w:r>
      <w:r w:rsidDel="00000000" w:rsidR="00000000" w:rsidRPr="00000000">
        <w:rPr>
          <w:rtl w:val="0"/>
        </w:rPr>
      </w:r>
    </w:p>
    <w:p w:rsidR="00000000" w:rsidDel="00000000" w:rsidP="00000000" w:rsidRDefault="00000000" w:rsidRPr="00000000" w14:paraId="00000004">
      <w:pPr>
        <w:pStyle w:val="Heading3"/>
        <w:keepNext w:val="0"/>
        <w:keepLines w:val="0"/>
        <w:spacing w:after="0" w:before="0" w:lineRule="auto"/>
        <w:ind w:left="0" w:firstLine="0"/>
        <w:jc w:val="left"/>
        <w:rPr>
          <w:rFonts w:ascii="Helvetica Neue" w:cs="Helvetica Neue" w:eastAsia="Helvetica Neue" w:hAnsi="Helvetica Neue"/>
          <w:b w:val="1"/>
          <w:color w:val="000000"/>
        </w:rPr>
      </w:pPr>
      <w:bookmarkStart w:colFirst="0" w:colLast="0" w:name="_twtwl5av0bx" w:id="2"/>
      <w:bookmarkEnd w:id="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4"/>
        <w:keepNext w:val="0"/>
        <w:keepLines w:val="0"/>
        <w:spacing w:after="40" w:before="240" w:lineRule="auto"/>
        <w:ind w:left="0" w:firstLine="0"/>
        <w:rPr>
          <w:rFonts w:ascii="Helvetica Neue" w:cs="Helvetica Neue" w:eastAsia="Helvetica Neue" w:hAnsi="Helvetica Neue"/>
          <w:b w:val="1"/>
          <w:color w:val="073763"/>
          <w:sz w:val="28"/>
          <w:szCs w:val="28"/>
        </w:rPr>
      </w:pPr>
      <w:bookmarkStart w:colFirst="0" w:colLast="0" w:name="_vmtrkegtg2ho" w:id="3"/>
      <w:bookmarkEnd w:id="3"/>
      <w:r w:rsidDel="00000000" w:rsidR="00000000" w:rsidRPr="00000000">
        <w:rPr>
          <w:rFonts w:ascii="Helvetica Neue" w:cs="Helvetica Neue" w:eastAsia="Helvetica Neue" w:hAnsi="Helvetica Neue"/>
          <w:b w:val="1"/>
          <w:color w:val="073763"/>
          <w:sz w:val="28"/>
          <w:szCs w:val="28"/>
          <w:rtl w:val="0"/>
        </w:rPr>
        <w:t xml:space="preserve">Descripción del Proyecto</w:t>
      </w:r>
    </w:p>
    <w:p w:rsidR="00000000" w:rsidDel="00000000" w:rsidP="00000000" w:rsidRDefault="00000000" w:rsidRPr="00000000" w14:paraId="00000006">
      <w:pPr>
        <w:spacing w:after="240" w:befor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Oportunidad de invertir hasta un máximo de </w:t>
      </w:r>
      <w:r w:rsidDel="00000000" w:rsidR="00000000" w:rsidRPr="00000000">
        <w:rPr>
          <w:rFonts w:ascii="PT Sans" w:cs="PT Sans" w:eastAsia="PT Sans" w:hAnsi="PT Sans"/>
          <w:highlight w:val="white"/>
          <w:rtl w:val="0"/>
        </w:rPr>
        <w:t xml:space="preserve">20.2M€ </w:t>
      </w:r>
      <w:r w:rsidDel="00000000" w:rsidR="00000000" w:rsidRPr="00000000">
        <w:rPr>
          <w:rFonts w:ascii="Helvetica Neue" w:cs="Helvetica Neue" w:eastAsia="Helvetica Neue" w:hAnsi="Helvetica Neue"/>
          <w:rtl w:val="0"/>
        </w:rPr>
        <w:t xml:space="preserve">en la fase de construcción y estabilización de un edificio residencial de alquiler asequible en Valdebebas, una de las zonas con mayor crecimiento y revalorización de Madrid. El activo se beneficiará de la </w:t>
      </w:r>
      <w:r w:rsidDel="00000000" w:rsidR="00000000" w:rsidRPr="00000000">
        <w:rPr>
          <w:rFonts w:ascii="Helvetica Neue" w:cs="Helvetica Neue" w:eastAsia="Helvetica Neue" w:hAnsi="Helvetica Neue"/>
          <w:b w:val="1"/>
          <w:rtl w:val="0"/>
        </w:rPr>
        <w:t xml:space="preserve">Ley 3/2024</w:t>
      </w:r>
      <w:r w:rsidDel="00000000" w:rsidR="00000000" w:rsidRPr="00000000">
        <w:rPr>
          <w:rFonts w:ascii="Helvetica Neue" w:cs="Helvetica Neue" w:eastAsia="Helvetica Neue" w:hAnsi="Helvetica Neue"/>
          <w:rtl w:val="0"/>
        </w:rPr>
        <w:t xml:space="preserve">, que permite reconvertir suelo de oficinas a residencial protegido, generando valor desde el inicio.</w:t>
      </w:r>
    </w:p>
    <w:p w:rsidR="00000000" w:rsidDel="00000000" w:rsidP="00000000" w:rsidRDefault="00000000" w:rsidRPr="00000000" w14:paraId="00000007">
      <w:pPr>
        <w:spacing w:after="240" w:befor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La inversión se canaliza a través de una </w:t>
      </w:r>
      <w:r w:rsidDel="00000000" w:rsidR="00000000" w:rsidRPr="00000000">
        <w:rPr>
          <w:rFonts w:ascii="Helvetica Neue" w:cs="Helvetica Neue" w:eastAsia="Helvetica Neue" w:hAnsi="Helvetica Neue"/>
          <w:b w:val="1"/>
          <w:rtl w:val="0"/>
        </w:rPr>
        <w:t xml:space="preserve">SOCIMI</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rtl w:val="0"/>
        </w:rPr>
        <w:t xml:space="preserve">(</w:t>
      </w:r>
      <w:r w:rsidDel="00000000" w:rsidR="00000000" w:rsidRPr="00000000">
        <w:rPr>
          <w:rFonts w:ascii="Helvetica Neue" w:cs="Helvetica Neue" w:eastAsia="Helvetica Neue" w:hAnsi="Helvetica Neue"/>
          <w:i w:val="1"/>
          <w:rtl w:val="0"/>
        </w:rPr>
        <w:t xml:space="preserve">Sociedad Cotizada de Inversión en el Mercado Inmobiliario</w:t>
      </w:r>
      <w:r w:rsidDel="00000000" w:rsidR="00000000" w:rsidRPr="00000000">
        <w:rPr>
          <w:rFonts w:ascii="Helvetica Neue" w:cs="Helvetica Neue" w:eastAsia="Helvetica Neue" w:hAnsi="Helvetica Neue"/>
          <w:rtl w:val="0"/>
        </w:rPr>
        <w:t xml:space="preserve">), lo que permite que las plusvalías generadas por la venta del activo estén </w:t>
      </w:r>
      <w:r w:rsidDel="00000000" w:rsidR="00000000" w:rsidRPr="00000000">
        <w:rPr>
          <w:rFonts w:ascii="Helvetica Neue" w:cs="Helvetica Neue" w:eastAsia="Helvetica Neue" w:hAnsi="Helvetica Neue"/>
          <w:b w:val="1"/>
          <w:rtl w:val="0"/>
        </w:rPr>
        <w:t xml:space="preserve">exentas de impuesto sobre sociedades</w:t>
      </w:r>
      <w:r w:rsidDel="00000000" w:rsidR="00000000" w:rsidRPr="00000000">
        <w:rPr>
          <w:rFonts w:ascii="Helvetica Neue" w:cs="Helvetica Neue" w:eastAsia="Helvetica Neue" w:hAnsi="Helvetica Neue"/>
          <w:rtl w:val="0"/>
        </w:rPr>
        <w:t xml:space="preserve"> siempre que se cumplan los </w:t>
      </w:r>
      <w:r w:rsidDel="00000000" w:rsidR="00000000" w:rsidRPr="00000000">
        <w:rPr>
          <w:rFonts w:ascii="Helvetica Neue" w:cs="Helvetica Neue" w:eastAsia="Helvetica Neue" w:hAnsi="Helvetica Neue"/>
          <w:rtl w:val="0"/>
        </w:rPr>
        <w:t xml:space="preserve">requisitos del régimen SOCIMI</w:t>
      </w:r>
      <w:r w:rsidDel="00000000" w:rsidR="00000000" w:rsidRPr="00000000">
        <w:rPr>
          <w:rFonts w:ascii="Helvetica Neue" w:cs="Helvetica Neue" w:eastAsia="Helvetica Neue" w:hAnsi="Helvetica Neue"/>
          <w:rtl w:val="0"/>
        </w:rPr>
        <w:t xml:space="preserve">, maximizando así el retorno neto al inversor.</w:t>
      </w:r>
    </w:p>
    <w:p w:rsidR="00000000" w:rsidDel="00000000" w:rsidP="00000000" w:rsidRDefault="00000000" w:rsidRPr="00000000" w14:paraId="00000008">
      <w:pPr>
        <w:spacing w:after="240" w:befor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El plan contempla la finalización de obra y estabilización de rentas en los primeros 32 meses, momento en el que se ejecutará la salida mediante </w:t>
      </w:r>
      <w:r w:rsidDel="00000000" w:rsidR="00000000" w:rsidRPr="00000000">
        <w:rPr>
          <w:rFonts w:ascii="Helvetica Neue" w:cs="Helvetica Neue" w:eastAsia="Helvetica Neue" w:hAnsi="Helvetica Neue"/>
          <w:b w:val="1"/>
          <w:rtl w:val="0"/>
        </w:rPr>
        <w:t xml:space="preserve">venta del activo a un inversor core</w:t>
      </w:r>
      <w:r w:rsidDel="00000000" w:rsidR="00000000" w:rsidRPr="00000000">
        <w:rPr>
          <w:rFonts w:ascii="Helvetica Neue" w:cs="Helvetica Neue" w:eastAsia="Helvetica Neue" w:hAnsi="Helvetica Neue"/>
          <w:rtl w:val="0"/>
        </w:rPr>
        <w:t xml:space="preserve"> o </w:t>
      </w:r>
      <w:r w:rsidDel="00000000" w:rsidR="00000000" w:rsidRPr="00000000">
        <w:rPr>
          <w:rFonts w:ascii="Helvetica Neue" w:cs="Helvetica Neue" w:eastAsia="Helvetica Neue" w:hAnsi="Helvetica Neue"/>
          <w:b w:val="1"/>
          <w:rtl w:val="0"/>
        </w:rPr>
        <w:t xml:space="preserve">refinanciación institucional</w:t>
      </w:r>
      <w:r w:rsidDel="00000000" w:rsidR="00000000" w:rsidRPr="00000000">
        <w:rPr>
          <w:rFonts w:ascii="Helvetica Neue" w:cs="Helvetica Neue" w:eastAsia="Helvetica Neue" w:hAnsi="Helvetica Neue"/>
          <w:rtl w:val="0"/>
        </w:rPr>
        <w:t xml:space="preserve">, capturando el valor creado durante la fase de desarrollo.</w:t>
      </w:r>
    </w:p>
    <w:p w:rsidR="00000000" w:rsidDel="00000000" w:rsidP="00000000" w:rsidRDefault="00000000" w:rsidRPr="00000000" w14:paraId="00000009">
      <w:pPr>
        <w:spacing w:after="240" w:befor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br w:type="textWrapping"/>
      </w:r>
      <w:r w:rsidDel="00000000" w:rsidR="00000000" w:rsidRPr="00000000">
        <w:rPr>
          <w:rFonts w:ascii="Helvetica Neue" w:cs="Helvetica Neue" w:eastAsia="Helvetica Neue" w:hAnsi="Helvetica Neue"/>
          <w:b w:val="1"/>
          <w:rtl w:val="0"/>
        </w:rPr>
        <w:t xml:space="preserve">Número total de viviendas:</w:t>
      </w:r>
      <w:r w:rsidDel="00000000" w:rsidR="00000000" w:rsidRPr="00000000">
        <w:rPr>
          <w:rFonts w:ascii="Helvetica Neue" w:cs="Helvetica Neue" w:eastAsia="Helvetica Neue" w:hAnsi="Helvetica Neue"/>
          <w:rtl w:val="0"/>
        </w:rPr>
        <w:t xml:space="preserve"> 251</w:t>
      </w:r>
    </w:p>
    <w:p w:rsidR="00000000" w:rsidDel="00000000" w:rsidP="00000000" w:rsidRDefault="00000000" w:rsidRPr="00000000" w14:paraId="0000000A">
      <w:pPr>
        <w:numPr>
          <w:ilvl w:val="0"/>
          <w:numId w:val="6"/>
        </w:numPr>
        <w:spacing w:after="0" w:afterAutospacing="0" w:before="24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Tipologías:</w:t>
        <w:br w:type="textWrapping"/>
      </w:r>
    </w:p>
    <w:p w:rsidR="00000000" w:rsidDel="00000000" w:rsidP="00000000" w:rsidRDefault="00000000" w:rsidRPr="00000000" w14:paraId="0000000B">
      <w:pPr>
        <w:numPr>
          <w:ilvl w:val="1"/>
          <w:numId w:val="6"/>
        </w:numPr>
        <w:spacing w:after="0" w:afterAutospacing="0" w:before="0" w:beforeAutospacing="0" w:lineRule="auto"/>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50 viviendas de 1 dormitorio</w:t>
        <w:br w:type="textWrapping"/>
      </w:r>
    </w:p>
    <w:p w:rsidR="00000000" w:rsidDel="00000000" w:rsidP="00000000" w:rsidRDefault="00000000" w:rsidRPr="00000000" w14:paraId="0000000C">
      <w:pPr>
        <w:numPr>
          <w:ilvl w:val="1"/>
          <w:numId w:val="6"/>
        </w:numPr>
        <w:spacing w:after="0" w:afterAutospacing="0" w:before="0" w:beforeAutospacing="0" w:lineRule="auto"/>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186 viviendas de 2 dormitorios</w:t>
        <w:br w:type="textWrapping"/>
      </w:r>
    </w:p>
    <w:p w:rsidR="00000000" w:rsidDel="00000000" w:rsidP="00000000" w:rsidRDefault="00000000" w:rsidRPr="00000000" w14:paraId="0000000D">
      <w:pPr>
        <w:numPr>
          <w:ilvl w:val="1"/>
          <w:numId w:val="6"/>
        </w:numPr>
        <w:spacing w:after="0" w:afterAutospacing="0" w:before="0" w:beforeAutospacing="0" w:lineRule="auto"/>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15 viviendas de 3 dormitorios</w:t>
        <w:br w:type="textWrapping"/>
      </w:r>
    </w:p>
    <w:p w:rsidR="00000000" w:rsidDel="00000000" w:rsidP="00000000" w:rsidRDefault="00000000" w:rsidRPr="00000000" w14:paraId="0000000E">
      <w:pPr>
        <w:numPr>
          <w:ilvl w:val="0"/>
          <w:numId w:val="6"/>
        </w:numPr>
        <w:spacing w:after="240" w:before="0" w:beforeAutospacing="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Anejos:</w:t>
      </w:r>
      <w:r w:rsidDel="00000000" w:rsidR="00000000" w:rsidRPr="00000000">
        <w:rPr>
          <w:rFonts w:ascii="Helvetica Neue" w:cs="Helvetica Neue" w:eastAsia="Helvetica Neue" w:hAnsi="Helvetica Neue"/>
          <w:rtl w:val="0"/>
        </w:rPr>
        <w:t xml:space="preserve"> plazas de aparcamiento, trasteros y zonas comunes ajardinadas.</w:t>
      </w:r>
    </w:p>
    <w:p w:rsidR="00000000" w:rsidDel="00000000" w:rsidP="00000000" w:rsidRDefault="00000000" w:rsidRPr="00000000" w14:paraId="0000000F">
      <w:pPr>
        <w:spacing w:after="240" w:before="240" w:lineRule="auto"/>
        <w:ind w:left="72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0">
      <w:pPr>
        <w:spacing w:after="240" w:before="240" w:lineRule="auto"/>
        <w:rPr>
          <w:rFonts w:ascii="Helvetica Neue" w:cs="Helvetica Neue" w:eastAsia="Helvetica Neue" w:hAnsi="Helvetica Neue"/>
          <w:b w:val="1"/>
          <w:highlight w:val="white"/>
        </w:rPr>
      </w:pPr>
      <w:r w:rsidDel="00000000" w:rsidR="00000000" w:rsidRPr="00000000">
        <w:rPr>
          <w:rFonts w:ascii="Helvetica Neue" w:cs="Helvetica Neue" w:eastAsia="Helvetica Neue" w:hAnsi="Helvetica Neue"/>
          <w:b w:val="1"/>
          <w:highlight w:val="white"/>
          <w:rtl w:val="0"/>
        </w:rPr>
        <w:t xml:space="preserve">Cronograma Simplificado:</w:t>
      </w:r>
    </w:p>
    <w:p w:rsidR="00000000" w:rsidDel="00000000" w:rsidP="00000000" w:rsidRDefault="00000000" w:rsidRPr="00000000" w14:paraId="00000011">
      <w:pPr>
        <w:numPr>
          <w:ilvl w:val="0"/>
          <w:numId w:val="4"/>
        </w:numPr>
        <w:spacing w:after="0" w:afterAutospacing="0" w:before="240" w:lineRule="auto"/>
        <w:ind w:left="720" w:hanging="360"/>
        <w:rPr>
          <w:rFonts w:ascii="Helvetica Neue" w:cs="Helvetica Neue" w:eastAsia="Helvetica Neue" w:hAnsi="Helvetica Neue"/>
        </w:rPr>
      </w:pPr>
      <w:r w:rsidDel="00000000" w:rsidR="00000000" w:rsidRPr="00000000">
        <w:rPr>
          <w:rFonts w:ascii="Arial Unicode MS" w:cs="Arial Unicode MS" w:eastAsia="Arial Unicode MS" w:hAnsi="Arial Unicode MS"/>
          <w:rtl w:val="0"/>
        </w:rPr>
        <w:t xml:space="preserve">Construcción: Jan 2026 → Mar  2028</w:t>
      </w:r>
    </w:p>
    <w:p w:rsidR="00000000" w:rsidDel="00000000" w:rsidP="00000000" w:rsidRDefault="00000000" w:rsidRPr="00000000" w14:paraId="00000012">
      <w:pPr>
        <w:numPr>
          <w:ilvl w:val="0"/>
          <w:numId w:val="4"/>
        </w:numPr>
        <w:spacing w:after="0" w:afterAutospacing="0" w:before="0" w:beforeAutospacing="0" w:lineRule="auto"/>
        <w:ind w:left="720" w:hanging="360"/>
        <w:rPr>
          <w:rFonts w:ascii="Helvetica Neue" w:cs="Helvetica Neue" w:eastAsia="Helvetica Neue" w:hAnsi="Helvetica Neue"/>
        </w:rPr>
      </w:pPr>
      <w:r w:rsidDel="00000000" w:rsidR="00000000" w:rsidRPr="00000000">
        <w:rPr>
          <w:rFonts w:ascii="Arial Unicode MS" w:cs="Arial Unicode MS" w:eastAsia="Arial Unicode MS" w:hAnsi="Arial Unicode MS"/>
          <w:rtl w:val="0"/>
        </w:rPr>
        <w:t xml:space="preserve">Estabilización de alquileres: Apr 2028 → Sept  2028</w:t>
      </w:r>
    </w:p>
    <w:p w:rsidR="00000000" w:rsidDel="00000000" w:rsidP="00000000" w:rsidRDefault="00000000" w:rsidRPr="00000000" w14:paraId="00000013">
      <w:pPr>
        <w:numPr>
          <w:ilvl w:val="0"/>
          <w:numId w:val="4"/>
        </w:numPr>
        <w:spacing w:after="240" w:before="0" w:beforeAutospacing="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Comienzo de repago: Feb  2029</w:t>
      </w:r>
    </w:p>
    <w:p w:rsidR="00000000" w:rsidDel="00000000" w:rsidP="00000000" w:rsidRDefault="00000000" w:rsidRPr="00000000" w14:paraId="00000014">
      <w:pPr>
        <w:spacing w:after="240" w:befor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El equity se complementará con una  financiación de </w:t>
      </w:r>
      <w:r w:rsidDel="00000000" w:rsidR="00000000" w:rsidRPr="00000000">
        <w:rPr>
          <w:rFonts w:ascii="Helvetica Neue" w:cs="Helvetica Neue" w:eastAsia="Helvetica Neue" w:hAnsi="Helvetica Neue"/>
          <w:rtl w:val="0"/>
        </w:rPr>
        <w:t xml:space="preserve">42M</w:t>
      </w:r>
      <w:r w:rsidDel="00000000" w:rsidR="00000000" w:rsidRPr="00000000">
        <w:rPr>
          <w:rFonts w:ascii="Helvetica Neue" w:cs="Helvetica Neue" w:eastAsia="Helvetica Neue" w:hAnsi="Helvetica Neue"/>
          <w:rtl w:val="0"/>
        </w:rPr>
        <w:t xml:space="preserve">, con un </w:t>
      </w:r>
      <w:r w:rsidDel="00000000" w:rsidR="00000000" w:rsidRPr="00000000">
        <w:rPr>
          <w:rFonts w:ascii="Helvetica Neue" w:cs="Helvetica Neue" w:eastAsia="Helvetica Neue" w:hAnsi="Helvetica Neue"/>
          <w:b w:val="1"/>
          <w:rtl w:val="0"/>
        </w:rPr>
        <w:t xml:space="preserve">Loan to Cost (LTC) del </w:t>
      </w:r>
      <w:r w:rsidDel="00000000" w:rsidR="00000000" w:rsidRPr="00000000">
        <w:rPr>
          <w:rFonts w:ascii="Helvetica Neue" w:cs="Helvetica Neue" w:eastAsia="Helvetica Neue" w:hAnsi="Helvetica Neue"/>
          <w:b w:val="1"/>
          <w:rtl w:val="0"/>
        </w:rPr>
        <w:t xml:space="preserve">71%</w:t>
      </w: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15">
      <w:pPr>
        <w:spacing w:after="240" w:befor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La inversión está respaldada por un activo en ubicación prime, </w:t>
      </w:r>
      <w:r w:rsidDel="00000000" w:rsidR="00000000" w:rsidRPr="00000000">
        <w:rPr>
          <w:rFonts w:ascii="Helvetica Neue" w:cs="Helvetica Neue" w:eastAsia="Helvetica Neue" w:hAnsi="Helvetica Neue"/>
          <w:b w:val="1"/>
          <w:rtl w:val="0"/>
        </w:rPr>
        <w:t xml:space="preserve">con alta demanda, precios regulados un 20%-30% por debajo del mercado </w:t>
      </w:r>
      <w:r w:rsidDel="00000000" w:rsidR="00000000" w:rsidRPr="00000000">
        <w:rPr>
          <w:rFonts w:ascii="Helvetica Neue" w:cs="Helvetica Neue" w:eastAsia="Helvetica Neue" w:hAnsi="Helvetica Neue"/>
          <w:rtl w:val="0"/>
        </w:rPr>
        <w:t xml:space="preserve">y un horizonte de liberalización que incrementará su valor significativamente.</w:t>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rPr>
          <w:rFonts w:ascii="Helvetica Neue" w:cs="Helvetica Neue" w:eastAsia="Helvetica Neue" w:hAnsi="Helvetica Neue"/>
          <w:b w:val="1"/>
          <w:color w:val="073763"/>
        </w:rPr>
      </w:pPr>
      <w:bookmarkStart w:colFirst="0" w:colLast="0" w:name="_wqn70uuw8ww8" w:id="4"/>
      <w:bookmarkEnd w:id="4"/>
      <w:r w:rsidDel="00000000" w:rsidR="00000000" w:rsidRPr="00000000">
        <w:rPr>
          <w:rFonts w:ascii="Helvetica Neue" w:cs="Helvetica Neue" w:eastAsia="Helvetica Neue" w:hAnsi="Helvetica Neue"/>
          <w:b w:val="1"/>
          <w:color w:val="073763"/>
          <w:rtl w:val="0"/>
        </w:rPr>
        <w:t xml:space="preserve">Sobre el promotor</w:t>
      </w:r>
    </w:p>
    <w:p w:rsidR="00000000" w:rsidDel="00000000" w:rsidP="00000000" w:rsidRDefault="00000000" w:rsidRPr="00000000" w14:paraId="00000017">
      <w:pPr>
        <w:numPr>
          <w:ilvl w:val="0"/>
          <w:numId w:val="2"/>
        </w:numPr>
        <w:spacing w:after="0" w:afterAutospacing="0" w:before="24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El proyecto está impulsado por un grupo promotor con más de 20 años de experiencia en el sector inmobiliario español, especializado en el desarrollo y gestión de activos residenciales en ubicaciones prime y en expansión.</w:t>
        <w:br w:type="textWrapping"/>
      </w:r>
    </w:p>
    <w:p w:rsidR="00000000" w:rsidDel="00000000" w:rsidP="00000000" w:rsidRDefault="00000000" w:rsidRPr="00000000" w14:paraId="00000018">
      <w:pPr>
        <w:numPr>
          <w:ilvl w:val="0"/>
          <w:numId w:val="2"/>
        </w:numPr>
        <w:spacing w:after="0" w:afterAutospacing="0" w:before="0" w:beforeAutospacing="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En la última década, el equipo directivo ha gestionado más de 1.100 millones de euros en inversión inmobiliaria, entregando con éxito más de 10 promociones residenciales que abarcan desde viviendas en altura en zonas prime hasta desarrollos Build-to-Rent y urbanizaciones con amplias zonas comunes.</w:t>
        <w:br w:type="textWrapping"/>
      </w:r>
    </w:p>
    <w:p w:rsidR="00000000" w:rsidDel="00000000" w:rsidP="00000000" w:rsidRDefault="00000000" w:rsidRPr="00000000" w14:paraId="00000019">
      <w:pPr>
        <w:numPr>
          <w:ilvl w:val="0"/>
          <w:numId w:val="2"/>
        </w:numPr>
        <w:spacing w:after="0" w:afterAutospacing="0" w:before="0" w:beforeAutospacing="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Su historial incluye la entrega de más de 1.000 unidades residenciales y la gestión integral de proyectos bajo distintos formatos, desde cooperativas hasta vehículos de inversión institucional, siempre con elevados estándares de calidad y plazos de ejecución cumplidos.</w:t>
        <w:br w:type="textWrapping"/>
      </w:r>
    </w:p>
    <w:p w:rsidR="00000000" w:rsidDel="00000000" w:rsidP="00000000" w:rsidRDefault="00000000" w:rsidRPr="00000000" w14:paraId="0000001A">
      <w:pPr>
        <w:numPr>
          <w:ilvl w:val="0"/>
          <w:numId w:val="2"/>
        </w:numPr>
        <w:spacing w:after="240" w:before="0" w:beforeAutospacing="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Este track-record sólido, junto con una estructura interna multidisciplinar —que integra expertos en arquitectura, gestión de obra, financiación y legal—, ofrece a los inversores de deuda un alto grado de seguridad y capacidad de ejecución, reduciendo lo</w:t>
      </w:r>
    </w:p>
    <w:p w:rsidR="00000000" w:rsidDel="00000000" w:rsidP="00000000" w:rsidRDefault="00000000" w:rsidRPr="00000000" w14:paraId="0000001B">
      <w:pPr>
        <w:spacing w:after="240" w:before="240" w:lineRule="auto"/>
        <w:ind w:left="0" w:firstLine="0"/>
        <w:rPr>
          <w:rFonts w:ascii="Helvetica Neue" w:cs="Helvetica Neue" w:eastAsia="Helvetica Neue" w:hAnsi="Helvetica Neue"/>
          <w:b w:val="1"/>
          <w:color w:val="07376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spacing w:after="240" w:before="240" w:lineRule="auto"/>
        <w:ind w:left="0" w:firstLine="0"/>
        <w:rPr>
          <w:rFonts w:ascii="Helvetica Neue" w:cs="Helvetica Neue" w:eastAsia="Helvetica Neue" w:hAnsi="Helvetica Neue"/>
          <w:b w:val="1"/>
        </w:rPr>
      </w:pPr>
      <w:r w:rsidDel="00000000" w:rsidR="00000000" w:rsidRPr="00000000">
        <w:rPr>
          <w:rFonts w:ascii="Helvetica Neue" w:cs="Helvetica Neue" w:eastAsia="Helvetica Neue" w:hAnsi="Helvetica Neue"/>
          <w:b w:val="1"/>
          <w:color w:val="073763"/>
          <w:sz w:val="28"/>
          <w:szCs w:val="28"/>
          <w:rtl w:val="0"/>
        </w:rPr>
        <w:t xml:space="preserve">Parámetros clave</w:t>
      </w:r>
      <w:r w:rsidDel="00000000" w:rsidR="00000000" w:rsidRPr="00000000">
        <w:rPr>
          <w:rtl w:val="0"/>
        </w:rPr>
      </w:r>
    </w:p>
    <w:p w:rsidR="00000000" w:rsidDel="00000000" w:rsidP="00000000" w:rsidRDefault="00000000" w:rsidRPr="00000000" w14:paraId="0000001D">
      <w:pPr>
        <w:numPr>
          <w:ilvl w:val="0"/>
          <w:numId w:val="1"/>
        </w:numPr>
        <w:spacing w:after="0" w:afterAutospacing="0" w:before="240" w:lineRule="auto"/>
        <w:ind w:left="720" w:hanging="36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Aportación de equity solicitada: </w:t>
      </w:r>
      <w:r w:rsidDel="00000000" w:rsidR="00000000" w:rsidRPr="00000000">
        <w:rPr>
          <w:rFonts w:ascii="Helvetica Neue" w:cs="Helvetica Neue" w:eastAsia="Helvetica Neue" w:hAnsi="Helvetica Neue"/>
          <w:highlight w:val="white"/>
          <w:rtl w:val="0"/>
        </w:rPr>
        <w:t xml:space="preserve">EUR </w:t>
      </w:r>
      <w:r w:rsidDel="00000000" w:rsidR="00000000" w:rsidRPr="00000000">
        <w:rPr>
          <w:rFonts w:ascii="Helvetica Neue" w:cs="Helvetica Neue" w:eastAsia="Helvetica Neue" w:hAnsi="Helvetica Neue"/>
          <w:highlight w:val="white"/>
          <w:rtl w:val="0"/>
        </w:rPr>
        <w:t xml:space="preserve">2</w:t>
      </w:r>
      <w:r w:rsidDel="00000000" w:rsidR="00000000" w:rsidRPr="00000000">
        <w:rPr>
          <w:rFonts w:ascii="PT Sans" w:cs="PT Sans" w:eastAsia="PT Sans" w:hAnsi="PT Sans"/>
          <w:highlight w:val="white"/>
          <w:rtl w:val="0"/>
        </w:rPr>
        <w:t xml:space="preserve">0.2 M€</w:t>
      </w:r>
      <w:r w:rsidDel="00000000" w:rsidR="00000000" w:rsidRPr="00000000">
        <w:rPr>
          <w:rtl w:val="0"/>
        </w:rPr>
      </w:r>
    </w:p>
    <w:p w:rsidR="00000000" w:rsidDel="00000000" w:rsidP="00000000" w:rsidRDefault="00000000" w:rsidRPr="00000000" w14:paraId="0000001E">
      <w:pPr>
        <w:numPr>
          <w:ilvl w:val="0"/>
          <w:numId w:val="1"/>
        </w:numPr>
        <w:spacing w:after="0" w:afterAutospacing="0" w:before="0" w:beforeAutospacing="0" w:lineRule="auto"/>
        <w:ind w:left="720" w:hanging="36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Vehículo de inversión: </w:t>
      </w:r>
      <w:r w:rsidDel="00000000" w:rsidR="00000000" w:rsidRPr="00000000">
        <w:rPr>
          <w:rFonts w:ascii="Helvetica Neue" w:cs="Helvetica Neue" w:eastAsia="Helvetica Neue" w:hAnsi="Helvetica Neue"/>
          <w:rtl w:val="0"/>
        </w:rPr>
        <w:t xml:space="preserve">SOCIMI (ventaja fiscal en plusvalía)</w:t>
      </w:r>
    </w:p>
    <w:p w:rsidR="00000000" w:rsidDel="00000000" w:rsidP="00000000" w:rsidRDefault="00000000" w:rsidRPr="00000000" w14:paraId="0000001F">
      <w:pPr>
        <w:numPr>
          <w:ilvl w:val="0"/>
          <w:numId w:val="1"/>
        </w:numPr>
        <w:spacing w:after="0" w:afterAutospacing="0" w:before="0" w:beforeAutospacing="0" w:lineRule="auto"/>
        <w:ind w:left="720" w:hanging="36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Horizonte de inversión: </w:t>
      </w:r>
      <w:r w:rsidDel="00000000" w:rsidR="00000000" w:rsidRPr="00000000">
        <w:rPr>
          <w:rFonts w:ascii="Helvetica Neue" w:cs="Helvetica Neue" w:eastAsia="Helvetica Neue" w:hAnsi="Helvetica Neue"/>
          <w:rtl w:val="0"/>
        </w:rPr>
        <w:t xml:space="preserve">32 meses (construcción + estabilización de rentas)</w:t>
      </w:r>
    </w:p>
    <w:p w:rsidR="00000000" w:rsidDel="00000000" w:rsidP="00000000" w:rsidRDefault="00000000" w:rsidRPr="00000000" w14:paraId="00000020">
      <w:pPr>
        <w:numPr>
          <w:ilvl w:val="0"/>
          <w:numId w:val="1"/>
        </w:numPr>
        <w:spacing w:after="0" w:afterAutospacing="0" w:before="0" w:beforeAutospacing="0" w:lineRule="auto"/>
        <w:ind w:left="720" w:hanging="36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Rentabilidad objetivo:</w:t>
      </w:r>
      <w:r w:rsidDel="00000000" w:rsidR="00000000" w:rsidRPr="00000000">
        <w:rPr>
          <w:rFonts w:ascii="Helvetica Neue" w:cs="Helvetica Neue" w:eastAsia="Helvetica Neue" w:hAnsi="Helvetica Neue"/>
          <w:b w:val="1"/>
          <w:rtl w:val="0"/>
        </w:rPr>
        <w:t xml:space="preserve"> </w:t>
      </w:r>
      <w:r w:rsidDel="00000000" w:rsidR="00000000" w:rsidRPr="00000000">
        <w:rPr>
          <w:rFonts w:ascii="Helvetica Neue" w:cs="Helvetica Neue" w:eastAsia="Helvetica Neue" w:hAnsi="Helvetica Neue"/>
          <w:highlight w:val="white"/>
          <w:rtl w:val="0"/>
        </w:rPr>
        <w:t xml:space="preserve">13.5%</w:t>
      </w:r>
      <w:r w:rsidDel="00000000" w:rsidR="00000000" w:rsidRPr="00000000">
        <w:rPr>
          <w:rFonts w:ascii="Helvetica Neue" w:cs="Helvetica Neue" w:eastAsia="Helvetica Neue" w:hAnsi="Helvetica Neue"/>
          <w:highlight w:val="white"/>
          <w:rtl w:val="0"/>
        </w:rPr>
        <w:t xml:space="preserve"> TIR anual</w:t>
      </w:r>
    </w:p>
    <w:p w:rsidR="00000000" w:rsidDel="00000000" w:rsidP="00000000" w:rsidRDefault="00000000" w:rsidRPr="00000000" w14:paraId="00000021">
      <w:pPr>
        <w:numPr>
          <w:ilvl w:val="0"/>
          <w:numId w:val="1"/>
        </w:numPr>
        <w:spacing w:after="0" w:afterAutospacing="0" w:before="0" w:beforeAutospacing="0" w:lineRule="auto"/>
        <w:ind w:left="720" w:hanging="36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Estrategias de salida:</w:t>
      </w:r>
    </w:p>
    <w:p w:rsidR="00000000" w:rsidDel="00000000" w:rsidP="00000000" w:rsidRDefault="00000000" w:rsidRPr="00000000" w14:paraId="00000022">
      <w:pPr>
        <w:numPr>
          <w:ilvl w:val="1"/>
          <w:numId w:val="1"/>
        </w:numPr>
        <w:spacing w:after="0" w:afterAutospacing="0" w:before="0" w:beforeAutospacing="0" w:lineRule="auto"/>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Venta del activo a un comprador institucional core (forward sale) en el</w:t>
      </w:r>
      <w:r w:rsidDel="00000000" w:rsidR="00000000" w:rsidRPr="00000000">
        <w:rPr>
          <w:rFonts w:ascii="Helvetica Neue" w:cs="Helvetica Neue" w:eastAsia="Helvetica Neue" w:hAnsi="Helvetica Neue"/>
          <w:rtl w:val="0"/>
        </w:rPr>
        <w:t xml:space="preserve"> mes 3</w:t>
      </w:r>
      <w:r w:rsidDel="00000000" w:rsidR="00000000" w:rsidRPr="00000000">
        <w:rPr>
          <w:rFonts w:ascii="Helvetica Neue" w:cs="Helvetica Neue" w:eastAsia="Helvetica Neue" w:hAnsi="Helvetica Neue"/>
          <w:rtl w:val="0"/>
        </w:rPr>
        <w:t xml:space="preserve">2.</w:t>
      </w:r>
    </w:p>
    <w:p w:rsidR="00000000" w:rsidDel="00000000" w:rsidP="00000000" w:rsidRDefault="00000000" w:rsidRPr="00000000" w14:paraId="00000023">
      <w:pPr>
        <w:numPr>
          <w:ilvl w:val="2"/>
          <w:numId w:val="1"/>
        </w:numPr>
        <w:spacing w:after="0" w:afterAutospacing="0" w:before="0" w:beforeAutospacing="0" w:lineRule="auto"/>
        <w:ind w:left="2160" w:hanging="36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Rentabilidad objetivo:</w:t>
      </w:r>
      <w:r w:rsidDel="00000000" w:rsidR="00000000" w:rsidRPr="00000000">
        <w:rPr>
          <w:rFonts w:ascii="Helvetica Neue" w:cs="Helvetica Neue" w:eastAsia="Helvetica Neue" w:hAnsi="Helvetica Neue"/>
          <w:b w:val="1"/>
          <w:rtl w:val="0"/>
        </w:rPr>
        <w:t xml:space="preserve"> </w:t>
      </w:r>
      <w:r w:rsidDel="00000000" w:rsidR="00000000" w:rsidRPr="00000000">
        <w:rPr>
          <w:rFonts w:ascii="Helvetica Neue" w:cs="Helvetica Neue" w:eastAsia="Helvetica Neue" w:hAnsi="Helvetica Neue"/>
          <w:highlight w:val="white"/>
          <w:rtl w:val="0"/>
        </w:rPr>
        <w:t xml:space="preserve">13.5%</w:t>
      </w:r>
      <w:r w:rsidDel="00000000" w:rsidR="00000000" w:rsidRPr="00000000">
        <w:rPr>
          <w:rFonts w:ascii="Helvetica Neue" w:cs="Helvetica Neue" w:eastAsia="Helvetica Neue" w:hAnsi="Helvetica Neue"/>
          <w:highlight w:val="white"/>
          <w:rtl w:val="0"/>
        </w:rPr>
        <w:t xml:space="preserve"> TIR anual</w:t>
      </w:r>
      <w:r w:rsidDel="00000000" w:rsidR="00000000" w:rsidRPr="00000000">
        <w:rPr>
          <w:rtl w:val="0"/>
        </w:rPr>
      </w:r>
    </w:p>
    <w:p w:rsidR="00000000" w:rsidDel="00000000" w:rsidP="00000000" w:rsidRDefault="00000000" w:rsidRPr="00000000" w14:paraId="00000024">
      <w:pPr>
        <w:numPr>
          <w:ilvl w:val="1"/>
          <w:numId w:val="1"/>
        </w:numPr>
        <w:spacing w:after="0" w:afterAutospacing="0" w:before="0" w:beforeAutospacing="0" w:lineRule="auto"/>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Permanencia hasta liberalización con un Yield del 6% durante el período de protección</w:t>
      </w:r>
    </w:p>
    <w:p w:rsidR="00000000" w:rsidDel="00000000" w:rsidP="00000000" w:rsidRDefault="00000000" w:rsidRPr="00000000" w14:paraId="00000025">
      <w:pPr>
        <w:numPr>
          <w:ilvl w:val="2"/>
          <w:numId w:val="1"/>
        </w:numPr>
        <w:spacing w:after="0" w:afterAutospacing="0" w:before="0" w:beforeAutospacing="0" w:lineRule="auto"/>
        <w:ind w:left="2160" w:hanging="36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Yield estimado durante el período protegido: </w:t>
      </w:r>
      <w:r w:rsidDel="00000000" w:rsidR="00000000" w:rsidRPr="00000000">
        <w:rPr>
          <w:rFonts w:ascii="Helvetica Neue" w:cs="Helvetica Neue" w:eastAsia="Helvetica Neue" w:hAnsi="Helvetica Neue"/>
          <w:highlight w:val="white"/>
          <w:rtl w:val="0"/>
        </w:rPr>
        <w:t xml:space="preserve">6% anual</w:t>
      </w:r>
    </w:p>
    <w:p w:rsidR="00000000" w:rsidDel="00000000" w:rsidP="00000000" w:rsidRDefault="00000000" w:rsidRPr="00000000" w14:paraId="00000026">
      <w:pPr>
        <w:numPr>
          <w:ilvl w:val="2"/>
          <w:numId w:val="1"/>
        </w:numPr>
        <w:spacing w:after="0" w:afterAutospacing="0" w:before="0" w:beforeAutospacing="0" w:lineRule="auto"/>
        <w:ind w:left="2160" w:hanging="360"/>
        <w:rPr>
          <w:rFonts w:ascii="Helvetica Neue" w:cs="Helvetica Neue" w:eastAsia="Helvetica Neue" w:hAnsi="Helvetica Neue"/>
        </w:rPr>
      </w:pPr>
      <w:r w:rsidDel="00000000" w:rsidR="00000000" w:rsidRPr="00000000">
        <w:rPr>
          <w:rFonts w:ascii="Helvetica Neue" w:cs="Helvetica Neue" w:eastAsia="Helvetica Neue" w:hAnsi="Helvetica Neue"/>
          <w:b w:val="1"/>
          <w:highlight w:val="white"/>
          <w:rtl w:val="0"/>
        </w:rPr>
        <w:t xml:space="preserve">Rentabilidad estimada con venta en liberalización:</w:t>
      </w:r>
      <w:r w:rsidDel="00000000" w:rsidR="00000000" w:rsidRPr="00000000">
        <w:rPr>
          <w:rFonts w:ascii="Helvetica Neue" w:cs="Helvetica Neue" w:eastAsia="Helvetica Neue" w:hAnsi="Helvetica Neue"/>
          <w:b w:val="1"/>
          <w:highlight w:val="white"/>
          <w:rtl w:val="0"/>
        </w:rPr>
        <w:t xml:space="preserve"> 13.6 TIR Anua</w:t>
      </w:r>
      <w:r w:rsidDel="00000000" w:rsidR="00000000" w:rsidRPr="00000000">
        <w:rPr>
          <w:rFonts w:ascii="Helvetica Neue" w:cs="Helvetica Neue" w:eastAsia="Helvetica Neue" w:hAnsi="Helvetica Neue"/>
          <w:b w:val="1"/>
          <w:highlight w:val="white"/>
          <w:rtl w:val="0"/>
        </w:rPr>
        <w:t xml:space="preserve">l</w:t>
      </w:r>
      <w:r w:rsidDel="00000000" w:rsidR="00000000" w:rsidRPr="00000000">
        <w:rPr>
          <w:rFonts w:ascii="Helvetica Neue" w:cs="Helvetica Neue" w:eastAsia="Helvetica Neue" w:hAnsi="Helvetica Neue"/>
          <w:highlight w:val="white"/>
          <w:rtl w:val="0"/>
        </w:rPr>
        <w:br w:type="textWrapping"/>
      </w:r>
      <w:r w:rsidDel="00000000" w:rsidR="00000000" w:rsidRPr="00000000">
        <w:rPr>
          <w:rtl w:val="0"/>
        </w:rPr>
      </w:r>
    </w:p>
    <w:p w:rsidR="00000000" w:rsidDel="00000000" w:rsidP="00000000" w:rsidRDefault="00000000" w:rsidRPr="00000000" w14:paraId="00000027">
      <w:pPr>
        <w:numPr>
          <w:ilvl w:val="0"/>
          <w:numId w:val="1"/>
        </w:numPr>
        <w:spacing w:after="0" w:afterAutospacing="0" w:before="0" w:beforeAutospacing="0" w:lineRule="auto"/>
        <w:ind w:left="720" w:hanging="36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Cobertura de riesgo: </w:t>
      </w:r>
      <w:r w:rsidDel="00000000" w:rsidR="00000000" w:rsidRPr="00000000">
        <w:rPr>
          <w:rFonts w:ascii="Helvetica Neue" w:cs="Helvetica Neue" w:eastAsia="Helvetica Neue" w:hAnsi="Helvetica Neue"/>
          <w:rtl w:val="0"/>
        </w:rPr>
        <w:t xml:space="preserve">Los terrenos </w:t>
      </w:r>
      <w:r w:rsidDel="00000000" w:rsidR="00000000" w:rsidRPr="00000000">
        <w:rPr>
          <w:rFonts w:ascii="Helvetica Neue" w:cs="Helvetica Neue" w:eastAsia="Helvetica Neue" w:hAnsi="Helvetica Neue"/>
          <w:rtl w:val="0"/>
        </w:rPr>
        <w:t xml:space="preserve"> se adquieren con licencia de obra ya aprobada</w:t>
      </w:r>
    </w:p>
    <w:p w:rsidR="00000000" w:rsidDel="00000000" w:rsidP="00000000" w:rsidRDefault="00000000" w:rsidRPr="00000000" w14:paraId="00000028">
      <w:pPr>
        <w:numPr>
          <w:ilvl w:val="0"/>
          <w:numId w:val="1"/>
        </w:numPr>
        <w:spacing w:after="240" w:before="0" w:beforeAutospacing="0" w:lineRule="auto"/>
        <w:ind w:left="720" w:hanging="36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Demanda asegurada: </w:t>
      </w:r>
      <w:r w:rsidDel="00000000" w:rsidR="00000000" w:rsidRPr="00000000">
        <w:rPr>
          <w:rFonts w:ascii="Helvetica Neue" w:cs="Helvetica Neue" w:eastAsia="Helvetica Neue" w:hAnsi="Helvetica Neue"/>
          <w:rtl w:val="0"/>
        </w:rPr>
        <w:t xml:space="preserve">Ocupación &gt;97% en producto comparable, rentas reguladas 20-30% por debajo del mercado libre</w:t>
      </w:r>
    </w:p>
    <w:p w:rsidR="00000000" w:rsidDel="00000000" w:rsidP="00000000" w:rsidRDefault="00000000" w:rsidRPr="00000000" w14:paraId="00000029">
      <w:pPr>
        <w:spacing w:after="240" w:before="240" w:lineRule="auto"/>
        <w:rPr>
          <w:rFonts w:ascii="Helvetica Neue" w:cs="Helvetica Neue" w:eastAsia="Helvetica Neue" w:hAnsi="Helvetica Neu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3"/>
        <w:keepNext w:val="0"/>
        <w:keepLines w:val="0"/>
        <w:spacing w:before="280" w:lineRule="auto"/>
        <w:rPr>
          <w:rFonts w:ascii="Helvetica Neue" w:cs="Helvetica Neue" w:eastAsia="Helvetica Neue" w:hAnsi="Helvetica Neue"/>
          <w:b w:val="1"/>
          <w:color w:val="073763"/>
        </w:rPr>
      </w:pPr>
      <w:bookmarkStart w:colFirst="0" w:colLast="0" w:name="_ee0vr6lr0xid" w:id="5"/>
      <w:bookmarkEnd w:id="5"/>
      <w:r w:rsidDel="00000000" w:rsidR="00000000" w:rsidRPr="00000000">
        <w:rPr>
          <w:rFonts w:ascii="Helvetica Neue" w:cs="Helvetica Neue" w:eastAsia="Helvetica Neue" w:hAnsi="Helvetica Neue"/>
          <w:b w:val="1"/>
          <w:color w:val="073763"/>
          <w:rtl w:val="0"/>
        </w:rPr>
        <w:t xml:space="preserve">Sobre el </w:t>
      </w:r>
      <w:r w:rsidDel="00000000" w:rsidR="00000000" w:rsidRPr="00000000">
        <w:rPr>
          <w:rFonts w:ascii="Helvetica Neue" w:cs="Helvetica Neue" w:eastAsia="Helvetica Neue" w:hAnsi="Helvetica Neue"/>
          <w:b w:val="1"/>
          <w:color w:val="073763"/>
          <w:rtl w:val="0"/>
        </w:rPr>
        <w:t xml:space="preserve">promotor</w:t>
      </w:r>
      <w:r w:rsidDel="00000000" w:rsidR="00000000" w:rsidRPr="00000000">
        <w:rPr>
          <w:rtl w:val="0"/>
        </w:rPr>
      </w:r>
    </w:p>
    <w:p w:rsidR="00000000" w:rsidDel="00000000" w:rsidP="00000000" w:rsidRDefault="00000000" w:rsidRPr="00000000" w14:paraId="0000002B">
      <w:pPr>
        <w:numPr>
          <w:ilvl w:val="0"/>
          <w:numId w:val="8"/>
        </w:numPr>
        <w:spacing w:after="0" w:afterAutospacing="0" w:before="24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El proyecto está impulsado por un grupo promotor con más de 20 años de experiencia en el sector inmobiliario español, especializado en el desarrollo y gestión de activos residenciales en ubicaciones prime y en expansión.</w:t>
        <w:br w:type="textWrapping"/>
      </w:r>
    </w:p>
    <w:p w:rsidR="00000000" w:rsidDel="00000000" w:rsidP="00000000" w:rsidRDefault="00000000" w:rsidRPr="00000000" w14:paraId="0000002C">
      <w:pPr>
        <w:numPr>
          <w:ilvl w:val="0"/>
          <w:numId w:val="8"/>
        </w:numPr>
        <w:spacing w:after="0" w:afterAutospacing="0" w:before="0" w:beforeAutospacing="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En la última década, el equipo directivo ha gestionado más de 1.100 millones de euros en inversión inmobiliaria, entregando con éxito más de 10 promociones residenciales que abarcan desde viviendas en altura en zonas prime hasta desarrollos Build-to-Rent y urbanizaciones con amplias zonas comunes.</w:t>
        <w:br w:type="textWrapping"/>
      </w:r>
    </w:p>
    <w:p w:rsidR="00000000" w:rsidDel="00000000" w:rsidP="00000000" w:rsidRDefault="00000000" w:rsidRPr="00000000" w14:paraId="0000002D">
      <w:pPr>
        <w:numPr>
          <w:ilvl w:val="0"/>
          <w:numId w:val="8"/>
        </w:numPr>
        <w:spacing w:after="0" w:afterAutospacing="0" w:before="0" w:beforeAutospacing="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Su historial incluye la entrega de más de 1.000 unidades residenciales y la gestión integral de proyectos bajo distintos formatos, desde cooperativas hasta vehículos de inversión institucional, siempre con elevados estándares de calidad y plazos de ejecución cumplidos.</w:t>
        <w:br w:type="textWrapping"/>
      </w:r>
    </w:p>
    <w:p w:rsidR="00000000" w:rsidDel="00000000" w:rsidP="00000000" w:rsidRDefault="00000000" w:rsidRPr="00000000" w14:paraId="0000002E">
      <w:pPr>
        <w:numPr>
          <w:ilvl w:val="0"/>
          <w:numId w:val="8"/>
        </w:numPr>
        <w:spacing w:after="240" w:before="0" w:beforeAutospacing="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Este track-record sólido, junto con una estructura interna multidisciplinar —que integra expertos en arquitectura, gestión de obra, financiación y legal—, ofrece a los inversores de deuda un alto grado de seguridad y capacidad de ejecución, reduciendo los riesgos operativos y de mercado.</w:t>
      </w:r>
    </w:p>
    <w:p w:rsidR="00000000" w:rsidDel="00000000" w:rsidP="00000000" w:rsidRDefault="00000000" w:rsidRPr="00000000" w14:paraId="0000002F">
      <w:pPr>
        <w:spacing w:after="240" w:before="240" w:lineRule="auto"/>
        <w:ind w:left="0" w:firstLine="0"/>
        <w:rPr>
          <w:rFonts w:ascii="Helvetica Neue" w:cs="Helvetica Neue" w:eastAsia="Helvetica Neue" w:hAnsi="Helvetica Neu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3"/>
        <w:keepNext w:val="0"/>
        <w:keepLines w:val="0"/>
        <w:spacing w:before="280" w:lineRule="auto"/>
        <w:ind w:left="0" w:firstLine="0"/>
        <w:rPr>
          <w:rFonts w:ascii="Helvetica Neue" w:cs="Helvetica Neue" w:eastAsia="Helvetica Neue" w:hAnsi="Helvetica Neue"/>
          <w:b w:val="1"/>
        </w:rPr>
      </w:pPr>
      <w:bookmarkStart w:colFirst="0" w:colLast="0" w:name="_7aed5unjzkuq" w:id="6"/>
      <w:bookmarkEnd w:id="6"/>
      <w:r w:rsidDel="00000000" w:rsidR="00000000" w:rsidRPr="00000000">
        <w:rPr>
          <w:rFonts w:ascii="Helvetica Neue" w:cs="Helvetica Neue" w:eastAsia="Helvetica Neue" w:hAnsi="Helvetica Neue"/>
          <w:b w:val="1"/>
          <w:color w:val="073763"/>
          <w:rtl w:val="0"/>
        </w:rPr>
        <w:t xml:space="preserve">Ventajas para el inversor</w:t>
      </w:r>
      <w:r w:rsidDel="00000000" w:rsidR="00000000" w:rsidRPr="00000000">
        <w:rPr>
          <w:rtl w:val="0"/>
        </w:rPr>
      </w:r>
    </w:p>
    <w:p w:rsidR="00000000" w:rsidDel="00000000" w:rsidP="00000000" w:rsidRDefault="00000000" w:rsidRPr="00000000" w14:paraId="00000031">
      <w:pPr>
        <w:numPr>
          <w:ilvl w:val="0"/>
          <w:numId w:val="5"/>
        </w:numPr>
        <w:spacing w:after="0" w:afterAutospacing="0" w:before="24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Alta rotación de capital con plusvalía fiscalmente eficiente</w:t>
        <w:br w:type="textWrapping"/>
      </w:r>
    </w:p>
    <w:p w:rsidR="00000000" w:rsidDel="00000000" w:rsidP="00000000" w:rsidRDefault="00000000" w:rsidRPr="00000000" w14:paraId="00000032">
      <w:pPr>
        <w:numPr>
          <w:ilvl w:val="0"/>
          <w:numId w:val="5"/>
        </w:numPr>
        <w:spacing w:after="0" w:afterAutospacing="0" w:before="0" w:beforeAutospacing="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Riesgo de comercialización reducido por ubicación y precio</w:t>
        <w:br w:type="textWrapping"/>
      </w:r>
    </w:p>
    <w:p w:rsidR="00000000" w:rsidDel="00000000" w:rsidP="00000000" w:rsidRDefault="00000000" w:rsidRPr="00000000" w14:paraId="00000033">
      <w:pPr>
        <w:numPr>
          <w:ilvl w:val="0"/>
          <w:numId w:val="5"/>
        </w:numPr>
        <w:spacing w:after="240" w:before="0" w:beforeAutospacing="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Valor añadido desde el cambio de uso y ejecución del proyecto</w:t>
      </w:r>
    </w:p>
    <w:p w:rsidR="00000000" w:rsidDel="00000000" w:rsidP="00000000" w:rsidRDefault="00000000" w:rsidRPr="00000000" w14:paraId="00000034">
      <w:pPr>
        <w:spacing w:after="240" w:before="240" w:lineRule="auto"/>
        <w:ind w:left="0" w:firstLine="0"/>
        <w:rPr>
          <w:rFonts w:ascii="Helvetica Neue" w:cs="Helvetica Neue" w:eastAsia="Helvetica Neue" w:hAnsi="Helvetica Neu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spacing w:after="240" w:before="240" w:lineRule="auto"/>
        <w:rPr>
          <w:rFonts w:ascii="Helvetica Neue" w:cs="Helvetica Neue" w:eastAsia="Helvetica Neue" w:hAnsi="Helvetica Neue"/>
          <w:b w:val="1"/>
          <w:color w:val="000000"/>
          <w:sz w:val="26"/>
          <w:szCs w:val="26"/>
        </w:rPr>
      </w:pPr>
      <w:r w:rsidDel="00000000" w:rsidR="00000000" w:rsidRPr="00000000">
        <w:rPr>
          <w:rFonts w:ascii="Helvetica Neue" w:cs="Helvetica Neue" w:eastAsia="Helvetica Neue" w:hAnsi="Helvetica Neue"/>
          <w:b w:val="1"/>
          <w:color w:val="073763"/>
          <w:sz w:val="28"/>
          <w:szCs w:val="28"/>
          <w:rtl w:val="0"/>
        </w:rPr>
        <w:t xml:space="preserve">Criterios ESG integrados en el proyecto:</w:t>
      </w:r>
      <w:r w:rsidDel="00000000" w:rsidR="00000000" w:rsidRPr="00000000">
        <w:rPr>
          <w:rtl w:val="0"/>
        </w:rPr>
      </w:r>
    </w:p>
    <w:p w:rsidR="00000000" w:rsidDel="00000000" w:rsidP="00000000" w:rsidRDefault="00000000" w:rsidRPr="00000000" w14:paraId="00000036">
      <w:pPr>
        <w:numPr>
          <w:ilvl w:val="0"/>
          <w:numId w:val="3"/>
        </w:numPr>
        <w:spacing w:after="0" w:afterAutospacing="0" w:before="24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Social (S)</w:t>
      </w:r>
      <w:r w:rsidDel="00000000" w:rsidR="00000000" w:rsidRPr="00000000">
        <w:rPr>
          <w:rFonts w:ascii="Helvetica Neue" w:cs="Helvetica Neue" w:eastAsia="Helvetica Neue" w:hAnsi="Helvetica Neue"/>
          <w:rtl w:val="0"/>
        </w:rPr>
        <w:t xml:space="preserve">:</w:t>
        <w:br w:type="textWrapping"/>
      </w:r>
    </w:p>
    <w:p w:rsidR="00000000" w:rsidDel="00000000" w:rsidP="00000000" w:rsidRDefault="00000000" w:rsidRPr="00000000" w14:paraId="00000037">
      <w:pPr>
        <w:numPr>
          <w:ilvl w:val="1"/>
          <w:numId w:val="3"/>
        </w:numPr>
        <w:spacing w:after="0" w:afterAutospacing="0" w:before="0" w:beforeAutospacing="0" w:lineRule="auto"/>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El activo ofrece </w:t>
      </w:r>
      <w:r w:rsidDel="00000000" w:rsidR="00000000" w:rsidRPr="00000000">
        <w:rPr>
          <w:rFonts w:ascii="Helvetica Neue" w:cs="Helvetica Neue" w:eastAsia="Helvetica Neue" w:hAnsi="Helvetica Neue"/>
          <w:b w:val="1"/>
          <w:rtl w:val="0"/>
        </w:rPr>
        <w:t xml:space="preserve">vivienda asequible regulada</w:t>
      </w:r>
      <w:r w:rsidDel="00000000" w:rsidR="00000000" w:rsidRPr="00000000">
        <w:rPr>
          <w:rFonts w:ascii="Helvetica Neue" w:cs="Helvetica Neue" w:eastAsia="Helvetica Neue" w:hAnsi="Helvetica Neue"/>
          <w:rtl w:val="0"/>
        </w:rPr>
        <w:t xml:space="preserve"> en un mercado tensionado, contribuyendo directamente a la reducción del déficit habitacional.</w:t>
        <w:br w:type="textWrapping"/>
      </w:r>
    </w:p>
    <w:p w:rsidR="00000000" w:rsidDel="00000000" w:rsidP="00000000" w:rsidRDefault="00000000" w:rsidRPr="00000000" w14:paraId="00000038">
      <w:pPr>
        <w:numPr>
          <w:ilvl w:val="1"/>
          <w:numId w:val="3"/>
        </w:numPr>
        <w:spacing w:after="0" w:afterAutospacing="0" w:before="0" w:beforeAutospacing="0" w:lineRule="auto"/>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Se reserva un porcentaje para familias que cumplen criterios de ingresos regulados, garantizando el acceso a vivienda digna en una ubicación prime.</w:t>
        <w:br w:type="textWrapping"/>
      </w:r>
    </w:p>
    <w:p w:rsidR="00000000" w:rsidDel="00000000" w:rsidP="00000000" w:rsidRDefault="00000000" w:rsidRPr="00000000" w14:paraId="00000039">
      <w:pPr>
        <w:numPr>
          <w:ilvl w:val="1"/>
          <w:numId w:val="3"/>
        </w:numPr>
        <w:spacing w:after="240" w:before="0" w:beforeAutospacing="0" w:lineRule="auto"/>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Precio de alquiler</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1"/>
          <w:rtl w:val="0"/>
        </w:rPr>
        <w:t xml:space="preserve">20-30%</w:t>
      </w:r>
      <w:r w:rsidDel="00000000" w:rsidR="00000000" w:rsidRPr="00000000">
        <w:rPr>
          <w:rFonts w:ascii="Helvetica Neue" w:cs="Helvetica Neue" w:eastAsia="Helvetica Neue" w:hAnsi="Helvetica Neue"/>
          <w:b w:val="1"/>
          <w:rtl w:val="0"/>
        </w:rPr>
        <w:t xml:space="preserve"> por debajo del mercado libre</w:t>
      </w:r>
      <w:r w:rsidDel="00000000" w:rsidR="00000000" w:rsidRPr="00000000">
        <w:rPr>
          <w:rFonts w:ascii="Helvetica Neue" w:cs="Helvetica Neue" w:eastAsia="Helvetica Neue" w:hAnsi="Helvetica Neue"/>
          <w:rtl w:val="0"/>
        </w:rPr>
        <w:t xml:space="preserve">, manteniendo estabilidad y accesibilidad durante el periodo de protección.</w:t>
      </w:r>
    </w:p>
    <w:p w:rsidR="00000000" w:rsidDel="00000000" w:rsidP="00000000" w:rsidRDefault="00000000" w:rsidRPr="00000000" w14:paraId="0000003A">
      <w:pPr>
        <w:spacing w:after="240" w:before="240" w:lineRule="auto"/>
        <w:ind w:left="144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B">
      <w:pPr>
        <w:numPr>
          <w:ilvl w:val="0"/>
          <w:numId w:val="3"/>
        </w:numPr>
        <w:spacing w:after="0" w:afterAutospacing="0" w:before="24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Medioambiental (E)</w:t>
      </w:r>
      <w:r w:rsidDel="00000000" w:rsidR="00000000" w:rsidRPr="00000000">
        <w:rPr>
          <w:rFonts w:ascii="Helvetica Neue" w:cs="Helvetica Neue" w:eastAsia="Helvetica Neue" w:hAnsi="Helvetica Neue"/>
          <w:rtl w:val="0"/>
        </w:rPr>
        <w:t xml:space="preserve">:</w:t>
        <w:br w:type="textWrapping"/>
      </w:r>
    </w:p>
    <w:p w:rsidR="00000000" w:rsidDel="00000000" w:rsidP="00000000" w:rsidRDefault="00000000" w:rsidRPr="00000000" w14:paraId="0000003C">
      <w:pPr>
        <w:numPr>
          <w:ilvl w:val="1"/>
          <w:numId w:val="3"/>
        </w:numPr>
        <w:spacing w:after="0" w:afterAutospacing="0" w:before="0" w:beforeAutospacing="0" w:lineRule="auto"/>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Diseño bajo estándares de </w:t>
      </w:r>
      <w:r w:rsidDel="00000000" w:rsidR="00000000" w:rsidRPr="00000000">
        <w:rPr>
          <w:rFonts w:ascii="Helvetica Neue" w:cs="Helvetica Neue" w:eastAsia="Helvetica Neue" w:hAnsi="Helvetica Neue"/>
          <w:b w:val="1"/>
          <w:rtl w:val="0"/>
        </w:rPr>
        <w:t xml:space="preserve">eficiencia energética</w:t>
      </w:r>
      <w:r w:rsidDel="00000000" w:rsidR="00000000" w:rsidRPr="00000000">
        <w:rPr>
          <w:rFonts w:ascii="Helvetica Neue" w:cs="Helvetica Neue" w:eastAsia="Helvetica Neue" w:hAnsi="Helvetica Neue"/>
          <w:rtl w:val="0"/>
        </w:rPr>
        <w:t xml:space="preserve"> y sostenibilidad, incluyendo optimización de consumo de agua y energía.</w:t>
        <w:br w:type="textWrapping"/>
      </w:r>
    </w:p>
    <w:p w:rsidR="00000000" w:rsidDel="00000000" w:rsidP="00000000" w:rsidRDefault="00000000" w:rsidRPr="00000000" w14:paraId="0000003D">
      <w:pPr>
        <w:numPr>
          <w:ilvl w:val="1"/>
          <w:numId w:val="3"/>
        </w:numPr>
        <w:spacing w:after="0" w:afterAutospacing="0" w:before="0" w:beforeAutospacing="0" w:lineRule="auto"/>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Uso de materiales con bajo impacto ambiental y certificaciones energéticas A/B.</w:t>
        <w:br w:type="textWrapping"/>
      </w:r>
    </w:p>
    <w:p w:rsidR="00000000" w:rsidDel="00000000" w:rsidP="00000000" w:rsidRDefault="00000000" w:rsidRPr="00000000" w14:paraId="0000003E">
      <w:pPr>
        <w:numPr>
          <w:ilvl w:val="1"/>
          <w:numId w:val="3"/>
        </w:numPr>
        <w:spacing w:after="0" w:afterAutospacing="0" w:before="0" w:beforeAutospacing="0" w:lineRule="auto"/>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Previsión de puntos de recarga para vehículos eléctricos y fomento de movilidad sostenible.</w:t>
        <w:br w:type="textWrapping"/>
      </w:r>
    </w:p>
    <w:p w:rsidR="00000000" w:rsidDel="00000000" w:rsidP="00000000" w:rsidRDefault="00000000" w:rsidRPr="00000000" w14:paraId="0000003F">
      <w:pPr>
        <w:numPr>
          <w:ilvl w:val="0"/>
          <w:numId w:val="3"/>
        </w:numPr>
        <w:spacing w:after="0" w:afterAutospacing="0" w:before="0" w:beforeAutospacing="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Gobernanza (G)</w:t>
      </w:r>
      <w:r w:rsidDel="00000000" w:rsidR="00000000" w:rsidRPr="00000000">
        <w:rPr>
          <w:rFonts w:ascii="Helvetica Neue" w:cs="Helvetica Neue" w:eastAsia="Helvetica Neue" w:hAnsi="Helvetica Neue"/>
          <w:rtl w:val="0"/>
        </w:rPr>
        <w:t xml:space="preserve">:</w:t>
        <w:br w:type="textWrapping"/>
      </w:r>
    </w:p>
    <w:p w:rsidR="00000000" w:rsidDel="00000000" w:rsidP="00000000" w:rsidRDefault="00000000" w:rsidRPr="00000000" w14:paraId="00000040">
      <w:pPr>
        <w:numPr>
          <w:ilvl w:val="1"/>
          <w:numId w:val="3"/>
        </w:numPr>
        <w:spacing w:after="0" w:afterAutospacing="0" w:before="0" w:beforeAutospacing="0" w:lineRule="auto"/>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Inversión canalizada a través de una </w:t>
      </w:r>
      <w:r w:rsidDel="00000000" w:rsidR="00000000" w:rsidRPr="00000000">
        <w:rPr>
          <w:rFonts w:ascii="Helvetica Neue" w:cs="Helvetica Neue" w:eastAsia="Helvetica Neue" w:hAnsi="Helvetica Neue"/>
          <w:b w:val="1"/>
          <w:rtl w:val="0"/>
        </w:rPr>
        <w:t xml:space="preserve">SOCIMI</w:t>
      </w:r>
      <w:r w:rsidDel="00000000" w:rsidR="00000000" w:rsidRPr="00000000">
        <w:rPr>
          <w:rFonts w:ascii="Helvetica Neue" w:cs="Helvetica Neue" w:eastAsia="Helvetica Neue" w:hAnsi="Helvetica Neue"/>
          <w:rtl w:val="0"/>
        </w:rPr>
        <w:t xml:space="preserve"> con estructura transparente, sujeta a auditorías y supervisión de mercado.</w:t>
        <w:br w:type="textWrapping"/>
      </w:r>
    </w:p>
    <w:p w:rsidR="00000000" w:rsidDel="00000000" w:rsidP="00000000" w:rsidRDefault="00000000" w:rsidRPr="00000000" w14:paraId="00000041">
      <w:pPr>
        <w:numPr>
          <w:ilvl w:val="1"/>
          <w:numId w:val="3"/>
        </w:numPr>
        <w:spacing w:after="0" w:afterAutospacing="0" w:before="0" w:beforeAutospacing="0" w:lineRule="auto"/>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Gestión profesionalizada con políticas claras de selección de inquilinos y control de morosidad.</w:t>
        <w:br w:type="textWrapping"/>
      </w:r>
    </w:p>
    <w:p w:rsidR="00000000" w:rsidDel="00000000" w:rsidP="00000000" w:rsidRDefault="00000000" w:rsidRPr="00000000" w14:paraId="00000042">
      <w:pPr>
        <w:numPr>
          <w:ilvl w:val="1"/>
          <w:numId w:val="3"/>
        </w:numPr>
        <w:spacing w:after="240" w:before="0" w:beforeAutospacing="0" w:lineRule="auto"/>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Reporting periódico a inversores, incluyendo métricas ESG y de impacto social.</w:t>
        <w:br w:type="textWrapping"/>
      </w:r>
    </w:p>
    <w:p w:rsidR="00000000" w:rsidDel="00000000" w:rsidP="00000000" w:rsidRDefault="00000000" w:rsidRPr="00000000" w14:paraId="00000043">
      <w:pPr>
        <w:spacing w:after="240" w:befor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Beneficio para el inversor ESG:</w:t>
        <w:br w:type="textWrapping"/>
      </w:r>
      <w:r w:rsidDel="00000000" w:rsidR="00000000" w:rsidRPr="00000000">
        <w:rPr>
          <w:rFonts w:ascii="Helvetica Neue" w:cs="Helvetica Neue" w:eastAsia="Helvetica Neue" w:hAnsi="Helvetica Neue"/>
          <w:rtl w:val="0"/>
        </w:rPr>
        <w:t xml:space="preserve"> Este proyecto ofrece </w:t>
      </w:r>
      <w:r w:rsidDel="00000000" w:rsidR="00000000" w:rsidRPr="00000000">
        <w:rPr>
          <w:rFonts w:ascii="Helvetica Neue" w:cs="Helvetica Neue" w:eastAsia="Helvetica Neue" w:hAnsi="Helvetica Neue"/>
          <w:b w:val="1"/>
          <w:rtl w:val="0"/>
        </w:rPr>
        <w:t xml:space="preserve">retornos financieros competitivos</w:t>
      </w:r>
      <w:r w:rsidDel="00000000" w:rsidR="00000000" w:rsidRPr="00000000">
        <w:rPr>
          <w:rFonts w:ascii="Helvetica Neue" w:cs="Helvetica Neue" w:eastAsia="Helvetica Neue" w:hAnsi="Helvetica Neue"/>
          <w:rtl w:val="0"/>
        </w:rPr>
        <w:t xml:space="preserve"> mientras genera un </w:t>
      </w:r>
      <w:r w:rsidDel="00000000" w:rsidR="00000000" w:rsidRPr="00000000">
        <w:rPr>
          <w:rFonts w:ascii="Helvetica Neue" w:cs="Helvetica Neue" w:eastAsia="Helvetica Neue" w:hAnsi="Helvetica Neue"/>
          <w:b w:val="1"/>
          <w:rtl w:val="0"/>
        </w:rPr>
        <w:t xml:space="preserve">impacto social positivo y medible</w:t>
      </w:r>
      <w:r w:rsidDel="00000000" w:rsidR="00000000" w:rsidRPr="00000000">
        <w:rPr>
          <w:rFonts w:ascii="Helvetica Neue" w:cs="Helvetica Neue" w:eastAsia="Helvetica Neue" w:hAnsi="Helvetica Neue"/>
          <w:rtl w:val="0"/>
        </w:rPr>
        <w:t xml:space="preserve">, lo que permite a fondos con mandatos ESG cumplir simultáneamente objetivos de rentabilidad e impacto.</w:t>
      </w:r>
      <w:r w:rsidDel="00000000" w:rsidR="00000000" w:rsidRPr="00000000">
        <w:rPr>
          <w:rtl w:val="0"/>
        </w:rPr>
      </w:r>
    </w:p>
    <w:p w:rsidR="00000000" w:rsidDel="00000000" w:rsidP="00000000" w:rsidRDefault="00000000" w:rsidRPr="00000000" w14:paraId="00000044">
      <w:pPr>
        <w:spacing w:after="240" w:before="240" w:lineRule="auto"/>
        <w:ind w:left="0" w:firstLine="0"/>
        <w:rPr>
          <w:rFonts w:ascii="Helvetica Neue" w:cs="Helvetica Neue" w:eastAsia="Helvetica Neue" w:hAnsi="Helvetica Neu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pStyle w:val="Heading3"/>
        <w:keepNext w:val="0"/>
        <w:keepLines w:val="0"/>
        <w:spacing w:before="280" w:lineRule="auto"/>
        <w:ind w:left="0" w:firstLine="0"/>
        <w:rPr>
          <w:rFonts w:ascii="Helvetica Neue" w:cs="Helvetica Neue" w:eastAsia="Helvetica Neue" w:hAnsi="Helvetica Neue"/>
          <w:b w:val="1"/>
          <w:color w:val="073763"/>
        </w:rPr>
      </w:pPr>
      <w:bookmarkStart w:colFirst="0" w:colLast="0" w:name="_dwrncpzbuba8" w:id="7"/>
      <w:bookmarkEnd w:id="7"/>
      <w:r w:rsidDel="00000000" w:rsidR="00000000" w:rsidRPr="00000000">
        <w:rPr>
          <w:rFonts w:ascii="Helvetica Neue" w:cs="Helvetica Neue" w:eastAsia="Helvetica Neue" w:hAnsi="Helvetica Neue"/>
          <w:b w:val="1"/>
          <w:color w:val="073763"/>
          <w:rtl w:val="0"/>
        </w:rPr>
        <w:t xml:space="preserve">Próximos Pasos</w:t>
      </w:r>
    </w:p>
    <w:p w:rsidR="00000000" w:rsidDel="00000000" w:rsidP="00000000" w:rsidRDefault="00000000" w:rsidRPr="00000000" w14:paraId="00000046">
      <w:pPr>
        <w:numPr>
          <w:ilvl w:val="0"/>
          <w:numId w:val="7"/>
        </w:numPr>
        <w:spacing w:after="0" w:afterAutospacing="0" w:before="24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Confirmación de interés antes del:</w:t>
      </w:r>
      <w:r w:rsidDel="00000000" w:rsidR="00000000" w:rsidRPr="00000000">
        <w:rPr>
          <w:rFonts w:ascii="Helvetica Neue" w:cs="Helvetica Neue" w:eastAsia="Helvetica Neue" w:hAnsi="Helvetica Neue"/>
          <w:rtl w:val="0"/>
        </w:rPr>
        <w:t xml:space="preserve"> 30 de septiembre de 2025</w:t>
      </w:r>
    </w:p>
    <w:p w:rsidR="00000000" w:rsidDel="00000000" w:rsidP="00000000" w:rsidRDefault="00000000" w:rsidRPr="00000000" w14:paraId="00000047">
      <w:pPr>
        <w:numPr>
          <w:ilvl w:val="0"/>
          <w:numId w:val="7"/>
        </w:numPr>
        <w:spacing w:after="0" w:afterAutospacing="0" w:before="0" w:beforeAutospacing="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NDA requerido</w:t>
      </w:r>
      <w:r w:rsidDel="00000000" w:rsidR="00000000" w:rsidRPr="00000000">
        <w:rPr>
          <w:rFonts w:ascii="Helvetica Neue" w:cs="Helvetica Neue" w:eastAsia="Helvetica Neue" w:hAnsi="Helvetica Neue"/>
          <w:rtl w:val="0"/>
        </w:rPr>
        <w:t xml:space="preserve"> para revisión detallada de documentación </w:t>
      </w:r>
    </w:p>
    <w:p w:rsidR="00000000" w:rsidDel="00000000" w:rsidP="00000000" w:rsidRDefault="00000000" w:rsidRPr="00000000" w14:paraId="00000048">
      <w:pPr>
        <w:numPr>
          <w:ilvl w:val="0"/>
          <w:numId w:val="7"/>
        </w:numPr>
        <w:spacing w:after="0" w:afterAutospacing="0" w:before="0" w:beforeAutospacing="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Acceso a data room y modelo financiero completo</w:t>
      </w:r>
    </w:p>
    <w:p w:rsidR="00000000" w:rsidDel="00000000" w:rsidP="00000000" w:rsidRDefault="00000000" w:rsidRPr="00000000" w14:paraId="00000049">
      <w:pPr>
        <w:numPr>
          <w:ilvl w:val="0"/>
          <w:numId w:val="7"/>
        </w:numPr>
        <w:spacing w:after="240" w:before="0" w:beforeAutospacing="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Cierre objetivo:</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rtl w:val="0"/>
        </w:rPr>
        <w:t xml:space="preserve">15 de Noviembre de 2025</w:t>
      </w: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Verdana"/>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PT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pageBreakBefore w:val="0"/>
      <w:widowControl w:val="0"/>
      <w:spacing w:line="240" w:lineRule="auto"/>
      <w:jc w:val="right"/>
      <w:rPr>
        <w:rFonts w:ascii="Helvetica Neue" w:cs="Helvetica Neue" w:eastAsia="Helvetica Neue" w:hAnsi="Helvetica Neue"/>
        <w:sz w:val="14"/>
        <w:szCs w:val="14"/>
      </w:rPr>
    </w:pPr>
    <w:r w:rsidDel="00000000" w:rsidR="00000000" w:rsidRPr="00000000">
      <w:rPr>
        <w:rFonts w:ascii="Helvetica Neue" w:cs="Helvetica Neue" w:eastAsia="Helvetica Neue" w:hAnsi="Helvetica Neue"/>
        <w:sz w:val="14"/>
        <w:szCs w:val="1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pageBreakBefore w:val="0"/>
      <w:jc w:val="right"/>
      <w:rPr>
        <w:sz w:val="16"/>
        <w:szCs w:val="16"/>
      </w:rPr>
    </w:pPr>
    <w:r w:rsidDel="00000000" w:rsidR="00000000" w:rsidRPr="00000000">
      <w:rPr>
        <w:rtl w:val="0"/>
      </w:rPr>
    </w:r>
  </w:p>
  <w:p w:rsidR="00000000" w:rsidDel="00000000" w:rsidP="00000000" w:rsidRDefault="00000000" w:rsidRPr="00000000" w14:paraId="00000053">
    <w:pPr>
      <w:pageBreakBefore w:val="0"/>
      <w:jc w:val="right"/>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pageBreakBefore w:val="0"/>
      <w:widowControl w:val="0"/>
      <w:spacing w:line="240" w:lineRule="auto"/>
      <w:rPr>
        <w:rFonts w:ascii="Verdana" w:cs="Verdana" w:eastAsia="Verdana" w:hAnsi="Verdana"/>
        <w:sz w:val="14"/>
        <w:szCs w:val="14"/>
      </w:rPr>
    </w:pPr>
    <w:r w:rsidDel="00000000" w:rsidR="00000000" w:rsidRPr="00000000">
      <w:rPr>
        <w:rFonts w:ascii="Verdana" w:cs="Verdana" w:eastAsia="Verdana" w:hAnsi="Verdana"/>
        <w:i w:val="1"/>
        <w:sz w:val="14"/>
        <w:szCs w:val="14"/>
        <w:rtl w:val="0"/>
      </w:rPr>
      <w:t xml:space="preserve">Confidential                                                                                                                                                                         </w:t>
    </w:r>
    <w:r w:rsidDel="00000000" w:rsidR="00000000" w:rsidRPr="00000000">
      <w:rPr>
        <w:rFonts w:ascii="Verdana" w:cs="Verdana" w:eastAsia="Verdana" w:hAnsi="Verdana"/>
        <w:i w:val="1"/>
        <w:sz w:val="14"/>
        <w:szCs w:val="1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drawing>
        <wp:inline distB="114300" distT="114300" distL="114300" distR="114300">
          <wp:extent cx="1280948" cy="309563"/>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80948" cy="309563"/>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4C">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pageBreakBefore w:val="0"/>
      <w:rPr>
        <w:rFonts w:ascii="Nunito" w:cs="Nunito" w:eastAsia="Nunito" w:hAnsi="Nunito"/>
        <w:b w:val="1"/>
        <w:color w:val="0097a7"/>
        <w:sz w:val="46"/>
        <w:szCs w:val="46"/>
      </w:rPr>
    </w:pPr>
    <w:r w:rsidDel="00000000" w:rsidR="00000000" w:rsidRPr="00000000">
      <w:rPr/>
      <w:drawing>
        <wp:inline distB="114300" distT="114300" distL="114300" distR="114300">
          <wp:extent cx="1682461" cy="414338"/>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82461" cy="414338"/>
                  </a:xfrm>
                  <a:prstGeom prst="rect"/>
                  <a:ln/>
                </pic:spPr>
              </pic:pic>
            </a:graphicData>
          </a:graphic>
        </wp:inline>
      </w:drawing>
    </w:r>
    <w:r w:rsidDel="00000000" w:rsidR="00000000" w:rsidRPr="00000000">
      <w:rPr>
        <w:rtl w:val="0"/>
      </w:rPr>
      <w:t xml:space="preserve">   </w:t>
    </w: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11" Type="http://schemas.openxmlformats.org/officeDocument/2006/relationships/font" Target="fonts/PTSans-italic.ttf"/><Relationship Id="rId10" Type="http://schemas.openxmlformats.org/officeDocument/2006/relationships/font" Target="fonts/PTSans-bold.ttf"/><Relationship Id="rId12" Type="http://schemas.openxmlformats.org/officeDocument/2006/relationships/font" Target="fonts/PTSans-boldItalic.ttf"/><Relationship Id="rId9" Type="http://schemas.openxmlformats.org/officeDocument/2006/relationships/font" Target="fonts/PTSans-regular.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