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PC2</w:t>
      </w:r>
    </w:p>
    <w:p>
      <w:r>
        <w:t>Course: Big Data</w:t>
      </w:r>
    </w:p>
    <w:p>
      <w:r>
        <w:t>Computer Science School</w:t>
      </w:r>
    </w:p>
    <w:p>
      <w:r>
        <w:t>Teacher: Carlos Adrian Alarcon Delgado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Code</w:t>
            </w:r>
          </w:p>
        </w:tc>
        <w:tc>
          <w:tcPr>
            <w:tcW w:type="dxa" w:w="4320"/>
          </w:tcPr>
          <w:p>
            <w:r>
              <w:t>Full name</w:t>
            </w:r>
          </w:p>
        </w:tc>
      </w:tr>
      <w:tr>
        <w:tc>
          <w:tcPr>
            <w:tcW w:type="dxa" w:w="4320"/>
          </w:tcPr>
          <w:p>
            <w:r>
              <w:t>U202215375</w:t>
            </w:r>
          </w:p>
        </w:tc>
        <w:tc>
          <w:tcPr>
            <w:tcW w:type="dxa" w:w="4320"/>
          </w:tcPr>
          <w:p>
            <w:r>
              <w:t>Ricardo Rafael Rivas Carrillo</w:t>
            </w:r>
          </w:p>
        </w:tc>
      </w:tr>
      <w:tr>
        <w:tc>
          <w:tcPr>
            <w:tcW w:type="dxa" w:w="4320"/>
          </w:tcPr>
          <w:p>
            <w:r>
              <w:t xml:space="preserve">u202216148 </w:t>
            </w:r>
          </w:p>
        </w:tc>
        <w:tc>
          <w:tcPr>
            <w:tcW w:type="dxa" w:w="4320"/>
          </w:tcPr>
          <w:p>
            <w:r>
              <w:t>Salvador Diaz Aguirre</w:t>
            </w:r>
          </w:p>
        </w:tc>
      </w:tr>
      <w:tr>
        <w:tc>
          <w:tcPr>
            <w:tcW w:type="dxa" w:w="4320"/>
          </w:tcPr>
          <w:p>
            <w:r>
              <w:t>U202212243</w:t>
            </w:r>
          </w:p>
        </w:tc>
        <w:tc>
          <w:tcPr>
            <w:tcW w:type="dxa" w:w="4320"/>
          </w:tcPr>
          <w:p>
            <w:r>
              <w:t>Joaquin Fernando Arévalo Alcántara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1. Objective Recap</w:t>
      </w:r>
    </w:p>
    <w:p>
      <w:r>
        <w:t>This deliverable (PC2) extends the data pipeline built in PC1 by moving from raw enriched tables to meaningful per-business feature representations, then measuring how much dimensionality can be discarded without significant information loss. The analytical unit is a single Philadelphia business. The ultimate goal remains hidden-gem detection: identifying businesses with high quality signals but low visibility. A compact, clean feature space is a prerequisite for this scoring.</w:t>
      </w:r>
    </w:p>
    <w:p>
      <w:pPr>
        <w:pStyle w:val="Heading2"/>
        <w:jc w:val="left"/>
      </w:pPr>
      <w:r>
        <w:t>2. Feature Engineering</w:t>
      </w:r>
    </w:p>
    <w:p>
      <w:r>
        <w:t>The enriched reviews table (~775,955 rows, ~9,930 unique businesses) was aggregated to a single row per business. Four feature blocks were constructed:</w:t>
      </w:r>
    </w:p>
    <w:p>
      <w:pPr>
        <w:pStyle w:val="Heading3"/>
        <w:jc w:val="left"/>
      </w:pPr>
      <w:r>
        <w:t>2.1 Numeric &amp; Temporal Block</w:t>
      </w:r>
    </w:p>
    <w:p>
      <w:r>
        <w:t>13 features: business_stars, log_review_count, mean_review_stars, std_review_stars, mean_useful, mean_funny, mean_cool, mean_user_avg_stars, mean_user_rev_count, days_since_first, days_since_last, review_span_days, reviews_per_year_recent. All features were standardized with StandardScaler (zero mean, unit variance).</w:t>
      </w:r>
    </w:p>
    <w:p>
      <w:pPr>
        <w:pStyle w:val="Heading3"/>
        <w:jc w:val="left"/>
      </w:pPr>
      <w:r>
        <w:t>2.2 Categorical Multi-Hot Block</w:t>
      </w:r>
    </w:p>
    <w:p>
      <w:r>
        <w:t>The top 50 most frequent Yelp categories (from the 943-category taxonomy) were one-hot encoded per business using MultiLabelBinarizer. The top 50 covers ≈95 % of all category occurrences. Sample columns: Restaurants, Food, Shopping, Nightlife, Bars, Beauty &amp; Spas, Sandwiches, Home Services, Coffee &amp; Tea, Local Services, ...</w:t>
      </w:r>
    </w:p>
    <w:p>
      <w:pPr>
        <w:pStyle w:val="Heading3"/>
        <w:jc w:val="left"/>
      </w:pPr>
      <w:r>
        <w:t>2.3 Text TF-IDF Block</w:t>
      </w:r>
    </w:p>
    <w:p>
      <w:r>
        <w:t>All reviews for each business were concatenated into a single document, then vectorized with TfidfVectorizer (English stopwords, bigrams (1,2), max_features=5,000, min_df=5, max_df=0.60, sublinear TF scaling). Output: sparse CSR matrix with ~9,930 rows × 5,000 columns.</w:t>
      </w:r>
    </w:p>
    <w:p>
      <w:pPr>
        <w:pStyle w:val="Heading3"/>
        <w:jc w:val="left"/>
      </w:pPr>
      <w:r>
        <w:t>2.4 Combined Matrix</w:t>
      </w:r>
    </w:p>
    <w:p>
      <w:r>
        <w:t>A combined matrix was formed by hstacking the standardized dense matrix (converted to sparse CSR) with the L2-normalized TF-IDF matrix. This ensures both blocks contribute on a comparable scale to the downstream SVD.</w:t>
      </w:r>
    </w:p>
    <w:p>
      <w:r>
        <w:br w:type="page"/>
      </w:r>
    </w:p>
    <w:p>
      <w:pPr>
        <w:pStyle w:val="Heading2"/>
        <w:jc w:val="left"/>
      </w:pPr>
      <w:r>
        <w:t>3. Dimensionality Reduction</w:t>
      </w:r>
    </w:p>
    <w:p>
      <w:pPr>
        <w:pStyle w:val="Heading3"/>
        <w:jc w:val="left"/>
      </w:pPr>
      <w:r>
        <w:t>3.1 PCA on Dense Matrix</w:t>
      </w:r>
    </w:p>
    <w:p>
      <w:r>
        <w:t>sklearn.decomposition.PCA was applied to the dense numeric+categorical matrix. PCA requires a dense input and works well here because the matrix is small (~9,930 × 63). Up to 100 components were retained.</w:t>
      </w:r>
    </w:p>
    <w:p>
      <w:pPr>
        <w:pStyle w:val="Heading3"/>
        <w:jc w:val="left"/>
      </w:pPr>
      <w:r>
        <w:t>3.2 Truncated SVD on Text Matrix</w:t>
      </w:r>
    </w:p>
    <w:p>
      <w:r>
        <w:t>sklearn.decomposition.TruncatedSVD (equivalent to LSA — Latent Semantic Analysis) was applied to the sparse TF-IDF matrix. TruncatedSVD is the correct choice for sparse inputs: it avoids centering (which would densify the matrix) and scales to the ~5,000-dimensional text space. Up to 200 components were retained.</w:t>
      </w:r>
    </w:p>
    <w:p>
      <w:pPr>
        <w:pStyle w:val="Heading3"/>
        <w:jc w:val="left"/>
      </w:pPr>
      <w:r>
        <w:t>3.3 Truncated SVD on Combined Matrix</w:t>
      </w:r>
    </w:p>
    <w:p>
      <w:r>
        <w:t>TruncatedSVD was also applied to the combined matrix, producing a single latent representation that blends structured business attributes with review-language patterns. This is the richest single view for the hidden-gem scoring pipeline.</w:t>
      </w:r>
    </w:p>
    <w:p>
      <w:pPr>
        <w:pStyle w:val="Heading3"/>
        <w:jc w:val="left"/>
      </w:pPr>
      <w:r>
        <w:t>3.4 t-SNE Visualization</w:t>
      </w:r>
    </w:p>
    <w:p>
      <w:r>
        <w:t>t-SNE was applied to the top 50 components of the combined SVD result (perplexity=30, PCA initialization, random_state=42). Pre-reducing to 50 dimensions before t-SNE is standard practice: it removes noise, speeds up computation, and improves the quality of the 2D layout.</w:t>
      </w:r>
    </w:p>
    <w:p>
      <w:r>
        <w:br w:type="page"/>
      </w:r>
    </w:p>
    <w:p>
      <w:pPr>
        <w:pStyle w:val="Heading2"/>
        <w:jc w:val="left"/>
      </w:pPr>
      <w:r>
        <w:t>4. Comparison Table</w:t>
      </w:r>
    </w:p>
    <w:p>
      <w:r>
        <w:t>The table below reports cumulative explained variance at k = 10, 20, 50, 100 components, the relative Frobenius reconstruction error at k = 50, and wall-clock runtime for each matrix-method combination.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matrix</w:t>
            </w:r>
          </w:p>
        </w:tc>
        <w:tc>
          <w:tcPr>
            <w:tcW w:type="dxa" w:w="960"/>
          </w:tcPr>
          <w:p>
            <w:r>
              <w:t>method</w:t>
            </w:r>
          </w:p>
        </w:tc>
        <w:tc>
          <w:tcPr>
            <w:tcW w:type="dxa" w:w="960"/>
          </w:tcPr>
          <w:p>
            <w:r>
              <w:t>n_features_in</w:t>
            </w:r>
          </w:p>
        </w:tc>
        <w:tc>
          <w:tcPr>
            <w:tcW w:type="dxa" w:w="960"/>
          </w:tcPr>
          <w:p>
            <w:r>
              <w:t>cum_var_at_10</w:t>
            </w:r>
          </w:p>
        </w:tc>
        <w:tc>
          <w:tcPr>
            <w:tcW w:type="dxa" w:w="960"/>
          </w:tcPr>
          <w:p>
            <w:r>
              <w:t>cum_var_at_20</w:t>
            </w:r>
          </w:p>
        </w:tc>
        <w:tc>
          <w:tcPr>
            <w:tcW w:type="dxa" w:w="960"/>
          </w:tcPr>
          <w:p>
            <w:r>
              <w:t>cum_var_at_50</w:t>
            </w:r>
          </w:p>
        </w:tc>
        <w:tc>
          <w:tcPr>
            <w:tcW w:type="dxa" w:w="960"/>
          </w:tcPr>
          <w:p>
            <w:r>
              <w:t>cum_var_at_100</w:t>
            </w:r>
          </w:p>
        </w:tc>
        <w:tc>
          <w:tcPr>
            <w:tcW w:type="dxa" w:w="960"/>
          </w:tcPr>
          <w:p>
            <w:r>
              <w:t>recon_error_at_50</w:t>
            </w:r>
          </w:p>
        </w:tc>
        <w:tc>
          <w:tcPr>
            <w:tcW w:type="dxa" w:w="960"/>
          </w:tcPr>
          <w:p>
            <w:r>
              <w:t>runtime_s</w:t>
            </w:r>
          </w:p>
        </w:tc>
      </w:tr>
      <w:tr>
        <w:tc>
          <w:tcPr>
            <w:tcW w:type="dxa" w:w="960"/>
          </w:tcPr>
          <w:p>
            <w:r>
              <w:t>dense (PCA)</w:t>
            </w:r>
          </w:p>
        </w:tc>
        <w:tc>
          <w:tcPr>
            <w:tcW w:type="dxa" w:w="960"/>
          </w:tcPr>
          <w:p>
            <w:r>
              <w:t>PCA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0.8433</w:t>
            </w:r>
          </w:p>
        </w:tc>
        <w:tc>
          <w:tcPr>
            <w:tcW w:type="dxa" w:w="960"/>
          </w:tcPr>
          <w:p>
            <w:r>
              <w:t>0.9316</w:t>
            </w:r>
          </w:p>
        </w:tc>
        <w:tc>
          <w:tcPr>
            <w:tcW w:type="dxa" w:w="960"/>
          </w:tcPr>
          <w:p>
            <w:r>
              <w:t>0.9921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0.0876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text (SVD)</w:t>
            </w:r>
          </w:p>
        </w:tc>
        <w:tc>
          <w:tcPr>
            <w:tcW w:type="dxa" w:w="960"/>
          </w:tcPr>
          <w:p>
            <w:r>
              <w:t>TruncatedSVD</w:t>
            </w:r>
          </w:p>
        </w:tc>
        <w:tc>
          <w:tcPr>
            <w:tcW w:type="dxa" w:w="960"/>
          </w:tcPr>
          <w:p>
            <w:r>
              <w:t>5000</w:t>
            </w:r>
          </w:p>
        </w:tc>
        <w:tc>
          <w:tcPr>
            <w:tcW w:type="dxa" w:w="960"/>
          </w:tcPr>
          <w:p>
            <w:r>
              <w:t>0.1403</w:t>
            </w:r>
          </w:p>
        </w:tc>
        <w:tc>
          <w:tcPr>
            <w:tcW w:type="dxa" w:w="960"/>
          </w:tcPr>
          <w:p>
            <w:r>
              <w:t>0.1856</w:t>
            </w:r>
          </w:p>
        </w:tc>
        <w:tc>
          <w:tcPr>
            <w:tcW w:type="dxa" w:w="960"/>
          </w:tcPr>
          <w:p>
            <w:r>
              <w:t>0.2503</w:t>
            </w:r>
          </w:p>
        </w:tc>
        <w:tc>
          <w:tcPr>
            <w:tcW w:type="dxa" w:w="960"/>
          </w:tcPr>
          <w:p>
            <w:r>
              <w:t>0.3036</w:t>
            </w:r>
          </w:p>
        </w:tc>
        <w:tc>
          <w:tcPr>
            <w:tcW w:type="dxa" w:w="960"/>
          </w:tcPr>
          <w:p>
            <w:r>
              <w:t>0.8001</w:t>
            </w:r>
          </w:p>
        </w:tc>
        <w:tc>
          <w:tcPr>
            <w:tcW w:type="dxa" w:w="960"/>
          </w:tcPr>
          <w:p>
            <w:r>
              <w:t>4.3</w:t>
            </w:r>
          </w:p>
        </w:tc>
      </w:tr>
      <w:tr>
        <w:tc>
          <w:tcPr>
            <w:tcW w:type="dxa" w:w="960"/>
          </w:tcPr>
          <w:p>
            <w:r>
              <w:t>combined (SVD)</w:t>
            </w:r>
          </w:p>
        </w:tc>
        <w:tc>
          <w:tcPr>
            <w:tcW w:type="dxa" w:w="960"/>
          </w:tcPr>
          <w:p>
            <w:r>
              <w:t>TruncatedSVD</w:t>
            </w:r>
          </w:p>
        </w:tc>
        <w:tc>
          <w:tcPr>
            <w:tcW w:type="dxa" w:w="960"/>
          </w:tcPr>
          <w:p>
            <w:r>
              <w:t>5063</w:t>
            </w:r>
          </w:p>
        </w:tc>
        <w:tc>
          <w:tcPr>
            <w:tcW w:type="dxa" w:w="960"/>
          </w:tcPr>
          <w:p>
            <w:r>
              <w:t>0.79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0.9471</w:t>
            </w:r>
          </w:p>
        </w:tc>
        <w:tc>
          <w:tcPr>
            <w:tcW w:type="dxa" w:w="960"/>
          </w:tcPr>
          <w:p>
            <w:r>
              <w:t>0.9603</w:t>
            </w:r>
          </w:p>
        </w:tc>
        <w:tc>
          <w:tcPr>
            <w:tcW w:type="dxa" w:w="960"/>
          </w:tcPr>
          <w:p>
            <w:r>
              <w:t>0.226</w:t>
            </w:r>
          </w:p>
        </w:tc>
        <w:tc>
          <w:tcPr>
            <w:tcW w:type="dxa" w:w="960"/>
          </w:tcPr>
          <w:p>
            <w:r>
              <w:t>4.1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5. Visualizations</w:t>
      </w:r>
    </w:p>
    <w:p>
      <w:pPr>
        <w:pStyle w:val="Heading3"/>
        <w:jc w:val="left"/>
      </w:pPr>
      <w:r>
        <w:t>5.1 Scree Plot (Cumulative Explained Variance)</w:t>
      </w:r>
    </w:p>
    <w:p>
      <w:r>
        <w:t>The plot below shows how cumulative explained variance grows with the number of retained components for each matrix. Dashed lines mark the 80%, 90%, and 95% thresholds.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t>5.2 t-SNE 2D Projection</w:t>
      </w:r>
    </w:p>
    <w:p>
      <w:r>
        <w:t>Each point is a Philadelphia business, colored by its primary Yelp category. Visible clusters confirm that the combined feature representation captures category-level structure without explicit supervision.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busi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  <w:jc w:val="left"/>
      </w:pPr>
      <w:r>
        <w:t>5.3 PCA Loadings Heatmap</w:t>
      </w:r>
    </w:p>
    <w:p>
      <w:r>
        <w:t>Top-20 features by maximum absolute loading across PC1–PC5 of the dense PCA. Red = positive loading, Blue = negative loading.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ings_top_p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t>6. Technical Interpretation</w:t>
      </w:r>
    </w:p>
    <w:p>
      <w:r>
        <w:t>The following observations were drawn from the dimensionality-reduction experiment:</w:t>
        <w:br/>
        <w:br/>
        <w:t xml:space="preserve">  dense (PCA) (PCA, 63 input features): 80% in k=10, 90% in k=20, 95% in k=50. Reconstruction error at k=50: 0.0876.</w:t>
        <w:br/>
        <w:t xml:space="preserve">  text (SVD) (TruncatedSVD, 5000 input features): 80% not reached, 90% not reached, 95% not reached. Reconstruction error at k=50: 0.8001.</w:t>
        <w:br/>
        <w:t xml:space="preserve">  combined (SVD) (TruncatedSVD, 5063 input features): 80% in k=20, 90% in k=50, 95% in k=100. Reconstruction error at k=50: 0.226.</w:t>
        <w:br/>
        <w:br/>
        <w:t>The dense feature matrix (13 numeric/temporal + 50 categorical multi-hot columns) captures aggregate business-level statistics. A relatively small number of components already explains a large fraction of its variance, reflecting redundancy among the numeric aggregates (e.g., mean_review_stars and business_stars are highly correlated).</w:t>
        <w:br/>
        <w:br/>
        <w:t>The text TF-IDF matrix (5,000 bigram features) is much higher-dimensional and sparser. Variance is distributed across many components, indicating a richer but noisier signal. TruncatedSVD (LSA) reveals latent topic structure in the review language that is not visible in the numeric features.</w:t>
        <w:br/>
        <w:br/>
        <w:t>The combined matrix merges both views. Its leading components blend category-frequency and review-quality signals, making it the most informative single representation for downstream tasks such as hidden-gem scoring and business clustering. The t-SNE projection confirms that businesses with the same primary category cluster together in the reduced space, validating the quality of the feature representation.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