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30C81607" w:rsidP="30C81607" w:rsidRDefault="30C81607" w14:paraId="3A4CB278" w14:textId="2084169B">
      <w:pPr>
        <w:pStyle w:val="Normal"/>
      </w:pPr>
      <w:r>
        <w:drawing>
          <wp:inline wp14:editId="3CFF0621" wp14:anchorId="0A64851B">
            <wp:extent cx="1562100" cy="1819275"/>
            <wp:effectExtent l="0" t="0" r="0" b="0"/>
            <wp:docPr id="47891279" name="picture" title="Resultado de imagen para ug logo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705f9709de94d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C81607" w:rsidRDefault="30C81607" w14:noSpellErr="1" w14:paraId="24351F2B" w14:textId="1F5B2D12">
      <w:r w:rsidRPr="30C81607" w:rsidR="30C8160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División de Ciencias Económico Administrativas </w:t>
      </w:r>
    </w:p>
    <w:p w:rsidR="30C81607" w:rsidP="30C81607" w:rsidRDefault="30C81607" w14:noSpellErr="1" w14:paraId="0C2A2B25" w14:textId="4C03255F">
      <w:pPr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30C81607" w:rsidR="30C81607">
        <w:rPr>
          <w:rFonts w:ascii="Calibri" w:hAnsi="Calibri" w:eastAsia="Calibri" w:cs="Calibri"/>
          <w:noProof w:val="0"/>
          <w:sz w:val="22"/>
          <w:szCs w:val="22"/>
          <w:lang w:val="es-MX"/>
        </w:rPr>
        <w:t>Programación</w:t>
      </w:r>
      <w:r w:rsidRPr="30C81607" w:rsidR="30C8160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para DBMS</w:t>
      </w:r>
    </w:p>
    <w:p w:rsidR="30C81607" w:rsidRDefault="30C81607" w14:noSpellErr="1" w14:paraId="0DB20E04" w14:textId="5AED1104">
      <w:r w:rsidRPr="30C81607" w:rsidR="30C8160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Braulio Eugenio Camacho Loya 203412 </w:t>
      </w:r>
    </w:p>
    <w:p w:rsidR="30C81607" w:rsidRDefault="30C81607" w14:noSpellErr="1" w14:paraId="407347CF" w14:textId="7CCC4EB6">
      <w:r w:rsidRPr="30C81607" w:rsidR="30C8160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Noticia Tecnológica #1 </w:t>
      </w:r>
    </w:p>
    <w:p w:rsidR="30C81607" w:rsidRDefault="30C81607" w14:noSpellErr="1" w14:paraId="2C12ED61" w14:textId="5AC6C0D1">
      <w:proofErr w:type="gramStart"/>
      <w:r w:rsidRPr="30C81607" w:rsidR="30C81607">
        <w:rPr>
          <w:rFonts w:ascii="Calibri" w:hAnsi="Calibri" w:eastAsia="Calibri" w:cs="Calibri"/>
          <w:noProof w:val="0"/>
          <w:sz w:val="22"/>
          <w:szCs w:val="22"/>
          <w:lang w:val="es-MX"/>
        </w:rPr>
        <w:t>liga :</w:t>
      </w:r>
      <w:proofErr w:type="gramEnd"/>
      <w:r w:rsidRPr="30C81607" w:rsidR="30C8160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</w:t>
      </w:r>
      <w:hyperlink r:id="Rfe9daa791a6c4c32">
        <w:r w:rsidRPr="30C81607" w:rsidR="30C8160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MX"/>
          </w:rPr>
          <w:t>https://www.nytimes.com/es/2018/01/04/el-software-antivirus-puede-convertirse-en-una-herramienta-de-espionaje-con-facilidad/?mc=adintl&amp;mcid=facebook&amp;mccr=ES&amp;subid=MC18&amp;subid1=TAFI</w:t>
        </w:r>
      </w:hyperlink>
      <w:r w:rsidRPr="30C81607" w:rsidR="30C8160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</w:t>
      </w:r>
    </w:p>
    <w:p w:rsidR="30C81607" w:rsidRDefault="30C81607" w14:noSpellErr="1" w14:paraId="6A574F05" w14:textId="3D81EA33">
      <w:r w:rsidRPr="30C81607" w:rsidR="30C8160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Titulo: </w:t>
      </w:r>
    </w:p>
    <w:p w:rsidR="30C81607" w:rsidRDefault="30C81607" w14:noSpellErr="1" w14:paraId="4903F907" w14:textId="72DD3C00">
      <w:r w:rsidRPr="30C81607" w:rsidR="30C8160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El software antivirus puede convertirse en una herramienta de espionaje con facilidad </w:t>
      </w:r>
    </w:p>
    <w:p w:rsidR="30C81607" w:rsidRDefault="30C81607" w14:paraId="1A723D96" w14:textId="4D25AC86">
      <w:r w:rsidRPr="30C81607" w:rsidR="30C8160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La seguridad de la información hoy en día es primordial, puesto que siempre habrá alguien dispuesto a infiltrarse y robarla y ,en este caso se pone a colación un tema que se había ignorado durante mucho tiempo, el hecho de que aquellas empresas a las que se les paga por “proteger” la información sean de hecho quien la robe o las que sean usadas para el mismo fin, el articulo usa como ejemplo a Kaspersky </w:t>
      </w:r>
      <w:proofErr w:type="spellStart"/>
      <w:r w:rsidRPr="30C81607" w:rsidR="30C81607">
        <w:rPr>
          <w:rFonts w:ascii="Calibri" w:hAnsi="Calibri" w:eastAsia="Calibri" w:cs="Calibri"/>
          <w:noProof w:val="0"/>
          <w:sz w:val="22"/>
          <w:szCs w:val="22"/>
          <w:lang w:val="es-MX"/>
        </w:rPr>
        <w:t>Lab</w:t>
      </w:r>
      <w:proofErr w:type="spellEnd"/>
      <w:r w:rsidRPr="30C81607" w:rsidR="30C8160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que es una empresa dedicada al software antivirus, que fue acusada de ser usada por agencias de inteligencia rusos para robar información </w:t>
      </w:r>
      <w:proofErr w:type="gramStart"/>
      <w:r w:rsidRPr="30C81607" w:rsidR="30C81607">
        <w:rPr>
          <w:rFonts w:ascii="Calibri" w:hAnsi="Calibri" w:eastAsia="Calibri" w:cs="Calibri"/>
          <w:noProof w:val="0"/>
          <w:sz w:val="22"/>
          <w:szCs w:val="22"/>
          <w:lang w:val="es-MX"/>
        </w:rPr>
        <w:t>de el</w:t>
      </w:r>
      <w:proofErr w:type="gramEnd"/>
      <w:r w:rsidRPr="30C81607" w:rsidR="30C8160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gobierno estadounidense, al punto que decidieron dejar de usar dicho antivirus. Esto gracias a que funcionarios israelíes atacaron a Kaspersky </w:t>
      </w:r>
      <w:proofErr w:type="spellStart"/>
      <w:r w:rsidRPr="30C81607" w:rsidR="30C81607">
        <w:rPr>
          <w:rFonts w:ascii="Calibri" w:hAnsi="Calibri" w:eastAsia="Calibri" w:cs="Calibri"/>
          <w:noProof w:val="0"/>
          <w:sz w:val="22"/>
          <w:szCs w:val="22"/>
          <w:lang w:val="es-MX"/>
        </w:rPr>
        <w:t>Lab</w:t>
      </w:r>
      <w:proofErr w:type="spellEnd"/>
      <w:r w:rsidRPr="30C81607" w:rsidR="30C8160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en el año 2014 y observaron como “los hackers del gobierno ruso escaneaban las computadoras que pertenecían a clientes todo el mundo en busca de programas clasificados ultra secretos del gobierno estadounidense”. </w:t>
      </w:r>
    </w:p>
    <w:p w:rsidR="30C81607" w:rsidP="30C81607" w:rsidRDefault="30C81607" w14:paraId="7B6E0669" w14:textId="18CF5ACB">
      <w:pPr>
        <w:pStyle w:val="Normal"/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194BD1A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BCA2E90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657A51AE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30336EA0" wp14:textId="7777777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mc="http://schemas.openxmlformats.org/markup-compatibility/2006" xmlns:w15="http://schemas.microsoft.com/office/word/2012/wordml" mc:Ignorable="w15">
  <w15:person w15:author="BRAULIO EUGENIO CAMACHO LOYA">
    <w15:presenceInfo w15:providerId="AD" w15:userId="1003000095F8D671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dirty"/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30C8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fec3aeb-3c65-409d-bc77-1da5f0c29087}"/>
  <w14:docId w14:val="5CCDA57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11/relationships/people" Target="/word/people.xml" Id="R7201c1673b8a4621" /><Relationship Type="http://schemas.openxmlformats.org/officeDocument/2006/relationships/image" Target="/media/image.jpg" Id="R9705f9709de94d08" /><Relationship Type="http://schemas.openxmlformats.org/officeDocument/2006/relationships/hyperlink" Target="https://www.nytimes.com/es/2018/01/04/el-software-antivirus-puede-convertirse-en-una-herramienta-de-espionaje-con-facilidad/?mc=adintl&amp;mcid=facebook&amp;mccr=ES&amp;subid=MC18&amp;subid1=TAFI" TargetMode="External" Id="Rfe9daa791a6c4c32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BRAULIO EUGENIO CAMACHO LOYA</dc:creator>
  <keywords/>
  <dc:description/>
  <lastModifiedBy>BRAULIO EUGENIO CAMACHO LOYA</lastModifiedBy>
  <revision>2</revision>
  <dcterms:created xsi:type="dcterms:W3CDTF">2018-01-30T23:51:10.9788900Z</dcterms:created>
  <dcterms:modified xsi:type="dcterms:W3CDTF">2018-01-30T23:53:13.7769146Z</dcterms:modified>
</coreProperties>
</file>