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Diseño: Dashboard y Reportes Básicos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w:t>
      </w:r>
      <w:r w:rsidDel="00000000" w:rsidR="00000000" w:rsidRPr="00000000">
        <w:rPr>
          <w:rtl w:val="0"/>
        </w:rPr>
        <w:t xml:space="preserve"> 2026-07-20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Estado:</w:t>
      </w:r>
      <w:r w:rsidDel="00000000" w:rsidR="00000000" w:rsidRPr="00000000">
        <w:rPr>
          <w:rtl w:val="0"/>
        </w:rPr>
        <w:t xml:space="preserve"> Aprobado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Sub-proyecto:</w:t>
      </w:r>
      <w:r w:rsidDel="00000000" w:rsidR="00000000" w:rsidRPr="00000000">
        <w:rPr>
          <w:rtl w:val="0"/>
        </w:rPr>
        <w:t xml:space="preserve"> Definición de la vista principal del sistema tras el login.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 define la primera iteración de la vista /dashboard. El enfoque se mantiene minimalista, ofreciendo una visualización rápida del estado del establecimiento activo. El diseño está optimizado para web de escritorio.</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Origen de los Datos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Ambas gráficas se alimentan exclusivamente de la vista materializada animal_current_state, aplicando los siguientes filtros obligatorios: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current_farm_id debe coincidir con el campo seleccionado en la sesión (leído de la cookie active_farm_id).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status = 'alive' para contabilizar únicamente las existencias actuales, excluyendo animales vendidos o muertos.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Visualizaciones Definidas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Stock actual por Potrero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Objetivo:</w:t>
      </w:r>
      <w:r w:rsidDel="00000000" w:rsidR="00000000" w:rsidRPr="00000000">
        <w:rPr>
          <w:rtl w:val="0"/>
        </w:rPr>
        <w:t xml:space="preserve"> Visualizar la distribución física de la carga animal dentro del establecimiento.</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Métrica:</w:t>
      </w:r>
      <w:r w:rsidDel="00000000" w:rsidR="00000000" w:rsidRPr="00000000">
        <w:rPr>
          <w:rtl w:val="0"/>
        </w:rPr>
        <w:t xml:space="preserve"> Conteo total de animales agrupados por current_paddock_id (haciendo JOIN con la tabla paddock para obtener el nombre).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UI Recomendada:</w:t>
      </w:r>
      <w:r w:rsidDel="00000000" w:rsidR="00000000" w:rsidRPr="00000000">
        <w:rPr>
          <w:rtl w:val="0"/>
        </w:rPr>
        <w:t xml:space="preserve"> Gráfico de barras horizontales. Resulta óptimo para la lectura de nombres de potreros potencialmente largos en pantallas de escritorio.</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Caso Borde:</w:t>
      </w:r>
      <w:r w:rsidDel="00000000" w:rsidR="00000000" w:rsidRPr="00000000">
        <w:rPr>
          <w:rtl w:val="0"/>
        </w:rPr>
        <w:t xml:space="preserve"> Los animales cuyo current_paddock_id sea nulo se agruparán bajo la etiqueta "Sin potrero asignado".</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Existencias por Categoría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Objetivo:</w:t>
      </w:r>
      <w:r w:rsidDel="00000000" w:rsidR="00000000" w:rsidRPr="00000000">
        <w:rPr>
          <w:rtl w:val="0"/>
        </w:rPr>
        <w:t xml:space="preserve"> Entender la composición demográfica del rodeo (ej. proporción de terneros, novillos, vacas).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Métrica:</w:t>
      </w:r>
      <w:r w:rsidDel="00000000" w:rsidR="00000000" w:rsidRPr="00000000">
        <w:rPr>
          <w:rtl w:val="0"/>
        </w:rPr>
        <w:t xml:space="preserve"> Conteo total de animales agrupados por current_category_id (haciendo JOIN con la tabla category para obtener el nombre).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UI Recomendada:</w:t>
      </w:r>
      <w:r w:rsidDel="00000000" w:rsidR="00000000" w:rsidRPr="00000000">
        <w:rPr>
          <w:rtl w:val="0"/>
        </w:rPr>
        <w:t xml:space="preserve"> Gráfico de torta (Pie chart) o gráfico de barras verticales.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Caso Borde:</w:t>
      </w:r>
      <w:r w:rsidDel="00000000" w:rsidR="00000000" w:rsidRPr="00000000">
        <w:rPr>
          <w:rtl w:val="0"/>
        </w:rPr>
        <w:t xml:space="preserve"> Los animales ingresados sin categoría inicial se agruparán bajo la etiqueta "Sin categoría".</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Implementación Técnica</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Componentes:</w:t>
      </w:r>
      <w:r w:rsidDel="00000000" w:rsidR="00000000" w:rsidRPr="00000000">
        <w:rPr>
          <w:rtl w:val="0"/>
        </w:rPr>
        <w:t xml:space="preserve"> Se utilizarán los componentes de gráficos integrados en </w:t>
      </w:r>
      <w:r w:rsidDel="00000000" w:rsidR="00000000" w:rsidRPr="00000000">
        <w:rPr>
          <w:b w:val="1"/>
          <w:bCs w:val="1"/>
          <w:rtl w:val="0"/>
        </w:rPr>
        <w:t xml:space="preserve">shadcn/ui</w:t>
      </w:r>
      <w:r w:rsidDel="00000000" w:rsidR="00000000" w:rsidRPr="00000000">
        <w:rPr>
          <w:rtl w:val="0"/>
        </w:rPr>
        <w:t xml:space="preserve"> (que funcionan sobre Recharts) para mantener la consistencia estética con el resto de la interfaz.</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Carga de datos:</w:t>
      </w:r>
      <w:r w:rsidDel="00000000" w:rsidR="00000000" w:rsidRPr="00000000">
        <w:rPr>
          <w:rtl w:val="0"/>
        </w:rPr>
        <w:t xml:space="preserve"> Al usar Next.js App Router, el dashboard será un React Server Component (RSC). Las consultas SQL (vía el ORM seleccionado) se ejecutarán en el servidor, devolviendo únicamente los conteos finales agrupados al cliente para renderizar las gráficas.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