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95544" w14:textId="77777777" w:rsidR="004A4801" w:rsidRDefault="00CE20AA">
      <w:pPr>
        <w:spacing w:after="280" w:line="276" w:lineRule="auto"/>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PROPOSTA DA VALIDARE: individuare per ciascun record la località prevalente e attribuire ad essa la spesa, le altre località rappresentano luoghi di mobilità.</w:t>
      </w:r>
    </w:p>
    <w:p w14:paraId="29A7B786" w14:textId="77777777" w:rsidR="004A4801" w:rsidRDefault="00CE20AA">
      <w:pPr>
        <w:spacing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1.4.1 Trattamento dei valori estremi</w:t>
      </w:r>
    </w:p>
    <w:p w14:paraId="223845B5" w14:textId="77777777" w:rsidR="004A4801" w:rsidRDefault="00CE20AA">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Il dataset viene sottoposto a una fase di controllo finalizzata all’individuazione e al trattamento dei </w:t>
      </w:r>
      <w:r>
        <w:rPr>
          <w:rFonts w:ascii="Times New Roman" w:eastAsia="Times New Roman" w:hAnsi="Times New Roman" w:cs="Times New Roman"/>
          <w:b/>
          <w:bCs/>
        </w:rPr>
        <w:t xml:space="preserve">valori estremi </w:t>
      </w:r>
      <w:r>
        <w:rPr>
          <w:rFonts w:ascii="Times New Roman" w:eastAsia="Times New Roman" w:hAnsi="Times New Roman" w:cs="Times New Roman"/>
        </w:rPr>
        <w:t xml:space="preserve">nelle variabili di </w:t>
      </w:r>
      <w:r>
        <w:rPr>
          <w:rFonts w:ascii="Times New Roman" w:eastAsia="Times New Roman" w:hAnsi="Times New Roman" w:cs="Times New Roman"/>
          <w:b/>
          <w:bCs/>
        </w:rPr>
        <w:t>spesa pro capite giornaliera</w:t>
      </w:r>
      <w:r>
        <w:rPr>
          <w:rFonts w:ascii="Times New Roman" w:eastAsia="Times New Roman" w:hAnsi="Times New Roman" w:cs="Times New Roman"/>
          <w:vertAlign w:val="superscript"/>
        </w:rPr>
        <w:footnoteReference w:id="1"/>
      </w:r>
    </w:p>
    <w:p w14:paraId="63D6E2CE" w14:textId="77777777" w:rsidR="004A4801" w:rsidRDefault="00CE20AA">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A tal fine, per ciascuna componente di spesa (trasporto da e per la Sardegna; trasporto interno, alloggio, alimentazione, esercizi pubblici di ristorazione, souvenir, altri servizi turistici – intrattenimento, escursioni, noleggi, ecc.) sono definiti limiti inferiori e superiori sulla base della distribuzione empirica delle osservazioni.</w:t>
      </w:r>
    </w:p>
    <w:p w14:paraId="45C7DF90" w14:textId="77777777" w:rsidR="004A4801" w:rsidRDefault="00CE20AA">
      <w:pPr>
        <w:spacing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particolare, </w:t>
      </w:r>
      <w:r>
        <w:rPr>
          <w:rFonts w:ascii="Times New Roman" w:eastAsia="Times New Roman" w:hAnsi="Times New Roman" w:cs="Times New Roman"/>
          <w:b/>
          <w:bCs/>
        </w:rPr>
        <w:t>i limiti sono individuati utilizzando il 5° e il 95° percentile della distribuzione delle variabili di spesa.</w:t>
      </w:r>
      <w:r>
        <w:rPr>
          <w:rFonts w:ascii="Times New Roman" w:eastAsia="Times New Roman" w:hAnsi="Times New Roman" w:cs="Times New Roman"/>
        </w:rPr>
        <w:t xml:space="preserve"> Il calcolo dei percentili è effettuato all’interno di gruppi omogenei di viaggio, definiti in funzione della provenienza del viaggiatore e della motivazione principale del viaggio, al fine di tenere conto delle differenze nei livelli di spesa tra diverse tipologie di viaggiatori e di viaggio.</w:t>
      </w:r>
    </w:p>
    <w:p w14:paraId="1FD87247" w14:textId="77777777" w:rsidR="004A4801" w:rsidRDefault="00CE20AA">
      <w:pPr>
        <w:spacing w:before="240" w:after="240" w:line="276" w:lineRule="auto"/>
        <w:jc w:val="both"/>
        <w:rPr>
          <w:rFonts w:ascii="Times New Roman" w:eastAsia="Times New Roman" w:hAnsi="Times New Roman" w:cs="Times New Roman"/>
        </w:rPr>
      </w:pPr>
      <w:r>
        <w:rPr>
          <w:rFonts w:ascii="Times New Roman" w:eastAsia="Times New Roman" w:hAnsi="Times New Roman" w:cs="Times New Roman"/>
        </w:rPr>
        <w:t xml:space="preserve">Le osservazioni che ricadono al di fuori dell’intervallo definito dai valori soglia sono sottoposte a una </w:t>
      </w:r>
      <w:r>
        <w:rPr>
          <w:rFonts w:ascii="Times New Roman" w:eastAsia="Times New Roman" w:hAnsi="Times New Roman" w:cs="Times New Roman"/>
          <w:b/>
          <w:bCs/>
        </w:rPr>
        <w:t>verifica di plausibilità</w:t>
      </w:r>
      <w:r>
        <w:rPr>
          <w:rFonts w:ascii="Times New Roman" w:eastAsia="Times New Roman" w:hAnsi="Times New Roman" w:cs="Times New Roman"/>
        </w:rPr>
        <w:t xml:space="preserve"> sulla base delle informazioni disponibili relative al viaggiatore e alle caratteristiche del viaggio. Tali valori possono infatti derivare da errori di compilazione o di interpretazione del questionario, oppure rappresentare livelli di spesa effettivamente molto elevati o molto ridotti ma plausibili. Le osservazioni ritenute </w:t>
      </w:r>
      <w:r>
        <w:rPr>
          <w:rFonts w:ascii="Times New Roman" w:eastAsia="Times New Roman" w:hAnsi="Times New Roman" w:cs="Times New Roman"/>
          <w:b/>
          <w:bCs/>
        </w:rPr>
        <w:t xml:space="preserve">plausibili </w:t>
      </w:r>
      <w:r>
        <w:rPr>
          <w:rFonts w:ascii="Times New Roman" w:eastAsia="Times New Roman" w:hAnsi="Times New Roman" w:cs="Times New Roman"/>
        </w:rPr>
        <w:t xml:space="preserve">sono mantenute nel dataset, mentre quelle giudicate </w:t>
      </w:r>
      <w:r>
        <w:rPr>
          <w:rFonts w:ascii="Times New Roman" w:eastAsia="Times New Roman" w:hAnsi="Times New Roman" w:cs="Times New Roman"/>
          <w:b/>
          <w:bCs/>
        </w:rPr>
        <w:t>non plausibili</w:t>
      </w:r>
      <w:r>
        <w:rPr>
          <w:rFonts w:ascii="Times New Roman" w:eastAsia="Times New Roman" w:hAnsi="Times New Roman" w:cs="Times New Roman"/>
        </w:rPr>
        <w:t xml:space="preserve"> sono ricondotte ai corrispondenti valori soglia.</w:t>
      </w:r>
    </w:p>
    <w:p w14:paraId="4DA4D4E6" w14:textId="77777777" w:rsidR="004A4801" w:rsidRDefault="00CE20AA">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1.5 Procedure di analisi dei dati</w:t>
      </w:r>
    </w:p>
    <w:p w14:paraId="478863DB" w14:textId="77777777" w:rsidR="004A4801" w:rsidRDefault="00CE20AA">
      <w:pPr>
        <w:spacing w:line="276" w:lineRule="auto"/>
        <w:jc w:val="both"/>
        <w:rPr>
          <w:rFonts w:ascii="Times New Roman" w:eastAsia="Times New Roman" w:hAnsi="Times New Roman" w:cs="Times New Roman"/>
          <w:b/>
          <w:bCs/>
        </w:rPr>
      </w:pPr>
      <w:r>
        <w:rPr>
          <w:rFonts w:ascii="Times New Roman" w:eastAsia="Times New Roman" w:hAnsi="Times New Roman" w:cs="Times New Roman"/>
        </w:rPr>
        <w:t xml:space="preserve">Una volta completate le fasi di raccolta e trattamento dei dati, il dataset viene sottoposto a un processo di </w:t>
      </w:r>
      <w:r>
        <w:rPr>
          <w:rFonts w:ascii="Times New Roman" w:eastAsia="Times New Roman" w:hAnsi="Times New Roman" w:cs="Times New Roman"/>
          <w:b/>
          <w:bCs/>
        </w:rPr>
        <w:t>segmentazione del campione mediante costruzione di sotto-campioni analitici</w:t>
      </w:r>
      <w:r>
        <w:rPr>
          <w:rFonts w:ascii="Times New Roman" w:eastAsia="Times New Roman" w:hAnsi="Times New Roman" w:cs="Times New Roman"/>
        </w:rPr>
        <w:t xml:space="preserve"> </w:t>
      </w:r>
      <w:r>
        <w:rPr>
          <w:rFonts w:ascii="Times New Roman" w:eastAsia="Times New Roman" w:hAnsi="Times New Roman" w:cs="Times New Roman"/>
          <w:b/>
          <w:bCs/>
        </w:rPr>
        <w:t>(1.5.1),</w:t>
      </w:r>
      <w:r>
        <w:rPr>
          <w:rFonts w:ascii="Times New Roman" w:eastAsia="Times New Roman" w:hAnsi="Times New Roman" w:cs="Times New Roman"/>
        </w:rPr>
        <w:t xml:space="preserve"> finalizzato alla definizione di gruppi di osservazioni omogenei rispetto ad alcune variabili chiave della domanda turistica. In particolare, l’analisi considera le seguenti dimensioni di segmentazione: provenienza geografica dei visitatori, motivazioni di viaggio e durata della permanenza.</w:t>
      </w:r>
    </w:p>
    <w:p w14:paraId="566B9C67"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La costruzione di </w:t>
      </w:r>
      <w:r>
        <w:rPr>
          <w:rFonts w:ascii="Times New Roman" w:eastAsia="Times New Roman" w:hAnsi="Times New Roman" w:cs="Times New Roman"/>
          <w:b/>
          <w:bCs/>
        </w:rPr>
        <w:t>sotto-campioni analitici</w:t>
      </w:r>
      <w:r>
        <w:rPr>
          <w:rFonts w:ascii="Times New Roman" w:eastAsia="Times New Roman" w:hAnsi="Times New Roman" w:cs="Times New Roman"/>
        </w:rPr>
        <w:t xml:space="preserve"> consente di facilitare il confronto tra diversi segmenti della domanda turistica, riducendo l’effetto di eventuali squilibri nella numerosità dei gruppi osservati. A tal fine, all’interno di ciascun gruppo definito dalle variabili di segmentazione, vengono selezionate osservazioni in modo da ottenere sotto-campioni numericamente bilanciati e comparabili tra loro.</w:t>
      </w:r>
    </w:p>
    <w:p w14:paraId="795BFF12"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Una volta definita la struttura dei sotto-campioni analitici, si procede con il </w:t>
      </w:r>
      <w:r>
        <w:rPr>
          <w:rFonts w:ascii="Times New Roman" w:eastAsia="Times New Roman" w:hAnsi="Times New Roman" w:cs="Times New Roman"/>
          <w:b/>
          <w:bCs/>
        </w:rPr>
        <w:t>calcolo dei principali indicatori di spesa turistica (1.5.2)</w:t>
      </w:r>
      <w:r>
        <w:rPr>
          <w:rFonts w:ascii="Times New Roman" w:eastAsia="Times New Roman" w:hAnsi="Times New Roman" w:cs="Times New Roman"/>
        </w:rPr>
        <w:t xml:space="preserve">, tra cui la spesa turistica pro capite per soggiorno (STP) e la spesa turistica pro capite giornaliera (STPG), oltre alla distribuzione della spesa tra le diverse categorie di consumo turistico (trasporto da e per la Sardegna; trasporto interno, alloggio, </w:t>
      </w:r>
      <w:r>
        <w:rPr>
          <w:rFonts w:ascii="Times New Roman" w:eastAsia="Times New Roman" w:hAnsi="Times New Roman" w:cs="Times New Roman"/>
        </w:rPr>
        <w:lastRenderedPageBreak/>
        <w:t>alimentazione, esercizi pubblici di ristorazione, souvenir, altri servizi turistici – intrattenimento, escursioni, noleggi, ecc.)</w:t>
      </w:r>
    </w:p>
    <w:p w14:paraId="595545B5"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Le analisi successive prevedono l’elaborazione di statistiche descrittive e il confronto tra i diversi segmenti della domanda, con l’obiettivo di individuare eventuali differenze nei livelli e nella composizione della spesa turistica in relazione alle caratteristiche del viaggio e dei visitatori.</w:t>
      </w:r>
    </w:p>
    <w:p w14:paraId="37600772" w14:textId="77777777" w:rsidR="004A4801" w:rsidRDefault="00CE20AA">
      <w:pPr>
        <w:spacing w:before="240" w:after="240"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 1.5.1 Segmentazione del campione e costruzione di sotto-campioni analitici</w:t>
      </w:r>
    </w:p>
    <w:p w14:paraId="7A0A8052" w14:textId="77777777" w:rsidR="004A4801" w:rsidRDefault="00CE20A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In coerenza con gli obiettivi conoscitivi dello studio, si è proceduto con una segmentazione del campione distinta per le due campagne di rilevazione A e B. </w:t>
      </w:r>
    </w:p>
    <w:p w14:paraId="7FE9B6CE" w14:textId="77777777" w:rsidR="004A4801" w:rsidRDefault="004A4801">
      <w:pPr>
        <w:spacing w:after="0" w:line="276" w:lineRule="auto"/>
        <w:jc w:val="both"/>
        <w:rPr>
          <w:rFonts w:ascii="Times New Roman" w:eastAsia="Times New Roman" w:hAnsi="Times New Roman" w:cs="Times New Roman"/>
        </w:rPr>
      </w:pPr>
    </w:p>
    <w:p w14:paraId="44170821" w14:textId="77777777" w:rsidR="004A4801" w:rsidRDefault="00CE20AA">
      <w:pPr>
        <w:spacing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 la </w:t>
      </w:r>
      <w:r>
        <w:rPr>
          <w:rFonts w:ascii="Times New Roman" w:eastAsia="Times New Roman" w:hAnsi="Times New Roman" w:cs="Times New Roman"/>
          <w:b/>
          <w:bCs/>
        </w:rPr>
        <w:t>rilevazione A</w:t>
      </w:r>
      <w:r>
        <w:rPr>
          <w:rFonts w:ascii="Times New Roman" w:eastAsia="Times New Roman" w:hAnsi="Times New Roman" w:cs="Times New Roman"/>
        </w:rPr>
        <w:t xml:space="preserve">, relativa ai soggetti (non residenti) intervistati in Sardegna al termine del soggiorno, è stata mantenuta una distribuzione equilibrata tra turisti italiani e stranieri. Sono stati inoltre costruiti </w:t>
      </w:r>
      <w:r>
        <w:rPr>
          <w:rFonts w:ascii="Times New Roman" w:eastAsia="Times New Roman" w:hAnsi="Times New Roman" w:cs="Times New Roman"/>
          <w:b/>
          <w:bCs/>
        </w:rPr>
        <w:t>sotto-campioni omogenei</w:t>
      </w:r>
      <w:r>
        <w:rPr>
          <w:rFonts w:ascii="Times New Roman" w:eastAsia="Times New Roman" w:hAnsi="Times New Roman" w:cs="Times New Roman"/>
        </w:rPr>
        <w:t xml:space="preserve"> per i principali mercati di origine, motivazioni di viaggio e durata della permanenza, al fine di consentire analisi comparative tra i diversi bacini di domanda (tabella 2).</w:t>
      </w:r>
    </w:p>
    <w:p w14:paraId="429FA73D" w14:textId="77777777" w:rsidR="004A4801" w:rsidRDefault="00CE20AA">
      <w:pPr>
        <w:spacing w:after="0" w:line="276" w:lineRule="auto"/>
        <w:jc w:val="both"/>
        <w:rPr>
          <w:rFonts w:ascii="Times New Roman" w:eastAsia="Times New Roman" w:hAnsi="Times New Roman" w:cs="Times New Roman"/>
          <w:sz w:val="22"/>
          <w:szCs w:val="22"/>
        </w:rPr>
      </w:pPr>
      <w:r>
        <w:rPr>
          <w:rFonts w:ascii="Times New Roman" w:eastAsia="Times New Roman" w:hAnsi="Times New Roman" w:cs="Times New Roman"/>
        </w:rPr>
        <w:t xml:space="preserve"> </w:t>
      </w:r>
    </w:p>
    <w:tbl>
      <w:tblPr>
        <w:tblStyle w:val="ae"/>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52"/>
        <w:gridCol w:w="3685"/>
        <w:gridCol w:w="4393"/>
      </w:tblGrid>
      <w:tr w:rsidR="004A4801" w14:paraId="33C52453" w14:textId="77777777">
        <w:trPr>
          <w:trHeight w:val="20"/>
        </w:trPr>
        <w:tc>
          <w:tcPr>
            <w:tcW w:w="1552"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bottom"/>
          </w:tcPr>
          <w:p w14:paraId="01DFB36B" w14:textId="77777777" w:rsidR="004A4801" w:rsidRDefault="00CE20AA">
            <w:pP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CAMPIONE</w:t>
            </w:r>
          </w:p>
          <w:p w14:paraId="7DF2C4B1" w14:textId="77777777" w:rsidR="004A4801" w:rsidRDefault="004A4801">
            <w:pPr>
              <w:spacing w:after="0" w:line="276" w:lineRule="auto"/>
              <w:jc w:val="both"/>
              <w:rPr>
                <w:rFonts w:ascii="Times New Roman" w:eastAsia="Times New Roman" w:hAnsi="Times New Roman" w:cs="Times New Roman"/>
                <w:b/>
                <w:bCs/>
                <w:sz w:val="20"/>
                <w:szCs w:val="20"/>
              </w:rPr>
            </w:pPr>
          </w:p>
        </w:tc>
        <w:tc>
          <w:tcPr>
            <w:tcW w:w="3685"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bottom"/>
          </w:tcPr>
          <w:p w14:paraId="6570BCAD" w14:textId="77777777" w:rsidR="004A4801" w:rsidRDefault="00CE20AA">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CRITERIO DI SELEZIONE DELLE OSSERVAZIONI</w:t>
            </w:r>
          </w:p>
          <w:p w14:paraId="31032BDD" w14:textId="77777777" w:rsidR="004A4801" w:rsidRDefault="004A4801">
            <w:pPr>
              <w:spacing w:after="0" w:line="276" w:lineRule="auto"/>
              <w:jc w:val="center"/>
              <w:rPr>
                <w:rFonts w:ascii="Times New Roman" w:eastAsia="Times New Roman" w:hAnsi="Times New Roman" w:cs="Times New Roman"/>
                <w:b/>
                <w:bCs/>
                <w:sz w:val="20"/>
                <w:szCs w:val="20"/>
              </w:rPr>
            </w:pPr>
          </w:p>
        </w:tc>
        <w:tc>
          <w:tcPr>
            <w:tcW w:w="4393"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bottom"/>
          </w:tcPr>
          <w:p w14:paraId="61B69027" w14:textId="77777777" w:rsidR="004A4801" w:rsidRDefault="00CE20AA">
            <w:pPr>
              <w:spacing w:after="0" w:line="276"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STRUTTURA DEL SEGMENTO ANALITICO</w:t>
            </w:r>
          </w:p>
        </w:tc>
      </w:tr>
      <w:tr w:rsidR="004A4801" w14:paraId="5E87FC01" w14:textId="77777777">
        <w:trPr>
          <w:trHeight w:val="1134"/>
        </w:trPr>
        <w:tc>
          <w:tcPr>
            <w:tcW w:w="1552" w:type="dxa"/>
            <w:tcBorders>
              <w:top w:val="single" w:sz="6"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2D0F5D2B"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1</w:t>
            </w:r>
          </w:p>
        </w:tc>
        <w:tc>
          <w:tcPr>
            <w:tcW w:w="3685"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center"/>
          </w:tcPr>
          <w:p w14:paraId="41760C5E"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selezionate per garantire una </w:t>
            </w:r>
            <w:r>
              <w:rPr>
                <w:rFonts w:ascii="Times New Roman" w:eastAsia="Times New Roman" w:hAnsi="Times New Roman" w:cs="Times New Roman"/>
                <w:b/>
                <w:bCs/>
                <w:sz w:val="20"/>
                <w:szCs w:val="20"/>
              </w:rPr>
              <w:t>distribuzione bilanciata tra turisti italiani e stranieri</w:t>
            </w:r>
            <w:r>
              <w:rPr>
                <w:rFonts w:ascii="Times New Roman" w:eastAsia="Times New Roman" w:hAnsi="Times New Roman" w:cs="Times New Roman"/>
                <w:sz w:val="20"/>
                <w:szCs w:val="20"/>
              </w:rPr>
              <w:t xml:space="preserve"> e tra le diverse fasce di età</w:t>
            </w:r>
          </w:p>
        </w:tc>
        <w:tc>
          <w:tcPr>
            <w:tcW w:w="4393" w:type="dxa"/>
            <w:tcBorders>
              <w:top w:val="single" w:sz="6" w:space="0" w:color="000000"/>
              <w:left w:val="nil"/>
              <w:bottom w:val="single" w:sz="6" w:space="0" w:color="000000"/>
              <w:right w:val="single" w:sz="6" w:space="0" w:color="000000"/>
            </w:tcBorders>
            <w:tcMar>
              <w:top w:w="0" w:type="dxa"/>
              <w:left w:w="40" w:type="dxa"/>
              <w:bottom w:w="0" w:type="dxa"/>
              <w:right w:w="40" w:type="dxa"/>
            </w:tcMar>
            <w:vAlign w:val="center"/>
          </w:tcPr>
          <w:p w14:paraId="68C55281"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 turisti italiani (distribuiti nelle N fasce d’età)</w:t>
            </w:r>
            <w:r>
              <w:rPr>
                <w:rFonts w:ascii="Times New Roman" w:eastAsia="Times New Roman" w:hAnsi="Times New Roman" w:cs="Times New Roman"/>
                <w:sz w:val="20"/>
                <w:szCs w:val="20"/>
              </w:rPr>
              <w:br/>
              <w:t>50% turisti stranieri (distribuiti nelle N fasce d’età)</w:t>
            </w:r>
          </w:p>
          <w:p w14:paraId="74FB0F54" w14:textId="77777777" w:rsidR="004A4801" w:rsidRDefault="004A4801">
            <w:pPr>
              <w:spacing w:after="0" w:line="276" w:lineRule="auto"/>
              <w:jc w:val="both"/>
              <w:rPr>
                <w:rFonts w:ascii="Times New Roman" w:eastAsia="Times New Roman" w:hAnsi="Times New Roman" w:cs="Times New Roman"/>
                <w:sz w:val="20"/>
                <w:szCs w:val="20"/>
              </w:rPr>
            </w:pPr>
          </w:p>
        </w:tc>
      </w:tr>
      <w:tr w:rsidR="004A4801" w14:paraId="5A665779" w14:textId="77777777">
        <w:trPr>
          <w:trHeight w:val="1134"/>
        </w:trPr>
        <w:tc>
          <w:tcPr>
            <w:tcW w:w="1552"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21DBA12F"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2</w:t>
            </w:r>
          </w:p>
        </w:tc>
        <w:tc>
          <w:tcPr>
            <w:tcW w:w="368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01C3545B"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selezionate tra i visitatori provenienti dai </w:t>
            </w:r>
            <w:r>
              <w:rPr>
                <w:rFonts w:ascii="Times New Roman" w:eastAsia="Times New Roman" w:hAnsi="Times New Roman" w:cs="Times New Roman"/>
                <w:b/>
                <w:bCs/>
                <w:sz w:val="20"/>
                <w:szCs w:val="20"/>
              </w:rPr>
              <w:t>principali mercati esteri di origine</w:t>
            </w:r>
          </w:p>
        </w:tc>
        <w:tc>
          <w:tcPr>
            <w:tcW w:w="4393" w:type="dxa"/>
            <w:tcBorders>
              <w:top w:val="nil"/>
              <w:left w:val="nil"/>
              <w:bottom w:val="single" w:sz="6" w:space="0" w:color="000000"/>
              <w:right w:val="single" w:sz="6" w:space="0" w:color="000000"/>
            </w:tcBorders>
            <w:tcMar>
              <w:top w:w="0" w:type="dxa"/>
              <w:left w:w="40" w:type="dxa"/>
              <w:bottom w:w="0" w:type="dxa"/>
              <w:right w:w="40" w:type="dxa"/>
            </w:tcMar>
            <w:vAlign w:val="center"/>
          </w:tcPr>
          <w:p w14:paraId="3D87D717"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equilibrata per ciascuno dei principali 5 Paesi esteri di provenienza*</w:t>
            </w:r>
          </w:p>
          <w:p w14:paraId="1F535165"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All’interno di ogni Paese le osservazioni sono distribuite tra le N fasce d’età</w:t>
            </w:r>
          </w:p>
        </w:tc>
      </w:tr>
      <w:tr w:rsidR="004A4801" w14:paraId="19FB6ECE" w14:textId="77777777">
        <w:trPr>
          <w:trHeight w:val="1134"/>
        </w:trPr>
        <w:tc>
          <w:tcPr>
            <w:tcW w:w="1552"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2336973F"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3</w:t>
            </w:r>
          </w:p>
        </w:tc>
        <w:tc>
          <w:tcPr>
            <w:tcW w:w="368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00552102"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selezionate tra i visitatori provenienti dalle </w:t>
            </w:r>
            <w:r>
              <w:rPr>
                <w:rFonts w:ascii="Times New Roman" w:eastAsia="Times New Roman" w:hAnsi="Times New Roman" w:cs="Times New Roman"/>
                <w:b/>
                <w:bCs/>
                <w:sz w:val="20"/>
                <w:szCs w:val="20"/>
              </w:rPr>
              <w:t>principali regioni italiane di origine</w:t>
            </w:r>
          </w:p>
        </w:tc>
        <w:tc>
          <w:tcPr>
            <w:tcW w:w="4393"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CE00A63"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equilibrata per ciascuna delle principali 5 regioni italiane di provenienza*</w:t>
            </w:r>
            <w:r>
              <w:rPr>
                <w:rFonts w:ascii="Times New Roman" w:eastAsia="Times New Roman" w:hAnsi="Times New Roman" w:cs="Times New Roman"/>
                <w:sz w:val="20"/>
                <w:szCs w:val="20"/>
              </w:rPr>
              <w:br/>
              <w:t>All’interno di ogni regione le osservazioni sono distribuite tra le N fasce d’età</w:t>
            </w:r>
          </w:p>
        </w:tc>
      </w:tr>
      <w:tr w:rsidR="004A4801" w14:paraId="6CF1CEEA" w14:textId="77777777">
        <w:trPr>
          <w:trHeight w:val="1134"/>
        </w:trPr>
        <w:tc>
          <w:tcPr>
            <w:tcW w:w="1552"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5DD699D8"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4</w:t>
            </w:r>
          </w:p>
        </w:tc>
        <w:tc>
          <w:tcPr>
            <w:tcW w:w="368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0CD8D87A"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esclusivamente ai turisti che hanno indicato una </w:t>
            </w:r>
            <w:r>
              <w:rPr>
                <w:rFonts w:ascii="Times New Roman" w:eastAsia="Times New Roman" w:hAnsi="Times New Roman" w:cs="Times New Roman"/>
                <w:b/>
                <w:bCs/>
                <w:sz w:val="20"/>
                <w:szCs w:val="20"/>
              </w:rPr>
              <w:t>motivazione principale di viaggio diversa dal turismo balneare”</w:t>
            </w:r>
          </w:p>
        </w:tc>
        <w:tc>
          <w:tcPr>
            <w:tcW w:w="4393"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5F56E1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 turisti italiani e 50% turisti stranieri</w:t>
            </w:r>
          </w:p>
          <w:p w14:paraId="638DB49C"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Distribuzione per N fasce d’età </w:t>
            </w:r>
          </w:p>
          <w:p w14:paraId="4E56A481"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Filtro di esclusione a monte (motivazione di viaggio  principale “balneare”)</w:t>
            </w:r>
          </w:p>
        </w:tc>
      </w:tr>
      <w:tr w:rsidR="004A4801" w14:paraId="263C0F9F" w14:textId="77777777">
        <w:trPr>
          <w:trHeight w:val="1134"/>
        </w:trPr>
        <w:tc>
          <w:tcPr>
            <w:tcW w:w="1552"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139BCFFC"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5</w:t>
            </w:r>
          </w:p>
        </w:tc>
        <w:tc>
          <w:tcPr>
            <w:tcW w:w="368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B86BC74"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ai turisti che hanno indicato anche una </w:t>
            </w:r>
            <w:r>
              <w:rPr>
                <w:rFonts w:ascii="Times New Roman" w:eastAsia="Times New Roman" w:hAnsi="Times New Roman" w:cs="Times New Roman"/>
                <w:b/>
                <w:bCs/>
                <w:sz w:val="20"/>
                <w:szCs w:val="20"/>
              </w:rPr>
              <w:t>motivazione secondaria di viaggio</w:t>
            </w:r>
          </w:p>
        </w:tc>
        <w:tc>
          <w:tcPr>
            <w:tcW w:w="4393"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AF89A0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 turisti italiani e 50% turisti stranieri</w:t>
            </w:r>
          </w:p>
          <w:p w14:paraId="0E3A3AB1"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Distribuzione per N fasce d’età </w:t>
            </w:r>
          </w:p>
          <w:p w14:paraId="6AEA4F98"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Filtro di inclusione specifico motivazione di viaggio secondaria</w:t>
            </w:r>
          </w:p>
          <w:p w14:paraId="39FC7C5F" w14:textId="77777777" w:rsidR="004A4801" w:rsidRDefault="004A4801">
            <w:pPr>
              <w:spacing w:after="0" w:line="276" w:lineRule="auto"/>
              <w:jc w:val="both"/>
              <w:rPr>
                <w:rFonts w:ascii="Times New Roman" w:eastAsia="Times New Roman" w:hAnsi="Times New Roman" w:cs="Times New Roman"/>
                <w:sz w:val="20"/>
                <w:szCs w:val="20"/>
              </w:rPr>
            </w:pPr>
          </w:p>
        </w:tc>
      </w:tr>
      <w:tr w:rsidR="004A4801" w14:paraId="786C3E12" w14:textId="77777777">
        <w:trPr>
          <w:trHeight w:val="1134"/>
        </w:trPr>
        <w:tc>
          <w:tcPr>
            <w:tcW w:w="1552"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693008B2"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6</w:t>
            </w:r>
          </w:p>
        </w:tc>
        <w:tc>
          <w:tcPr>
            <w:tcW w:w="3685"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2CA8EDF"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esclusivamente ai turisti che </w:t>
            </w:r>
            <w:r>
              <w:rPr>
                <w:rFonts w:ascii="Times New Roman" w:eastAsia="Times New Roman" w:hAnsi="Times New Roman" w:cs="Times New Roman"/>
                <w:b/>
                <w:bCs/>
                <w:sz w:val="20"/>
                <w:szCs w:val="20"/>
              </w:rPr>
              <w:t>hanno effettuato un soggiorno di durata inferiore o uguale a 30 giorni</w:t>
            </w:r>
          </w:p>
        </w:tc>
        <w:tc>
          <w:tcPr>
            <w:tcW w:w="4393"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FD7E4AA"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50% turisti italiani e 50% turisti stranieri</w:t>
            </w:r>
            <w:r>
              <w:rPr>
                <w:rFonts w:ascii="Times New Roman" w:eastAsia="Times New Roman" w:hAnsi="Times New Roman" w:cs="Times New Roman"/>
                <w:sz w:val="20"/>
                <w:szCs w:val="20"/>
              </w:rPr>
              <w:br/>
              <w:t>Sottodivisione per durata del soggiorno: 1–3 giorni; 4–7 giorni; 8–14 giorni; 15–30 giorni</w:t>
            </w:r>
          </w:p>
        </w:tc>
      </w:tr>
      <w:tr w:rsidR="004A4801" w14:paraId="56474BBF" w14:textId="77777777">
        <w:trPr>
          <w:trHeight w:val="1134"/>
        </w:trPr>
        <w:tc>
          <w:tcPr>
            <w:tcW w:w="1552" w:type="dxa"/>
            <w:tcBorders>
              <w:top w:val="nil"/>
              <w:left w:val="single" w:sz="6" w:space="0" w:color="000000"/>
              <w:bottom w:val="nil"/>
              <w:right w:val="single" w:sz="6" w:space="0" w:color="000000"/>
            </w:tcBorders>
            <w:tcMar>
              <w:top w:w="0" w:type="dxa"/>
              <w:left w:w="40" w:type="dxa"/>
              <w:bottom w:w="0" w:type="dxa"/>
              <w:right w:w="40" w:type="dxa"/>
            </w:tcMar>
            <w:vAlign w:val="center"/>
          </w:tcPr>
          <w:p w14:paraId="6B964374"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CAMPIONE 7</w:t>
            </w:r>
          </w:p>
        </w:tc>
        <w:tc>
          <w:tcPr>
            <w:tcW w:w="3685" w:type="dxa"/>
            <w:tcBorders>
              <w:top w:val="nil"/>
              <w:left w:val="nil"/>
              <w:bottom w:val="nil"/>
              <w:right w:val="single" w:sz="6" w:space="0" w:color="000000"/>
            </w:tcBorders>
            <w:tcMar>
              <w:top w:w="0" w:type="dxa"/>
              <w:left w:w="40" w:type="dxa"/>
              <w:bottom w:w="0" w:type="dxa"/>
              <w:right w:w="40" w:type="dxa"/>
            </w:tcMar>
            <w:vAlign w:val="center"/>
          </w:tcPr>
          <w:p w14:paraId="7EA6B05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selezionate in funzione delle </w:t>
            </w:r>
            <w:r>
              <w:rPr>
                <w:rFonts w:ascii="Times New Roman" w:eastAsia="Times New Roman" w:hAnsi="Times New Roman" w:cs="Times New Roman"/>
                <w:b/>
                <w:bCs/>
                <w:sz w:val="20"/>
                <w:szCs w:val="20"/>
              </w:rPr>
              <w:t>principali motivazioni di viaggio dichiarate</w:t>
            </w:r>
          </w:p>
        </w:tc>
        <w:tc>
          <w:tcPr>
            <w:tcW w:w="4393" w:type="dxa"/>
            <w:tcBorders>
              <w:top w:val="nil"/>
              <w:left w:val="nil"/>
              <w:bottom w:val="nil"/>
              <w:right w:val="single" w:sz="6" w:space="0" w:color="000000"/>
            </w:tcBorders>
            <w:tcMar>
              <w:top w:w="0" w:type="dxa"/>
              <w:left w:w="40" w:type="dxa"/>
              <w:bottom w:w="0" w:type="dxa"/>
              <w:right w:w="40" w:type="dxa"/>
            </w:tcMar>
            <w:vAlign w:val="center"/>
          </w:tcPr>
          <w:p w14:paraId="5BC8463C"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equilibrata per ciascuna delle prime 5 motivazioni principali di viaggio</w:t>
            </w:r>
          </w:p>
          <w:p w14:paraId="2D3B480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bilanciata tra turisti italiani e stranieri e tra le N fasce d’età</w:t>
            </w:r>
          </w:p>
        </w:tc>
      </w:tr>
      <w:tr w:rsidR="004A4801" w14:paraId="799FF645" w14:textId="77777777">
        <w:trPr>
          <w:trHeight w:val="1134"/>
        </w:trPr>
        <w:tc>
          <w:tcPr>
            <w:tcW w:w="9630" w:type="dxa"/>
            <w:gridSpan w:val="3"/>
            <w:tcBorders>
              <w:top w:val="nil"/>
              <w:left w:val="single" w:sz="6" w:space="0" w:color="000000"/>
              <w:bottom w:val="nil"/>
              <w:right w:val="single" w:sz="6" w:space="0" w:color="000000"/>
            </w:tcBorders>
            <w:tcMar>
              <w:top w:w="0" w:type="dxa"/>
              <w:left w:w="40" w:type="dxa"/>
              <w:bottom w:w="0" w:type="dxa"/>
              <w:right w:w="40" w:type="dxa"/>
            </w:tcMar>
            <w:vAlign w:val="center"/>
          </w:tcPr>
          <w:p w14:paraId="0831CD5C"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I principali Paesi esteri e le principali regioni italiane di provenienza sono individuati sulla base dei dati ufficiali sulle presenze turistici registrati nell’anno precedente dalle statistiche ISTAT e dalle rilevazioni regionali sul movimento turistico.</w:t>
            </w:r>
          </w:p>
        </w:tc>
      </w:tr>
      <w:tr w:rsidR="004A4801" w14:paraId="08F17DFE" w14:textId="77777777">
        <w:trPr>
          <w:trHeight w:val="1134"/>
        </w:trPr>
        <w:tc>
          <w:tcPr>
            <w:tcW w:w="9630" w:type="dxa"/>
            <w:gridSpan w:val="3"/>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08B7A995" w14:textId="77777777" w:rsidR="004A4801" w:rsidRDefault="00CE20AA">
            <w:pPr>
              <w:spacing w:before="240"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rPr>
              <w:t>Tabella 2: Struttura dei sotto-campioni analitici definiti nell’ambito della Rilevazione A (soggetti (non residenti) intervistati in Sardegna al termine del soggiorno)</w:t>
            </w:r>
          </w:p>
        </w:tc>
      </w:tr>
    </w:tbl>
    <w:p w14:paraId="337B29FA" w14:textId="77777777" w:rsidR="004A4801" w:rsidRDefault="00CE20AA">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La costruzione dei sotto-campioni analitici è finalizzata esclusivamente a consentire confronti tra diversi segmenti della domanda turistica. Le osservazioni sono selezionate in modo da ottenere gruppi numericamente comparabili rispetto ad alcune variabili chiave (provenienza geografica, motivazione del viaggio, durata del soggiorno). Tale procedura non ha finalità di rappresentazione della distribuzione reale dei flussi turistici.</w:t>
      </w:r>
    </w:p>
    <w:p w14:paraId="17063836" w14:textId="77777777" w:rsidR="004A4801" w:rsidRDefault="00CE20AA">
      <w:pPr>
        <w:spacing w:before="240" w:after="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 la </w:t>
      </w:r>
      <w:r>
        <w:rPr>
          <w:rFonts w:ascii="Times New Roman" w:eastAsia="Times New Roman" w:hAnsi="Times New Roman" w:cs="Times New Roman"/>
          <w:b/>
          <w:bCs/>
        </w:rPr>
        <w:t>Rilevazione B</w:t>
      </w:r>
      <w:r>
        <w:rPr>
          <w:rFonts w:ascii="Times New Roman" w:eastAsia="Times New Roman" w:hAnsi="Times New Roman" w:cs="Times New Roman"/>
        </w:rPr>
        <w:t xml:space="preserve">, rivolta ai residenti in Sardegna, sono state distinte quattro principali tipologie di comportamento turistico: residenti che hanno effettuato vacanze; residenti che hanno effettuano vacanze in Sardegna; residenti che hanno effettuato vacanze in altre regioni italiane; residenti che hanno effettuato vacanze all’estero. Il dataset della rilevazione B viene integrato con le risposte ottenute dai residenti in Sardegna intercettati dai rilevatori durante il periodo di vacanza (Rilevazione A, questionario A). Anche in questo caso vengono costruiti </w:t>
      </w:r>
      <w:r>
        <w:rPr>
          <w:rFonts w:ascii="Times New Roman" w:eastAsia="Times New Roman" w:hAnsi="Times New Roman" w:cs="Times New Roman"/>
          <w:b/>
          <w:bCs/>
        </w:rPr>
        <w:t>sotto-campioni omogenei</w:t>
      </w:r>
      <w:r>
        <w:rPr>
          <w:rFonts w:ascii="Times New Roman" w:eastAsia="Times New Roman" w:hAnsi="Times New Roman" w:cs="Times New Roman"/>
        </w:rPr>
        <w:t xml:space="preserve"> per le province di residenza degli intervistati (tabella 3).</w:t>
      </w:r>
    </w:p>
    <w:p w14:paraId="64A721AB" w14:textId="77777777" w:rsidR="004A4801" w:rsidRDefault="004A4801">
      <w:pPr>
        <w:spacing w:before="240" w:after="0" w:line="276" w:lineRule="auto"/>
        <w:jc w:val="both"/>
        <w:rPr>
          <w:rFonts w:ascii="Times New Roman" w:eastAsia="Times New Roman" w:hAnsi="Times New Roman" w:cs="Times New Roman"/>
          <w:sz w:val="22"/>
          <w:szCs w:val="22"/>
        </w:rPr>
      </w:pPr>
    </w:p>
    <w:tbl>
      <w:tblPr>
        <w:tblStyle w:val="af"/>
        <w:tblW w:w="96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75"/>
        <w:gridCol w:w="3629"/>
        <w:gridCol w:w="4326"/>
      </w:tblGrid>
      <w:tr w:rsidR="004A4801" w14:paraId="0C2F5310" w14:textId="77777777">
        <w:trPr>
          <w:trHeight w:val="20"/>
        </w:trPr>
        <w:tc>
          <w:tcPr>
            <w:tcW w:w="1675" w:type="dxa"/>
            <w:tcBorders>
              <w:top w:val="single" w:sz="6" w:space="0" w:color="000000"/>
              <w:left w:val="single" w:sz="6" w:space="0" w:color="000000"/>
              <w:bottom w:val="single" w:sz="4" w:space="0" w:color="000000"/>
              <w:right w:val="single" w:sz="6" w:space="0" w:color="000000"/>
            </w:tcBorders>
            <w:tcMar>
              <w:top w:w="0" w:type="dxa"/>
              <w:left w:w="40" w:type="dxa"/>
              <w:bottom w:w="0" w:type="dxa"/>
              <w:right w:w="40" w:type="dxa"/>
            </w:tcMar>
            <w:vAlign w:val="center"/>
          </w:tcPr>
          <w:p w14:paraId="7AC383D8" w14:textId="77777777" w:rsidR="004A4801" w:rsidRDefault="00CE20AA">
            <w:pP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CAMPIONE</w:t>
            </w:r>
          </w:p>
          <w:p w14:paraId="39A5F6CC" w14:textId="77777777" w:rsidR="004A4801" w:rsidRDefault="004A4801">
            <w:pPr>
              <w:spacing w:after="0" w:line="276" w:lineRule="auto"/>
              <w:jc w:val="both"/>
              <w:rPr>
                <w:rFonts w:ascii="Times New Roman" w:eastAsia="Times New Roman" w:hAnsi="Times New Roman" w:cs="Times New Roman"/>
                <w:b/>
                <w:bCs/>
                <w:sz w:val="20"/>
                <w:szCs w:val="20"/>
              </w:rPr>
            </w:pPr>
          </w:p>
        </w:tc>
        <w:tc>
          <w:tcPr>
            <w:tcW w:w="3629" w:type="dxa"/>
            <w:tcBorders>
              <w:top w:val="single" w:sz="6" w:space="0" w:color="000000"/>
              <w:left w:val="nil"/>
              <w:bottom w:val="single" w:sz="4" w:space="0" w:color="000000"/>
              <w:right w:val="single" w:sz="6" w:space="0" w:color="000000"/>
            </w:tcBorders>
            <w:tcMar>
              <w:top w:w="0" w:type="dxa"/>
              <w:left w:w="40" w:type="dxa"/>
              <w:bottom w:w="0" w:type="dxa"/>
              <w:right w:w="40" w:type="dxa"/>
            </w:tcMar>
            <w:vAlign w:val="center"/>
          </w:tcPr>
          <w:p w14:paraId="2EF9B75E" w14:textId="77777777" w:rsidR="004A4801" w:rsidRDefault="00CE20AA">
            <w:pP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CRITERIO DI SELEZIONE DELLE OSSERVAZIONI</w:t>
            </w:r>
          </w:p>
          <w:p w14:paraId="3CFC6106" w14:textId="77777777" w:rsidR="004A4801" w:rsidRDefault="004A4801">
            <w:pPr>
              <w:spacing w:after="0" w:line="276" w:lineRule="auto"/>
              <w:jc w:val="both"/>
              <w:rPr>
                <w:rFonts w:ascii="Times New Roman" w:eastAsia="Times New Roman" w:hAnsi="Times New Roman" w:cs="Times New Roman"/>
                <w:b/>
                <w:bCs/>
                <w:sz w:val="20"/>
                <w:szCs w:val="20"/>
              </w:rPr>
            </w:pPr>
          </w:p>
        </w:tc>
        <w:tc>
          <w:tcPr>
            <w:tcW w:w="4326" w:type="dxa"/>
            <w:tcBorders>
              <w:top w:val="single" w:sz="6" w:space="0" w:color="000000"/>
              <w:left w:val="nil"/>
              <w:bottom w:val="single" w:sz="4" w:space="0" w:color="000000"/>
              <w:right w:val="single" w:sz="6" w:space="0" w:color="000000"/>
            </w:tcBorders>
            <w:tcMar>
              <w:top w:w="0" w:type="dxa"/>
              <w:left w:w="40" w:type="dxa"/>
              <w:bottom w:w="0" w:type="dxa"/>
              <w:right w:w="40" w:type="dxa"/>
            </w:tcMar>
            <w:vAlign w:val="center"/>
          </w:tcPr>
          <w:p w14:paraId="3922EEC8" w14:textId="77777777" w:rsidR="004A4801" w:rsidRDefault="00CE20AA">
            <w:pPr>
              <w:spacing w:after="0" w:line="276"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STRUTTURA DEL SEGMENTO ANALITICO</w:t>
            </w:r>
          </w:p>
        </w:tc>
      </w:tr>
      <w:tr w:rsidR="004A4801" w14:paraId="44043063" w14:textId="77777777">
        <w:trPr>
          <w:trHeight w:val="1418"/>
        </w:trPr>
        <w:tc>
          <w:tcPr>
            <w:tcW w:w="16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0E924F94"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1</w:t>
            </w:r>
          </w:p>
        </w:tc>
        <w:tc>
          <w:tcPr>
            <w:tcW w:w="3629"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1E038E2D"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ai residenti che </w:t>
            </w:r>
            <w:r>
              <w:rPr>
                <w:rFonts w:ascii="Times New Roman" w:eastAsia="Times New Roman" w:hAnsi="Times New Roman" w:cs="Times New Roman"/>
                <w:b/>
                <w:bCs/>
                <w:sz w:val="20"/>
                <w:szCs w:val="20"/>
              </w:rPr>
              <w:t>dichiarano di non aver effettuato viaggi</w:t>
            </w:r>
            <w:r>
              <w:rPr>
                <w:rFonts w:ascii="Times New Roman" w:eastAsia="Times New Roman" w:hAnsi="Times New Roman" w:cs="Times New Roman"/>
                <w:sz w:val="20"/>
                <w:szCs w:val="20"/>
              </w:rPr>
              <w:t xml:space="preserve"> turistici nell’anno di riferimento.</w:t>
            </w:r>
          </w:p>
          <w:p w14:paraId="09720AAD" w14:textId="77777777" w:rsidR="004A4801" w:rsidRDefault="004A4801">
            <w:pPr>
              <w:spacing w:after="0" w:line="276" w:lineRule="auto"/>
              <w:jc w:val="both"/>
              <w:rPr>
                <w:rFonts w:ascii="Times New Roman" w:eastAsia="Times New Roman" w:hAnsi="Times New Roman" w:cs="Times New Roman"/>
                <w:sz w:val="20"/>
                <w:szCs w:val="20"/>
              </w:rPr>
            </w:pPr>
          </w:p>
        </w:tc>
        <w:tc>
          <w:tcPr>
            <w:tcW w:w="432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77103668"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equilibrata tra le province di residenza e tra le N fasce d’età.</w:t>
            </w:r>
          </w:p>
        </w:tc>
      </w:tr>
      <w:tr w:rsidR="004A4801" w14:paraId="3B56D1AA" w14:textId="77777777">
        <w:trPr>
          <w:trHeight w:val="1418"/>
        </w:trPr>
        <w:tc>
          <w:tcPr>
            <w:tcW w:w="1675"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FC12280"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2</w:t>
            </w:r>
          </w:p>
        </w:tc>
        <w:tc>
          <w:tcPr>
            <w:tcW w:w="3629"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5F556EDA"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ai residenti </w:t>
            </w:r>
            <w:r>
              <w:rPr>
                <w:rFonts w:ascii="Times New Roman" w:eastAsia="Times New Roman" w:hAnsi="Times New Roman" w:cs="Times New Roman"/>
                <w:b/>
                <w:bCs/>
                <w:sz w:val="20"/>
                <w:szCs w:val="20"/>
              </w:rPr>
              <w:t>che hanno effettuato almeno una vacanza</w:t>
            </w:r>
            <w:r>
              <w:rPr>
                <w:rFonts w:ascii="Times New Roman" w:eastAsia="Times New Roman" w:hAnsi="Times New Roman" w:cs="Times New Roman"/>
                <w:sz w:val="20"/>
                <w:szCs w:val="20"/>
              </w:rPr>
              <w:t xml:space="preserve"> nell’anno di riferimento.</w:t>
            </w:r>
          </w:p>
        </w:tc>
        <w:tc>
          <w:tcPr>
            <w:tcW w:w="4326" w:type="dxa"/>
            <w:tcBorders>
              <w:top w:val="single" w:sz="4" w:space="0" w:color="000000"/>
              <w:left w:val="single" w:sz="4" w:space="0" w:color="000000"/>
              <w:bottom w:val="single" w:sz="4" w:space="0" w:color="000000"/>
              <w:right w:val="single" w:sz="4" w:space="0" w:color="000000"/>
            </w:tcBorders>
            <w:tcMar>
              <w:top w:w="0" w:type="dxa"/>
              <w:left w:w="40" w:type="dxa"/>
              <w:bottom w:w="0" w:type="dxa"/>
              <w:right w:w="40" w:type="dxa"/>
            </w:tcMar>
            <w:vAlign w:val="center"/>
          </w:tcPr>
          <w:p w14:paraId="6B8A7FD4"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per provincia di residenza e tra le N fasce d’età.</w:t>
            </w:r>
          </w:p>
        </w:tc>
      </w:tr>
      <w:tr w:rsidR="004A4801" w14:paraId="1A6F14C0" w14:textId="77777777">
        <w:trPr>
          <w:trHeight w:val="1701"/>
        </w:trPr>
        <w:tc>
          <w:tcPr>
            <w:tcW w:w="1675" w:type="dxa"/>
            <w:tcBorders>
              <w:top w:val="single" w:sz="4" w:space="0" w:color="000000"/>
              <w:left w:val="single" w:sz="6" w:space="0" w:color="000000"/>
              <w:bottom w:val="single" w:sz="6" w:space="0" w:color="000000"/>
              <w:right w:val="single" w:sz="6" w:space="0" w:color="000000"/>
            </w:tcBorders>
            <w:tcMar>
              <w:top w:w="0" w:type="dxa"/>
              <w:left w:w="40" w:type="dxa"/>
              <w:bottom w:w="0" w:type="dxa"/>
              <w:right w:w="40" w:type="dxa"/>
            </w:tcMar>
            <w:vAlign w:val="center"/>
          </w:tcPr>
          <w:p w14:paraId="0CB6451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3</w:t>
            </w:r>
          </w:p>
        </w:tc>
        <w:tc>
          <w:tcPr>
            <w:tcW w:w="3629" w:type="dxa"/>
            <w:tcBorders>
              <w:top w:val="single" w:sz="4" w:space="0" w:color="000000"/>
              <w:left w:val="nil"/>
              <w:bottom w:val="single" w:sz="6" w:space="0" w:color="000000"/>
              <w:right w:val="single" w:sz="6" w:space="0" w:color="000000"/>
            </w:tcBorders>
            <w:tcMar>
              <w:top w:w="0" w:type="dxa"/>
              <w:left w:w="40" w:type="dxa"/>
              <w:bottom w:w="0" w:type="dxa"/>
              <w:right w:w="40" w:type="dxa"/>
            </w:tcMar>
            <w:vAlign w:val="center"/>
          </w:tcPr>
          <w:p w14:paraId="4785777F"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ai </w:t>
            </w:r>
            <w:r>
              <w:rPr>
                <w:rFonts w:ascii="Times New Roman" w:eastAsia="Times New Roman" w:hAnsi="Times New Roman" w:cs="Times New Roman"/>
                <w:b/>
                <w:bCs/>
                <w:sz w:val="20"/>
                <w:szCs w:val="20"/>
              </w:rPr>
              <w:t>residenti che hanno effettuato una vacanza con motivazione principale diversa dal turismo balneare.</w:t>
            </w:r>
          </w:p>
        </w:tc>
        <w:tc>
          <w:tcPr>
            <w:tcW w:w="4326" w:type="dxa"/>
            <w:tcBorders>
              <w:top w:val="single" w:sz="4" w:space="0" w:color="000000"/>
              <w:left w:val="nil"/>
              <w:bottom w:val="single" w:sz="6" w:space="0" w:color="000000"/>
              <w:right w:val="single" w:sz="6" w:space="0" w:color="000000"/>
            </w:tcBorders>
            <w:tcMar>
              <w:top w:w="0" w:type="dxa"/>
              <w:left w:w="40" w:type="dxa"/>
              <w:bottom w:w="0" w:type="dxa"/>
              <w:right w:w="40" w:type="dxa"/>
            </w:tcMar>
            <w:vAlign w:val="center"/>
          </w:tcPr>
          <w:p w14:paraId="66460B71"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per provincia di residenza e tra le N fasce d’età.</w:t>
            </w:r>
          </w:p>
          <w:p w14:paraId="2831D2C2"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Filtro di esclusione a monte (motivazione di viaggio  principale “balneare”)</w:t>
            </w:r>
          </w:p>
        </w:tc>
      </w:tr>
      <w:tr w:rsidR="004A4801" w14:paraId="7C95E0F5" w14:textId="77777777">
        <w:trPr>
          <w:trHeight w:val="1701"/>
        </w:trPr>
        <w:tc>
          <w:tcPr>
            <w:tcW w:w="1675"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327BCD09"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CAMPIONE 4</w:t>
            </w:r>
          </w:p>
        </w:tc>
        <w:tc>
          <w:tcPr>
            <w:tcW w:w="3629" w:type="dxa"/>
            <w:tcBorders>
              <w:top w:val="nil"/>
              <w:left w:val="nil"/>
              <w:bottom w:val="single" w:sz="6" w:space="0" w:color="000000"/>
              <w:right w:val="single" w:sz="6" w:space="0" w:color="000000"/>
            </w:tcBorders>
            <w:tcMar>
              <w:top w:w="0" w:type="dxa"/>
              <w:left w:w="40" w:type="dxa"/>
              <w:bottom w:w="0" w:type="dxa"/>
              <w:right w:w="40" w:type="dxa"/>
            </w:tcMar>
            <w:vAlign w:val="center"/>
          </w:tcPr>
          <w:p w14:paraId="5275B074"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relative ai residenti che </w:t>
            </w:r>
            <w:r>
              <w:rPr>
                <w:rFonts w:ascii="Times New Roman" w:eastAsia="Times New Roman" w:hAnsi="Times New Roman" w:cs="Times New Roman"/>
                <w:b/>
                <w:bCs/>
                <w:sz w:val="20"/>
                <w:szCs w:val="20"/>
              </w:rPr>
              <w:t>hanno effettuato un soggiorno turistico di durata inferiore o uguale a 30 giorni</w:t>
            </w:r>
          </w:p>
        </w:tc>
        <w:tc>
          <w:tcPr>
            <w:tcW w:w="4326" w:type="dxa"/>
            <w:tcBorders>
              <w:top w:val="nil"/>
              <w:left w:val="nil"/>
              <w:bottom w:val="single" w:sz="6" w:space="0" w:color="000000"/>
              <w:right w:val="single" w:sz="6" w:space="0" w:color="000000"/>
            </w:tcBorders>
            <w:tcMar>
              <w:top w:w="0" w:type="dxa"/>
              <w:left w:w="40" w:type="dxa"/>
              <w:bottom w:w="0" w:type="dxa"/>
              <w:right w:w="40" w:type="dxa"/>
            </w:tcMar>
            <w:vAlign w:val="center"/>
          </w:tcPr>
          <w:p w14:paraId="07FF3859"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per provincia di residenza e tra le N fasce d’età.</w:t>
            </w:r>
          </w:p>
          <w:p w14:paraId="65215884"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Filtro: Solo vacanze &lt; = 30 giorni</w:t>
            </w:r>
          </w:p>
          <w:p w14:paraId="4B4DA3E8" w14:textId="77777777" w:rsidR="004A4801" w:rsidRDefault="004A4801">
            <w:pPr>
              <w:spacing w:line="276" w:lineRule="auto"/>
              <w:jc w:val="both"/>
              <w:rPr>
                <w:rFonts w:ascii="Times New Roman" w:eastAsia="Times New Roman" w:hAnsi="Times New Roman" w:cs="Times New Roman"/>
                <w:sz w:val="20"/>
                <w:szCs w:val="20"/>
              </w:rPr>
            </w:pPr>
          </w:p>
        </w:tc>
      </w:tr>
      <w:tr w:rsidR="004A4801" w14:paraId="25CA11BD" w14:textId="77777777">
        <w:trPr>
          <w:trHeight w:val="1418"/>
        </w:trPr>
        <w:tc>
          <w:tcPr>
            <w:tcW w:w="1675" w:type="dxa"/>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1CE40381"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CAMPIONE 5</w:t>
            </w:r>
          </w:p>
        </w:tc>
        <w:tc>
          <w:tcPr>
            <w:tcW w:w="3629"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2671FF0"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Numero di osservazioni analizzate selezionate in funzione delle </w:t>
            </w:r>
            <w:r>
              <w:rPr>
                <w:rFonts w:ascii="Times New Roman" w:eastAsia="Times New Roman" w:hAnsi="Times New Roman" w:cs="Times New Roman"/>
                <w:b/>
                <w:bCs/>
                <w:sz w:val="20"/>
                <w:szCs w:val="20"/>
              </w:rPr>
              <w:t>principali motivazioni di viaggio dichiarate</w:t>
            </w:r>
            <w:r>
              <w:rPr>
                <w:rFonts w:ascii="Times New Roman" w:eastAsia="Times New Roman" w:hAnsi="Times New Roman" w:cs="Times New Roman"/>
                <w:sz w:val="20"/>
                <w:szCs w:val="20"/>
              </w:rPr>
              <w:t>.</w:t>
            </w:r>
          </w:p>
        </w:tc>
        <w:tc>
          <w:tcPr>
            <w:tcW w:w="4326" w:type="dxa"/>
            <w:tcBorders>
              <w:top w:val="nil"/>
              <w:left w:val="nil"/>
              <w:bottom w:val="single" w:sz="6" w:space="0" w:color="000000"/>
              <w:right w:val="single" w:sz="6" w:space="0" w:color="000000"/>
            </w:tcBorders>
            <w:tcMar>
              <w:top w:w="0" w:type="dxa"/>
              <w:left w:w="40" w:type="dxa"/>
              <w:bottom w:w="0" w:type="dxa"/>
              <w:right w:w="40" w:type="dxa"/>
            </w:tcMar>
            <w:vAlign w:val="center"/>
          </w:tcPr>
          <w:p w14:paraId="79411D3D"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equilibrata per ciascuna delle prime 5 motivazioni principali.</w:t>
            </w:r>
          </w:p>
          <w:p w14:paraId="520BB275" w14:textId="77777777" w:rsidR="004A4801" w:rsidRDefault="00CE20AA">
            <w:pPr>
              <w:spacing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Distribuzione per provincia di residenza e tra le N fasce d’età.</w:t>
            </w:r>
          </w:p>
        </w:tc>
      </w:tr>
      <w:tr w:rsidR="004A4801" w14:paraId="1E0AFE19" w14:textId="77777777">
        <w:trPr>
          <w:trHeight w:val="1134"/>
        </w:trPr>
        <w:tc>
          <w:tcPr>
            <w:tcW w:w="9630" w:type="dxa"/>
            <w:gridSpan w:val="3"/>
            <w:tcBorders>
              <w:top w:val="nil"/>
              <w:left w:val="single" w:sz="6" w:space="0" w:color="000000"/>
              <w:bottom w:val="single" w:sz="6" w:space="0" w:color="000000"/>
              <w:right w:val="single" w:sz="6" w:space="0" w:color="000000"/>
            </w:tcBorders>
            <w:tcMar>
              <w:top w:w="0" w:type="dxa"/>
              <w:left w:w="40" w:type="dxa"/>
              <w:bottom w:w="0" w:type="dxa"/>
              <w:right w:w="40" w:type="dxa"/>
            </w:tcMar>
            <w:vAlign w:val="center"/>
          </w:tcPr>
          <w:p w14:paraId="54175454" w14:textId="77777777" w:rsidR="004A4801" w:rsidRDefault="00CE20AA">
            <w:pPr>
              <w:spacing w:after="0" w:line="276"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Tabella 3- Struttura dei sotto-campioni analitici definiti nell’ambito della Rilevazione B (residenti in Sardegna)</w:t>
            </w:r>
          </w:p>
        </w:tc>
      </w:tr>
    </w:tbl>
    <w:p w14:paraId="26C2C7EC" w14:textId="77777777" w:rsidR="004A4801" w:rsidRDefault="004A4801">
      <w:pPr>
        <w:spacing w:before="240" w:after="0" w:line="276" w:lineRule="auto"/>
        <w:jc w:val="both"/>
        <w:rPr>
          <w:rFonts w:ascii="Times New Roman" w:eastAsia="Times New Roman" w:hAnsi="Times New Roman" w:cs="Times New Roman"/>
          <w:b/>
          <w:bCs/>
        </w:rPr>
      </w:pPr>
    </w:p>
    <w:p w14:paraId="197C5D1D" w14:textId="77777777" w:rsidR="004A4801" w:rsidRDefault="00CE20AA">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b/>
          <w:bCs/>
        </w:rPr>
        <w:t>1.5.2 Calcolo degli indicatori di spesa</w:t>
      </w:r>
    </w:p>
    <w:p w14:paraId="530CD3BC" w14:textId="77777777" w:rsidR="004A4801" w:rsidRDefault="00CE20AA">
      <w:pPr>
        <w:spacing w:before="240" w:after="0" w:line="276" w:lineRule="auto"/>
        <w:jc w:val="both"/>
        <w:rPr>
          <w:rFonts w:ascii="Times New Roman" w:eastAsia="Times New Roman" w:hAnsi="Times New Roman" w:cs="Times New Roman"/>
          <w:b/>
          <w:bCs/>
        </w:rPr>
      </w:pPr>
      <w:r>
        <w:rPr>
          <w:rFonts w:ascii="Times New Roman" w:eastAsia="Times New Roman" w:hAnsi="Times New Roman" w:cs="Times New Roman"/>
        </w:rPr>
        <w:t>Le principali variabili quantitative rilevate attraverso i questionari riguardano la spesa turistica, articolata nelle seguenti categorie: trasporto (da e per la Sardegna); trasporti interni; alloggio; alimentazione; ristorazione; altri servizi turistici. A queste si aggiunge la spesa complessiva sostenuta per eventuali pacchetti turistici.</w:t>
      </w:r>
    </w:p>
    <w:p w14:paraId="2E23C7F6"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Accanto alle variabili di spesa, l’indagine raccoglie inoltre una serie di attributi di classificazione, utili alla segmentazione della domanda turistica, tra cui:</w:t>
      </w:r>
    </w:p>
    <w:p w14:paraId="2DBAFB17" w14:textId="77777777" w:rsidR="004A4801" w:rsidRDefault="00CE20AA">
      <w:pPr>
        <w:numPr>
          <w:ilvl w:val="0"/>
          <w:numId w:val="2"/>
        </w:numPr>
        <w:spacing w:before="280" w:after="0" w:line="276" w:lineRule="auto"/>
        <w:jc w:val="both"/>
        <w:rPr>
          <w:rFonts w:ascii="Times New Roman" w:eastAsia="Times New Roman" w:hAnsi="Times New Roman" w:cs="Times New Roman"/>
        </w:rPr>
      </w:pPr>
      <w:r>
        <w:rPr>
          <w:rFonts w:ascii="Times New Roman" w:eastAsia="Times New Roman" w:hAnsi="Times New Roman" w:cs="Times New Roman"/>
        </w:rPr>
        <w:t>provenienza geografica dei visitatori;</w:t>
      </w:r>
    </w:p>
    <w:p w14:paraId="793F6935"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destinazioni del viaggio;</w:t>
      </w:r>
    </w:p>
    <w:p w14:paraId="10B41DE1"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motivazione principale del viaggio;</w:t>
      </w:r>
    </w:p>
    <w:p w14:paraId="68EAEB85"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tipologia di alloggio utilizzata;</w:t>
      </w:r>
    </w:p>
    <w:p w14:paraId="175A42A8"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durata del soggiorno;</w:t>
      </w:r>
    </w:p>
    <w:p w14:paraId="7CBBEBBD"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mezzo di trasporto impiegato;</w:t>
      </w:r>
    </w:p>
    <w:p w14:paraId="504FA127"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classe di età dei viaggiatori;</w:t>
      </w:r>
    </w:p>
    <w:p w14:paraId="19E639CD"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utilizzo del web per la prenotazione del viaggio;</w:t>
      </w:r>
    </w:p>
    <w:p w14:paraId="30441EC7" w14:textId="77777777" w:rsidR="004A4801" w:rsidRDefault="00CE20AA">
      <w:pPr>
        <w:numPr>
          <w:ilvl w:val="0"/>
          <w:numId w:val="2"/>
        </w:numPr>
        <w:spacing w:after="0" w:line="276" w:lineRule="auto"/>
        <w:jc w:val="both"/>
        <w:rPr>
          <w:rFonts w:ascii="Times New Roman" w:eastAsia="Times New Roman" w:hAnsi="Times New Roman" w:cs="Times New Roman"/>
        </w:rPr>
      </w:pPr>
      <w:r>
        <w:rPr>
          <w:rFonts w:ascii="Times New Roman" w:eastAsia="Times New Roman" w:hAnsi="Times New Roman" w:cs="Times New Roman"/>
        </w:rPr>
        <w:t>valutazioni e opinioni sulla destinazione visitata;</w:t>
      </w:r>
    </w:p>
    <w:p w14:paraId="405D7FB3" w14:textId="77777777" w:rsidR="004A4801" w:rsidRDefault="00CE20AA">
      <w:pPr>
        <w:numPr>
          <w:ilvl w:val="0"/>
          <w:numId w:val="2"/>
        </w:numPr>
        <w:spacing w:after="280" w:line="276" w:lineRule="auto"/>
        <w:jc w:val="both"/>
        <w:rPr>
          <w:rFonts w:ascii="Times New Roman" w:eastAsia="Times New Roman" w:hAnsi="Times New Roman" w:cs="Times New Roman"/>
        </w:rPr>
      </w:pPr>
      <w:r>
        <w:rPr>
          <w:rFonts w:ascii="Times New Roman" w:eastAsia="Times New Roman" w:hAnsi="Times New Roman" w:cs="Times New Roman"/>
        </w:rPr>
        <w:t>intenzioni di spesa futura.</w:t>
      </w:r>
    </w:p>
    <w:p w14:paraId="5DF8D3D6"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Il calcolo degli indicatori di spesa rappresenta il nucleo quantitativo dell’analisi e si basa su due principali misure: la </w:t>
      </w:r>
      <w:r>
        <w:rPr>
          <w:rFonts w:ascii="Times New Roman" w:eastAsia="Times New Roman" w:hAnsi="Times New Roman" w:cs="Times New Roman"/>
          <w:b/>
          <w:bCs/>
        </w:rPr>
        <w:t>spesa turistica pro capite per soggiorno (STP)</w:t>
      </w:r>
      <w:r>
        <w:rPr>
          <w:rFonts w:ascii="Times New Roman" w:eastAsia="Times New Roman" w:hAnsi="Times New Roman" w:cs="Times New Roman"/>
        </w:rPr>
        <w:t xml:space="preserve"> e la </w:t>
      </w:r>
      <w:r>
        <w:rPr>
          <w:rFonts w:ascii="Times New Roman" w:eastAsia="Times New Roman" w:hAnsi="Times New Roman" w:cs="Times New Roman"/>
          <w:b/>
          <w:bCs/>
        </w:rPr>
        <w:t>spesa turistica pro capite giornaliera (STPG)</w:t>
      </w:r>
      <w:r>
        <w:rPr>
          <w:rFonts w:ascii="Times New Roman" w:eastAsia="Times New Roman" w:hAnsi="Times New Roman" w:cs="Times New Roman"/>
        </w:rPr>
        <w:t>.</w:t>
      </w:r>
    </w:p>
    <w:p w14:paraId="2DE3A278" w14:textId="77777777" w:rsidR="004A4801" w:rsidRDefault="00CE20AA">
      <w:pPr>
        <w:spacing w:before="280" w:after="28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L’unità statistica di riferimento è il </w:t>
      </w:r>
      <w:r>
        <w:rPr>
          <w:rFonts w:ascii="Times New Roman" w:eastAsia="Times New Roman" w:hAnsi="Times New Roman" w:cs="Times New Roman"/>
          <w:b/>
          <w:bCs/>
          <w:highlight w:val="white"/>
        </w:rPr>
        <w:t>nucleo turistico</w:t>
      </w:r>
      <w:r>
        <w:rPr>
          <w:rFonts w:ascii="Times New Roman" w:eastAsia="Times New Roman" w:hAnsi="Times New Roman" w:cs="Times New Roman"/>
          <w:highlight w:val="white"/>
        </w:rPr>
        <w:t xml:space="preserve">, definito come il gruppo di viaggio composto da uno o più individui che condividono spese e pernottamenti durante il soggiorno. Le informazioni relative alla spesa sono inizialmente rilevate a livello di gruppo di viaggio e successivamente trasformate in valori </w:t>
      </w:r>
      <w:r>
        <w:rPr>
          <w:rFonts w:ascii="Times New Roman" w:eastAsia="Times New Roman" w:hAnsi="Times New Roman" w:cs="Times New Roman"/>
          <w:b/>
          <w:bCs/>
          <w:highlight w:val="white"/>
        </w:rPr>
        <w:t>pro capite equivalenti</w:t>
      </w:r>
      <w:r>
        <w:rPr>
          <w:rFonts w:ascii="Times New Roman" w:eastAsia="Times New Roman" w:hAnsi="Times New Roman" w:cs="Times New Roman"/>
          <w:highlight w:val="white"/>
        </w:rPr>
        <w:t xml:space="preserve">, mediante la normalizzazione rispetto al numero di </w:t>
      </w:r>
      <w:r>
        <w:rPr>
          <w:rFonts w:ascii="Times New Roman" w:eastAsia="Times New Roman" w:hAnsi="Times New Roman" w:cs="Times New Roman"/>
          <w:highlight w:val="white"/>
        </w:rPr>
        <w:lastRenderedPageBreak/>
        <w:t>componenti del nucleo turistico. Tale procedura consente di ottenere indicatori di spesa comparabili tra gruppi di viaggio di diversa dimensione. Questa impostazione è coerente con l’approccio adottato nell’Indagine alle frontiere sul turismo internazionale realizzata da Banca d’Italia, nella quale la spesa turistica è rilevata a livello del singolo viaggiatore.</w:t>
      </w:r>
    </w:p>
    <w:p w14:paraId="10DC9463"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In linea con la metodologia adottata da Banca d’Italia, nel calcolo della spesa turistica pro capite e giornaliera sono incluse le spese sostenute all’interno della destinazione visitata (trasporto interno, alloggio, alimentazione, esercizi pubblici di ristorazione, souvenir, altri servizi turistici – intrattenimento, escursioni, noleggi, ecc.), mentre le spese di trasporto da e per la Sardegna sono contabilizzate separatamente.</w:t>
      </w:r>
    </w:p>
    <w:p w14:paraId="793555AE"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Nel caso in cui il soggiorno sia stato acquistato in forma di </w:t>
      </w:r>
      <w:r>
        <w:rPr>
          <w:rFonts w:ascii="Times New Roman" w:eastAsia="Times New Roman" w:hAnsi="Times New Roman" w:cs="Times New Roman"/>
          <w:b/>
          <w:bCs/>
        </w:rPr>
        <w:t>pacchetto turistico tutto incluso</w:t>
      </w:r>
      <w:r>
        <w:rPr>
          <w:rFonts w:ascii="Times New Roman" w:eastAsia="Times New Roman" w:hAnsi="Times New Roman" w:cs="Times New Roman"/>
        </w:rPr>
        <w:t>, la spesa complessiva del pacchetto viene registrata come voce unitaria, senza disaggregazione per componente. In questi casi, la spesa turistica corrisponde al valore dichiarato del pacchetto, al quale si aggiungono le eventuali spese aggiuntive sostenute in loco e non comprese nel pacchetto stesso.</w:t>
      </w:r>
    </w:p>
    <w:p w14:paraId="0E24EB80"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bCs/>
        </w:rPr>
        <w:t>spesa turistica pro capite (STP)</w:t>
      </w:r>
      <w:r>
        <w:rPr>
          <w:rFonts w:ascii="Times New Roman" w:eastAsia="Times New Roman" w:hAnsi="Times New Roman" w:cs="Times New Roman"/>
        </w:rPr>
        <w:t xml:space="preserve"> e la </w:t>
      </w:r>
      <w:r>
        <w:rPr>
          <w:rFonts w:ascii="Times New Roman" w:eastAsia="Times New Roman" w:hAnsi="Times New Roman" w:cs="Times New Roman"/>
          <w:b/>
          <w:bCs/>
        </w:rPr>
        <w:t>spesa turistica pro capite giornaliera (STPG)</w:t>
      </w:r>
      <w:r>
        <w:rPr>
          <w:rFonts w:ascii="Times New Roman" w:eastAsia="Times New Roman" w:hAnsi="Times New Roman" w:cs="Times New Roman"/>
        </w:rPr>
        <w:t xml:space="preserve"> sono calcolate mediante le seguenti formule:</w:t>
      </w:r>
    </w:p>
    <w:p w14:paraId="396B4792" w14:textId="77777777" w:rsidR="004A4801" w:rsidRDefault="00000000">
      <w:pPr>
        <w:spacing w:before="280" w:after="280" w:line="276" w:lineRule="auto"/>
        <w:jc w:val="both"/>
        <w:rPr>
          <w:rFonts w:ascii="Times New Roman" w:eastAsia="Times New Roman" w:hAnsi="Times New Roman" w:cs="Times New Roman"/>
        </w:rPr>
      </w:pPr>
      <w:sdt>
        <w:sdtPr>
          <w:tag w:val="goog_rdk_0"/>
          <w:id w:val="-884741703"/>
        </w:sdtPr>
        <w:sdtContent>
          <w:r w:rsidR="00CE20AA">
            <w:rPr>
              <w:rFonts w:ascii="Gungsuh" w:eastAsia="Gungsuh" w:hAnsi="Gungsuh" w:cs="Gungsuh"/>
            </w:rPr>
            <w:t>STP = (∑ spesa) / (∑ componenti)</w:t>
          </w:r>
        </w:sdtContent>
      </w:sdt>
    </w:p>
    <w:p w14:paraId="63A57D1C" w14:textId="77777777" w:rsidR="004A4801" w:rsidRDefault="00000000">
      <w:pPr>
        <w:spacing w:before="280" w:after="280" w:line="276" w:lineRule="auto"/>
        <w:jc w:val="both"/>
        <w:rPr>
          <w:rFonts w:ascii="Times New Roman" w:eastAsia="Times New Roman" w:hAnsi="Times New Roman" w:cs="Times New Roman"/>
        </w:rPr>
      </w:pPr>
      <w:sdt>
        <w:sdtPr>
          <w:tag w:val="goog_rdk_1"/>
          <w:id w:val="128538134"/>
        </w:sdtPr>
        <w:sdtContent>
          <w:r w:rsidR="00CE20AA">
            <w:rPr>
              <w:rFonts w:ascii="Gungsuh" w:eastAsia="Gungsuh" w:hAnsi="Gungsuh" w:cs="Gungsuh"/>
            </w:rPr>
            <w:t>STPG = (∑ spesa) / (∑ presenze)</w:t>
          </w:r>
        </w:sdtContent>
      </w:sdt>
    </w:p>
    <w:p w14:paraId="5EBD898A"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Le </w:t>
      </w:r>
      <w:r>
        <w:rPr>
          <w:rFonts w:ascii="Times New Roman" w:eastAsia="Times New Roman" w:hAnsi="Times New Roman" w:cs="Times New Roman"/>
          <w:b/>
          <w:bCs/>
        </w:rPr>
        <w:t>presenze turistiche</w:t>
      </w:r>
      <w:r>
        <w:rPr>
          <w:rFonts w:ascii="Times New Roman" w:eastAsia="Times New Roman" w:hAnsi="Times New Roman" w:cs="Times New Roman"/>
        </w:rPr>
        <w:t xml:space="preserve"> sono calcolate come il numero complessivo di pernottamenti generati dal gruppo di viaggio durante il soggiorno. Operativamente, esse corrispondono al prodotto tra il numero di componenti del nucleo turistico e la durata del soggiorno espressa in notti:</w:t>
      </w:r>
    </w:p>
    <w:p w14:paraId="28526254" w14:textId="77777777" w:rsidR="004A4801" w:rsidRDefault="00000000">
      <w:pPr>
        <w:spacing w:before="280" w:after="280" w:line="276" w:lineRule="auto"/>
        <w:jc w:val="both"/>
        <w:rPr>
          <w:rFonts w:ascii="Times New Roman" w:eastAsia="Times New Roman" w:hAnsi="Times New Roman" w:cs="Times New Roman"/>
        </w:rPr>
      </w:pPr>
      <w:sdt>
        <w:sdtPr>
          <w:tag w:val="goog_rdk_2"/>
          <w:id w:val="-930592364"/>
        </w:sdtPr>
        <w:sdtContent>
          <w:r w:rsidR="00CE20AA">
            <w:rPr>
              <w:rFonts w:ascii="Gungsuh" w:eastAsia="Gungsuh" w:hAnsi="Gungsuh" w:cs="Gungsuh"/>
            </w:rPr>
            <w:t>presenze = ∑ (componenti × durata del soggiorno)</w:t>
          </w:r>
        </w:sdtContent>
      </w:sdt>
    </w:p>
    <w:p w14:paraId="7B92F945"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Tali formule sono applicate sia alla spesa complessiva sia alle singole voci di spesa (trasporto, alloggio, ristorazione, alimentari, souvenir, altre spese).</w:t>
      </w:r>
    </w:p>
    <w:p w14:paraId="5071B437"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La </w:t>
      </w:r>
      <w:r>
        <w:rPr>
          <w:rFonts w:ascii="Times New Roman" w:eastAsia="Times New Roman" w:hAnsi="Times New Roman" w:cs="Times New Roman"/>
          <w:b/>
          <w:bCs/>
        </w:rPr>
        <w:t>STPG</w:t>
      </w:r>
      <w:r>
        <w:rPr>
          <w:rFonts w:ascii="Times New Roman" w:eastAsia="Times New Roman" w:hAnsi="Times New Roman" w:cs="Times New Roman"/>
        </w:rPr>
        <w:t xml:space="preserve"> rappresenta l’indicatore principale utilizzato per i confronti tra i diversi segmenti della domanda turistica, poiché consente di normalizzare la spesa rispetto sia alla dimensione del gruppo di viaggio sia alla durata del soggiorno, permettendo comparazioni omogenee tra turisti con caratteristiche differenti.</w:t>
      </w:r>
    </w:p>
    <w:p w14:paraId="351B8E67"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Gli indicatori di spesa sono calcolati separatamente per ciascuno dei sotto-campioni analitici descritti nel paragrafo 1.5.1, al fine di consentire confronti diretti tra i diversi segmenti della domanda senza che i risultati siano influenzati da differenze nella composizione numerica dei gruppi.</w:t>
      </w:r>
    </w:p>
    <w:p w14:paraId="7D32D8E2"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t xml:space="preserve">Per la </w:t>
      </w:r>
      <w:r>
        <w:rPr>
          <w:rFonts w:ascii="Times New Roman" w:eastAsia="Times New Roman" w:hAnsi="Times New Roman" w:cs="Times New Roman"/>
          <w:b/>
          <w:bCs/>
        </w:rPr>
        <w:t>Rilevazione A</w:t>
      </w:r>
      <w:r>
        <w:rPr>
          <w:rFonts w:ascii="Times New Roman" w:eastAsia="Times New Roman" w:hAnsi="Times New Roman" w:cs="Times New Roman"/>
        </w:rPr>
        <w:t>, gli indicatori vengono disaggregati per provenienza geografica (italiani / stranieri; principali mercati esteri e regioni italiane), motivazione principale e secondaria del viaggio, tipologia di alloggio e fascia di durata del soggiorno.</w:t>
      </w:r>
    </w:p>
    <w:p w14:paraId="22B763A5" w14:textId="77777777" w:rsidR="004A4801" w:rsidRDefault="00CE20AA">
      <w:pPr>
        <w:spacing w:before="280" w:after="280"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Per la </w:t>
      </w:r>
      <w:r>
        <w:rPr>
          <w:rFonts w:ascii="Times New Roman" w:eastAsia="Times New Roman" w:hAnsi="Times New Roman" w:cs="Times New Roman"/>
          <w:b/>
          <w:bCs/>
        </w:rPr>
        <w:t>Rilevazione B</w:t>
      </w:r>
      <w:r>
        <w:rPr>
          <w:rFonts w:ascii="Times New Roman" w:eastAsia="Times New Roman" w:hAnsi="Times New Roman" w:cs="Times New Roman"/>
        </w:rPr>
        <w:t>, gli indicatori sono calcolati con riferimento ai residenti sardi che hanno effettuato almeno un soggiorno turistico, distinguendo tra vacanze in Sardegna, in altre regioni italiane o all’estero.</w:t>
      </w:r>
    </w:p>
    <w:p w14:paraId="09A96687" w14:textId="77777777" w:rsidR="004A4801" w:rsidRDefault="004A4801">
      <w:pPr>
        <w:spacing w:line="276" w:lineRule="auto"/>
        <w:jc w:val="both"/>
        <w:rPr>
          <w:rFonts w:ascii="Arial Narrow" w:eastAsia="Arial Narrow" w:hAnsi="Arial Narrow" w:cs="Arial Narrow"/>
          <w:b/>
          <w:bCs/>
          <w:highlight w:val="yellow"/>
        </w:rPr>
      </w:pPr>
    </w:p>
    <w:sectPr w:rsidR="004A4801">
      <w:pgSz w:w="11906" w:h="16838"/>
      <w:pgMar w:top="1417" w:right="1134" w:bottom="1134"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DB1C7" w14:textId="77777777" w:rsidR="00F464D4" w:rsidRDefault="00F464D4">
      <w:pPr>
        <w:spacing w:after="0" w:line="240" w:lineRule="auto"/>
      </w:pPr>
      <w:r>
        <w:separator/>
      </w:r>
    </w:p>
  </w:endnote>
  <w:endnote w:type="continuationSeparator" w:id="0">
    <w:p w14:paraId="65AABD2C" w14:textId="77777777" w:rsidR="00F464D4" w:rsidRDefault="00F464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E053A260-394E-4727-8B06-CBD03763CCCA}"/>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23058114-0435-42BC-9F4E-4D4AE6937944}"/>
    <w:embedItalic r:id="rId3" w:fontKey="{F1F1F09D-772B-42AC-9187-A16C5AC6D9B6}"/>
  </w:font>
  <w:font w:name="Play">
    <w:charset w:val="00"/>
    <w:family w:val="auto"/>
    <w:pitch w:val="default"/>
    <w:embedRegular r:id="rId4" w:fontKey="{CBDBBEAC-5F2A-40FF-9ADB-D0D547D61C1F}"/>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5" w:fontKey="{EDA3C7A5-96AB-49AE-ABE0-809D7A144574}"/>
  </w:font>
  <w:font w:name="Gungsuh">
    <w:charset w:val="81"/>
    <w:family w:val="roman"/>
    <w:pitch w:val="variable"/>
    <w:sig w:usb0="B00002AF" w:usb1="69D77CFB" w:usb2="00000030" w:usb3="00000000" w:csb0="0008009F" w:csb1="00000000"/>
    <w:embedRegular r:id="rId6" w:subsetted="1" w:fontKey="{32245DDE-DCA9-4C2B-900D-1B2C6240442C}"/>
  </w:font>
  <w:font w:name="Arial Narrow">
    <w:panose1 w:val="020B0606020202030204"/>
    <w:charset w:val="00"/>
    <w:family w:val="swiss"/>
    <w:pitch w:val="variable"/>
    <w:sig w:usb0="00000287" w:usb1="00000800" w:usb2="00000000" w:usb3="00000000" w:csb0="0000009F" w:csb1="00000000"/>
    <w:embedBold r:id="rId7" w:fontKey="{74FC3D3D-6A97-4B3A-B635-63EB60B9902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0C7D2" w14:textId="77777777" w:rsidR="00F464D4" w:rsidRDefault="00F464D4">
      <w:pPr>
        <w:spacing w:after="0" w:line="240" w:lineRule="auto"/>
      </w:pPr>
      <w:r>
        <w:separator/>
      </w:r>
    </w:p>
  </w:footnote>
  <w:footnote w:type="continuationSeparator" w:id="0">
    <w:p w14:paraId="54F9C389" w14:textId="77777777" w:rsidR="00F464D4" w:rsidRDefault="00F464D4">
      <w:pPr>
        <w:spacing w:after="0" w:line="240" w:lineRule="auto"/>
      </w:pPr>
      <w:r>
        <w:continuationSeparator/>
      </w:r>
    </w:p>
  </w:footnote>
  <w:footnote w:id="1">
    <w:p w14:paraId="75FDF672" w14:textId="77777777" w:rsidR="004A4801" w:rsidRDefault="00CE20AA">
      <w:pPr>
        <w:spacing w:after="0" w:line="240" w:lineRule="auto"/>
        <w:rPr>
          <w:rFonts w:ascii="Times New Roman" w:eastAsia="Times New Roman" w:hAnsi="Times New Roman" w:cs="Times New Roman"/>
          <w:sz w:val="20"/>
          <w:szCs w:val="20"/>
        </w:rPr>
      </w:pPr>
      <w:r>
        <w:rPr>
          <w:vertAlign w:val="superscript"/>
        </w:rPr>
        <w:footnoteRef/>
      </w:r>
      <w:r>
        <w:rPr>
          <w:sz w:val="20"/>
          <w:szCs w:val="20"/>
        </w:rPr>
        <w:t xml:space="preserve"> </w:t>
      </w:r>
      <w:r>
        <w:rPr>
          <w:rFonts w:ascii="Times New Roman" w:eastAsia="Times New Roman" w:hAnsi="Times New Roman" w:cs="Times New Roman"/>
          <w:sz w:val="20"/>
          <w:szCs w:val="20"/>
        </w:rPr>
        <w:t>Cfr con 1.5.2 Calcolo degli indicatori di spesa.</w:t>
      </w:r>
    </w:p>
    <w:p w14:paraId="2AE47531" w14:textId="77777777" w:rsidR="004A4801" w:rsidRDefault="004A4801">
      <w:pPr>
        <w:spacing w:after="0" w:line="240" w:lineRule="auto"/>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C05248"/>
    <w:multiLevelType w:val="multilevel"/>
    <w:tmpl w:val="9CD88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2031E5B"/>
    <w:multiLevelType w:val="multilevel"/>
    <w:tmpl w:val="86B8CB0E"/>
    <w:lvl w:ilvl="0">
      <w:start w:val="1"/>
      <w:numFmt w:val="decimal"/>
      <w:pStyle w:val="Puntoelenco"/>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AD57EDA"/>
    <w:multiLevelType w:val="multilevel"/>
    <w:tmpl w:val="AD0E5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68735D88"/>
    <w:multiLevelType w:val="multilevel"/>
    <w:tmpl w:val="F11440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66031084">
    <w:abstractNumId w:val="3"/>
  </w:num>
  <w:num w:numId="2" w16cid:durableId="1024786767">
    <w:abstractNumId w:val="2"/>
  </w:num>
  <w:num w:numId="3" w16cid:durableId="1893148413">
    <w:abstractNumId w:val="0"/>
  </w:num>
  <w:num w:numId="4" w16cid:durableId="10895470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801"/>
    <w:rsid w:val="001B653D"/>
    <w:rsid w:val="002731B8"/>
    <w:rsid w:val="004A4801"/>
    <w:rsid w:val="00BE2766"/>
    <w:rsid w:val="00CE20AA"/>
    <w:rsid w:val="00DD0ADF"/>
    <w:rsid w:val="00F464D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381F2"/>
  <w15:docId w15:val="{63CB9CC3-064A-4809-BC5B-A3F85B5C7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it" w:eastAsia="it-IT"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360" w:after="80"/>
      <w:outlineLvl w:val="0"/>
    </w:pPr>
    <w:rPr>
      <w:rFonts w:ascii="Play" w:eastAsia="Play" w:hAnsi="Play" w:cs="Play"/>
      <w:color w:val="0F4761"/>
      <w:sz w:val="40"/>
      <w:szCs w:val="40"/>
    </w:rPr>
  </w:style>
  <w:style w:type="paragraph" w:styleId="Titolo2">
    <w:name w:val="heading 2"/>
    <w:basedOn w:val="Normale"/>
    <w:next w:val="Normale"/>
    <w:uiPriority w:val="9"/>
    <w:semiHidden/>
    <w:unhideWhenUsed/>
    <w:qFormat/>
    <w:pPr>
      <w:keepNext/>
      <w:keepLines/>
      <w:spacing w:before="160" w:after="80"/>
      <w:outlineLvl w:val="1"/>
    </w:pPr>
    <w:rPr>
      <w:rFonts w:ascii="Play" w:eastAsia="Play" w:hAnsi="Play" w:cs="Play"/>
      <w:color w:val="0F4761"/>
      <w:sz w:val="32"/>
      <w:szCs w:val="32"/>
    </w:rPr>
  </w:style>
  <w:style w:type="paragraph" w:styleId="Titolo3">
    <w:name w:val="heading 3"/>
    <w:basedOn w:val="Normale"/>
    <w:next w:val="Normale"/>
    <w:uiPriority w:val="9"/>
    <w:semiHidden/>
    <w:unhideWhenUsed/>
    <w:qFormat/>
    <w:pPr>
      <w:keepNext/>
      <w:keepLines/>
      <w:spacing w:before="160" w:after="80"/>
      <w:outlineLvl w:val="2"/>
    </w:pPr>
    <w:rPr>
      <w:color w:val="0F4761"/>
      <w:sz w:val="28"/>
      <w:szCs w:val="28"/>
    </w:rPr>
  </w:style>
  <w:style w:type="paragraph" w:styleId="Titolo4">
    <w:name w:val="heading 4"/>
    <w:basedOn w:val="Normale"/>
    <w:next w:val="Normale"/>
    <w:uiPriority w:val="9"/>
    <w:semiHidden/>
    <w:unhideWhenUsed/>
    <w:qFormat/>
    <w:pPr>
      <w:keepNext/>
      <w:keepLines/>
      <w:spacing w:before="80" w:after="40"/>
      <w:outlineLvl w:val="3"/>
    </w:pPr>
    <w:rPr>
      <w:i/>
      <w:iCs/>
      <w:color w:val="0F4761"/>
    </w:rPr>
  </w:style>
  <w:style w:type="paragraph" w:styleId="Titolo5">
    <w:name w:val="heading 5"/>
    <w:basedOn w:val="Normale"/>
    <w:next w:val="Normale"/>
    <w:uiPriority w:val="9"/>
    <w:semiHidden/>
    <w:unhideWhenUsed/>
    <w:qFormat/>
    <w:pPr>
      <w:keepNext/>
      <w:keepLines/>
      <w:spacing w:before="80" w:after="40"/>
      <w:outlineLvl w:val="4"/>
    </w:pPr>
    <w:rPr>
      <w:color w:val="0F4761"/>
    </w:rPr>
  </w:style>
  <w:style w:type="paragraph" w:styleId="Titolo6">
    <w:name w:val="heading 6"/>
    <w:basedOn w:val="Normale"/>
    <w:next w:val="Normale"/>
    <w:uiPriority w:val="9"/>
    <w:semiHidden/>
    <w:unhideWhenUsed/>
    <w:qFormat/>
    <w:pPr>
      <w:keepNext/>
      <w:keepLines/>
      <w:spacing w:before="40" w:after="0"/>
      <w:outlineLvl w:val="5"/>
    </w:pPr>
    <w:rPr>
      <w:i/>
      <w:iCs/>
      <w:color w:val="595959"/>
    </w:rPr>
  </w:style>
  <w:style w:type="paragraph" w:styleId="Titolo7">
    <w:name w:val="heading 7"/>
    <w:link w:val="Titolo7Carattere"/>
    <w:uiPriority w:val="9"/>
    <w:semiHidden/>
    <w:unhideWhenUsed/>
    <w:qFormat/>
    <w:rsid w:val="00B454A7"/>
    <w:pPr>
      <w:keepNext/>
      <w:keepLines/>
      <w:spacing w:before="40" w:after="0"/>
      <w:outlineLvl w:val="6"/>
    </w:pPr>
    <w:rPr>
      <w:rFonts w:eastAsiaTheme="majorEastAsia" w:cstheme="majorBidi"/>
      <w:color w:val="595959" w:themeColor="text1" w:themeTint="A6"/>
    </w:rPr>
  </w:style>
  <w:style w:type="paragraph" w:styleId="Titolo8">
    <w:name w:val="heading 8"/>
    <w:link w:val="Titolo8Carattere"/>
    <w:uiPriority w:val="9"/>
    <w:semiHidden/>
    <w:unhideWhenUsed/>
    <w:qFormat/>
    <w:rsid w:val="00B454A7"/>
    <w:pPr>
      <w:keepNext/>
      <w:keepLines/>
      <w:spacing w:after="0"/>
      <w:outlineLvl w:val="7"/>
    </w:pPr>
    <w:rPr>
      <w:rFonts w:eastAsiaTheme="majorEastAsia" w:cstheme="majorBidi"/>
      <w:i/>
      <w:iCs/>
      <w:color w:val="272727" w:themeColor="text1" w:themeTint="D8"/>
    </w:rPr>
  </w:style>
  <w:style w:type="paragraph" w:styleId="Titolo9">
    <w:name w:val="heading 9"/>
    <w:link w:val="Titolo9Carattere"/>
    <w:uiPriority w:val="9"/>
    <w:semiHidden/>
    <w:unhideWhenUsed/>
    <w:qFormat/>
    <w:rsid w:val="00B454A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character" w:customStyle="1" w:styleId="Titolo1Carattere">
    <w:name w:val="Titolo 1 Carattere"/>
    <w:basedOn w:val="Carpredefinitoparagrafo"/>
    <w:uiPriority w:val="9"/>
    <w:rsid w:val="00B454A7"/>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uiPriority w:val="9"/>
    <w:semiHidden/>
    <w:rsid w:val="00B454A7"/>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uiPriority w:val="9"/>
    <w:semiHidden/>
    <w:rsid w:val="00B454A7"/>
    <w:rPr>
      <w:rFonts w:eastAsiaTheme="majorEastAsia" w:cstheme="majorBidi"/>
      <w:color w:val="0F4761" w:themeColor="accent1" w:themeShade="BF"/>
      <w:sz w:val="28"/>
      <w:szCs w:val="28"/>
    </w:rPr>
  </w:style>
  <w:style w:type="character" w:customStyle="1" w:styleId="Titolo4Carattere">
    <w:name w:val="Titolo 4 Carattere"/>
    <w:basedOn w:val="Carpredefinitoparagrafo"/>
    <w:uiPriority w:val="9"/>
    <w:semiHidden/>
    <w:rsid w:val="00B454A7"/>
    <w:rPr>
      <w:rFonts w:eastAsiaTheme="majorEastAsia" w:cstheme="majorBidi"/>
      <w:i/>
      <w:iCs/>
      <w:color w:val="0F4761" w:themeColor="accent1" w:themeShade="BF"/>
    </w:rPr>
  </w:style>
  <w:style w:type="character" w:customStyle="1" w:styleId="Titolo5Carattere">
    <w:name w:val="Titolo 5 Carattere"/>
    <w:basedOn w:val="Carpredefinitoparagrafo"/>
    <w:uiPriority w:val="9"/>
    <w:semiHidden/>
    <w:rsid w:val="00B454A7"/>
    <w:rPr>
      <w:rFonts w:eastAsiaTheme="majorEastAsia" w:cstheme="majorBidi"/>
      <w:color w:val="0F4761" w:themeColor="accent1" w:themeShade="BF"/>
    </w:rPr>
  </w:style>
  <w:style w:type="character" w:customStyle="1" w:styleId="Titolo6Carattere">
    <w:name w:val="Titolo 6 Carattere"/>
    <w:basedOn w:val="Carpredefinitoparagrafo"/>
    <w:uiPriority w:val="9"/>
    <w:semiHidden/>
    <w:rsid w:val="00B454A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454A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454A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454A7"/>
    <w:rPr>
      <w:rFonts w:eastAsiaTheme="majorEastAsia" w:cstheme="majorBidi"/>
      <w:color w:val="272727" w:themeColor="text1" w:themeTint="D8"/>
    </w:rPr>
  </w:style>
  <w:style w:type="character" w:customStyle="1" w:styleId="TitoloCarattere">
    <w:name w:val="Titolo Carattere"/>
    <w:basedOn w:val="Carpredefinitoparagrafo"/>
    <w:uiPriority w:val="10"/>
    <w:rsid w:val="00B454A7"/>
    <w:rPr>
      <w:rFonts w:asciiTheme="majorHAnsi" w:eastAsiaTheme="majorEastAsia" w:hAnsiTheme="majorHAnsi" w:cstheme="majorBidi"/>
      <w:spacing w:val="-10"/>
      <w:kern w:val="28"/>
      <w:sz w:val="56"/>
      <w:szCs w:val="56"/>
    </w:rPr>
  </w:style>
  <w:style w:type="character" w:customStyle="1" w:styleId="SottotitoloCarattere">
    <w:name w:val="Sottotitolo Carattere"/>
    <w:basedOn w:val="Carpredefinitoparagrafo"/>
    <w:uiPriority w:val="11"/>
    <w:rsid w:val="00B454A7"/>
    <w:rPr>
      <w:rFonts w:eastAsiaTheme="majorEastAsia" w:cstheme="majorBidi"/>
      <w:color w:val="595959" w:themeColor="text1" w:themeTint="A6"/>
      <w:spacing w:val="15"/>
      <w:sz w:val="28"/>
      <w:szCs w:val="28"/>
    </w:rPr>
  </w:style>
  <w:style w:type="paragraph" w:styleId="Citazione">
    <w:name w:val="Quote"/>
    <w:link w:val="CitazioneCarattere"/>
    <w:uiPriority w:val="29"/>
    <w:qFormat/>
    <w:rsid w:val="00B454A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454A7"/>
    <w:rPr>
      <w:i/>
      <w:iCs/>
      <w:color w:val="404040" w:themeColor="text1" w:themeTint="BF"/>
    </w:rPr>
  </w:style>
  <w:style w:type="paragraph" w:styleId="Paragrafoelenco">
    <w:name w:val="List Paragraph"/>
    <w:uiPriority w:val="34"/>
    <w:qFormat/>
    <w:rsid w:val="00B454A7"/>
    <w:pPr>
      <w:ind w:left="720"/>
      <w:contextualSpacing/>
    </w:pPr>
  </w:style>
  <w:style w:type="character" w:styleId="Enfasiintensa">
    <w:name w:val="Intense Emphasis"/>
    <w:basedOn w:val="Carpredefinitoparagrafo"/>
    <w:uiPriority w:val="21"/>
    <w:qFormat/>
    <w:rsid w:val="00B454A7"/>
    <w:rPr>
      <w:i/>
      <w:iCs/>
      <w:color w:val="0F4761" w:themeColor="accent1" w:themeShade="BF"/>
    </w:rPr>
  </w:style>
  <w:style w:type="paragraph" w:styleId="Citazioneintensa">
    <w:name w:val="Intense Quote"/>
    <w:link w:val="CitazioneintensaCarattere"/>
    <w:uiPriority w:val="30"/>
    <w:qFormat/>
    <w:rsid w:val="00B45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454A7"/>
    <w:rPr>
      <w:i/>
      <w:iCs/>
      <w:color w:val="0F4761" w:themeColor="accent1" w:themeShade="BF"/>
    </w:rPr>
  </w:style>
  <w:style w:type="character" w:styleId="Riferimentointenso">
    <w:name w:val="Intense Reference"/>
    <w:basedOn w:val="Carpredefinitoparagrafo"/>
    <w:uiPriority w:val="32"/>
    <w:qFormat/>
    <w:rsid w:val="00B454A7"/>
    <w:rPr>
      <w:b/>
      <w:bCs/>
      <w:smallCaps/>
      <w:color w:val="0F4761" w:themeColor="accent1" w:themeShade="BF"/>
      <w:spacing w:val="5"/>
    </w:rPr>
  </w:style>
  <w:style w:type="character" w:styleId="Rimandocommento">
    <w:name w:val="annotation reference"/>
    <w:basedOn w:val="Carpredefinitoparagrafo"/>
    <w:uiPriority w:val="99"/>
    <w:semiHidden/>
    <w:unhideWhenUsed/>
    <w:rsid w:val="00EC1048"/>
    <w:rPr>
      <w:sz w:val="16"/>
      <w:szCs w:val="16"/>
    </w:rPr>
  </w:style>
  <w:style w:type="table" w:styleId="Grigliatabella">
    <w:name w:val="Table Grid"/>
    <w:basedOn w:val="Tabellanormale"/>
    <w:uiPriority w:val="39"/>
    <w:rsid w:val="00FB71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stocommento">
    <w:name w:val="annotation text"/>
    <w:link w:val="TestocommentoCarattere"/>
    <w:uiPriority w:val="99"/>
    <w:semiHidden/>
    <w:unhideWhenUsed/>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Pr>
      <w:rFonts w:ascii="Aptos" w:eastAsia="Aptos" w:hAnsi="Aptos" w:cs="Aptos"/>
      <w:kern w:val="0"/>
      <w:sz w:val="20"/>
      <w:szCs w:val="20"/>
      <w:lang w:val="it" w:eastAsia="it-IT"/>
    </w:rPr>
  </w:style>
  <w:style w:type="table" w:customStyle="1" w:styleId="a">
    <w:basedOn w:val="TableNormal4"/>
    <w:pPr>
      <w:spacing w:after="0" w:line="240" w:lineRule="auto"/>
    </w:pPr>
    <w:tblPr>
      <w:tblStyleRowBandSize w:val="1"/>
      <w:tblStyleColBandSize w:val="1"/>
      <w:tblCellMar>
        <w:top w:w="0" w:type="dxa"/>
        <w:left w:w="108" w:type="dxa"/>
        <w:bottom w:w="0" w:type="dxa"/>
        <w:right w:w="108" w:type="dxa"/>
      </w:tblCellMar>
    </w:tblPr>
  </w:style>
  <w:style w:type="paragraph" w:styleId="Puntoelenco">
    <w:name w:val="List Bullet"/>
    <w:uiPriority w:val="99"/>
    <w:unhideWhenUsed/>
    <w:rsid w:val="00D67064"/>
    <w:pPr>
      <w:numPr>
        <w:numId w:val="4"/>
      </w:numPr>
      <w:spacing w:after="200" w:line="276" w:lineRule="auto"/>
      <w:ind w:left="0" w:firstLine="0"/>
      <w:contextualSpacing/>
    </w:pPr>
    <w:rPr>
      <w:rFonts w:eastAsiaTheme="minorEastAsia"/>
      <w:sz w:val="22"/>
      <w:szCs w:val="22"/>
      <w:lang w:val="en-US"/>
    </w:rPr>
  </w:style>
  <w:style w:type="table" w:customStyle="1" w:styleId="a0">
    <w:basedOn w:val="TableNormal4"/>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4"/>
    <w:tblPr>
      <w:tblStyleRowBandSize w:val="1"/>
      <w:tblStyleColBandSize w:val="1"/>
    </w:tblPr>
  </w:style>
  <w:style w:type="table" w:customStyle="1" w:styleId="a2">
    <w:basedOn w:val="TableNormal3"/>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3"/>
    <w:tblPr>
      <w:tblStyleRowBandSize w:val="1"/>
      <w:tblStyleColBandSize w:val="1"/>
    </w:tblPr>
  </w:style>
  <w:style w:type="table" w:customStyle="1" w:styleId="a4">
    <w:basedOn w:val="TableNormal2"/>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Pr>
  </w:style>
  <w:style w:type="table" w:customStyle="1" w:styleId="ac">
    <w:basedOn w:val="TableNormal1"/>
    <w:tblPr>
      <w:tblStyleRowBandSize w:val="1"/>
      <w:tblStyleColBandSize w:val="1"/>
    </w:tblPr>
  </w:style>
  <w:style w:type="paragraph" w:styleId="Sottotitolo">
    <w:name w:val="Subtitle"/>
    <w:basedOn w:val="Normale"/>
    <w:next w:val="Normale"/>
    <w:uiPriority w:val="11"/>
    <w:qFormat/>
    <w:rPr>
      <w:color w:val="595959"/>
      <w:sz w:val="28"/>
      <w:szCs w:val="28"/>
    </w:r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SA0g6iWBADSmcrPzrsqWuUmYfg==">CgMxLjAaJQoBMBIgCh4IB0IaCg9UaW1lcyBOZXcgUm9tYW4SB0d1bmdzdWgaJQoBMRIgCh4IB0IaCg9UaW1lcyBOZXcgUm9tYW4SB0d1bmdzdWgaJQoBMhIgCh4IB0IaCg9UaW1lcyBOZXcgUm9tYW4SB0d1bmdzdWgyDmgucWx0bGIxOWhrYXYwOAByITExN2JacnFzTVlPVFd2a2F0NXZpcjlZWHJObk9XUk1LUA==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2046</Words>
  <Characters>11667</Characters>
  <Application>Microsoft Office Word</Application>
  <DocSecurity>0</DocSecurity>
  <Lines>97</Lines>
  <Paragraphs>27</Paragraphs>
  <ScaleCrop>false</ScaleCrop>
  <Company/>
  <LinksUpToDate>false</LinksUpToDate>
  <CharactersWithSpaces>13686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CARRUS Silvia</dc:creator>
  <cp:lastModifiedBy>Michela Bayslak</cp:lastModifiedBy>
  <cp:revision>3</cp:revision>
  <dcterms:created xsi:type="dcterms:W3CDTF">2026-03-30T06:15:00Z</dcterms:created>
  <dcterms:modified xsi:type="dcterms:W3CDTF">2026-03-30T09:20:00Z</dcterms:modified>
</cp:coreProperties>
</file>