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C6F54" w14:textId="77777777" w:rsidR="004731D7" w:rsidRDefault="004731D7" w:rsidP="004731D7">
      <w:pPr>
        <w:spacing w:after="280" w:line="240" w:lineRule="auto"/>
        <w:jc w:val="both"/>
        <w:rPr>
          <w:rFonts w:ascii="Times New Roman" w:eastAsia="Times New Roman" w:hAnsi="Times New Roman" w:cs="Times New Roman"/>
          <w:b/>
          <w:bCs/>
        </w:rPr>
      </w:pPr>
      <w:r>
        <w:rPr>
          <w:rFonts w:ascii="Times New Roman" w:eastAsia="Times New Roman" w:hAnsi="Times New Roman" w:cs="Times New Roman"/>
          <w:b/>
          <w:bCs/>
        </w:rPr>
        <w:t>1. Metodologia di analisi della spesa turistica e delle motivazioni di viaggio dei turisti in Sardegna</w:t>
      </w:r>
    </w:p>
    <w:p w14:paraId="3677A622" w14:textId="77777777" w:rsidR="004731D7" w:rsidRDefault="004731D7" w:rsidP="004731D7">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rPr>
        <w:t>La metodologia illustrata nel presente lavoro è finalizzata ad analizzare le dinamiche della spesa turistica e le motivazioni di viaggio dei visitatori della Sardegna, con particolare riferimento ai turisti pernottanti, sia italiani sia stranieri. L’obiettivo conoscitivo è duplice: da un lato, comprendere i comportamenti di consumo dei turisti e i fattori che influenzano la scelta della destinazione; dall’altro, stimare, in termini indicativi, la spesa turistica generata dai diversi segmenti di domanda.</w:t>
      </w:r>
    </w:p>
    <w:p w14:paraId="272D3E2B" w14:textId="77777777" w:rsidR="004731D7" w:rsidRDefault="004731D7" w:rsidP="004731D7">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rPr>
        <w:t xml:space="preserve">La metodologia si concentra pertanto sull’analisi dei comportamenti di consumo osservati nel campione, piuttosto che sulla stima della spesa totale regionale. La stima riguarda tre principali componenti della domanda turistica: il </w:t>
      </w:r>
      <w:r w:rsidRPr="004A0BE1">
        <w:rPr>
          <w:rFonts w:ascii="Times New Roman" w:eastAsia="Times New Roman" w:hAnsi="Times New Roman" w:cs="Times New Roman"/>
          <w:b/>
        </w:rPr>
        <w:t>turismo in entrata</w:t>
      </w:r>
      <w:r>
        <w:rPr>
          <w:rFonts w:ascii="Times New Roman" w:eastAsia="Times New Roman" w:hAnsi="Times New Roman" w:cs="Times New Roman"/>
        </w:rPr>
        <w:t xml:space="preserve">, costituito dai visitatori stranieri e dagli italiani non residenti in Sardegna; il </w:t>
      </w:r>
      <w:r w:rsidRPr="004A0BE1">
        <w:rPr>
          <w:rFonts w:ascii="Times New Roman" w:eastAsia="Times New Roman" w:hAnsi="Times New Roman" w:cs="Times New Roman"/>
          <w:b/>
        </w:rPr>
        <w:t>turismo domestico</w:t>
      </w:r>
      <w:r>
        <w:rPr>
          <w:rFonts w:ascii="Times New Roman" w:eastAsia="Times New Roman" w:hAnsi="Times New Roman" w:cs="Times New Roman"/>
        </w:rPr>
        <w:t xml:space="preserve">, rappresentato dai viaggiatori italiani residenti in Sardegna che effettuano viaggi all’interno dell’isola; e il </w:t>
      </w:r>
      <w:r w:rsidRPr="004A0BE1">
        <w:rPr>
          <w:rFonts w:ascii="Times New Roman" w:eastAsia="Times New Roman" w:hAnsi="Times New Roman" w:cs="Times New Roman"/>
          <w:b/>
        </w:rPr>
        <w:t>turismo interno</w:t>
      </w:r>
      <w:r>
        <w:rPr>
          <w:rFonts w:ascii="Times New Roman" w:eastAsia="Times New Roman" w:hAnsi="Times New Roman" w:cs="Times New Roman"/>
        </w:rPr>
        <w:t xml:space="preserve">, che comprende complessivamente tutti i flussi turistici presenti nel territorio regionale, indipendentemente dalla residenza dei visitatori. </w:t>
      </w:r>
    </w:p>
    <w:p w14:paraId="0DB6CCF8" w14:textId="77777777" w:rsidR="004731D7" w:rsidRDefault="004731D7" w:rsidP="004731D7">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rPr>
        <w:t>Gli escursionisti giornalieri e i crocieristi sono inclusi nell’indagine esclusivamente come categorie descrittive; la stima della spesa turistica si riferisce unicamente ai turisti pernottanti.</w:t>
      </w:r>
      <w:r>
        <w:rPr>
          <w:rFonts w:ascii="Times New Roman" w:eastAsia="Times New Roman" w:hAnsi="Times New Roman" w:cs="Times New Roman"/>
        </w:rPr>
        <w:br/>
      </w:r>
      <w:r w:rsidRPr="004A0BE1">
        <w:rPr>
          <w:rFonts w:ascii="Times New Roman" w:eastAsia="Times New Roman" w:hAnsi="Times New Roman" w:cs="Times New Roman"/>
          <w:u w:val="single"/>
        </w:rPr>
        <w:t>Il campione non ha natura probabilistica e, pertanto, i risultati devono essere interpretati come indicativi delle tendenze comportamentali osservate, piuttosto che come stime statisticamente rappresentative della popolazione complessiva dei turisti</w:t>
      </w:r>
      <w:r>
        <w:rPr>
          <w:rFonts w:ascii="Times New Roman" w:eastAsia="Times New Roman" w:hAnsi="Times New Roman" w:cs="Times New Roman"/>
        </w:rPr>
        <w:t>.</w:t>
      </w:r>
    </w:p>
    <w:p w14:paraId="38E1F54D" w14:textId="77777777" w:rsidR="004731D7" w:rsidRDefault="004731D7" w:rsidP="004731D7">
      <w:pPr>
        <w:spacing w:before="280" w:after="280" w:line="240" w:lineRule="auto"/>
        <w:jc w:val="both"/>
        <w:rPr>
          <w:rFonts w:ascii="Times New Roman" w:eastAsia="Times New Roman" w:hAnsi="Times New Roman" w:cs="Times New Roman"/>
          <w:b/>
          <w:bCs/>
        </w:rPr>
      </w:pPr>
      <w:r>
        <w:rPr>
          <w:rFonts w:ascii="Times New Roman" w:eastAsia="Times New Roman" w:hAnsi="Times New Roman" w:cs="Times New Roman"/>
          <w:b/>
          <w:bCs/>
        </w:rPr>
        <w:t>1.1 Normativa e fonti statistiche di riferimento</w:t>
      </w:r>
    </w:p>
    <w:p w14:paraId="4F8C4F15" w14:textId="77777777" w:rsidR="004731D7" w:rsidRDefault="004731D7" w:rsidP="004731D7">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rPr>
        <w:t xml:space="preserve">La definizione della metodologia tiene conto delle principali fonti di statistica ufficiale disponibili in Italia in materia di analisi della spesa turistica. </w:t>
      </w:r>
    </w:p>
    <w:p w14:paraId="54C2B6BD" w14:textId="77777777" w:rsidR="004731D7" w:rsidRDefault="004731D7" w:rsidP="004731D7">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rPr>
        <w:t xml:space="preserve">Nell’ambito del sistema delle statistiche ufficiali, l’indagine condotta da ISTAT sulle </w:t>
      </w:r>
      <w:r>
        <w:rPr>
          <w:rFonts w:ascii="Times New Roman" w:eastAsia="Times New Roman" w:hAnsi="Times New Roman" w:cs="Times New Roman"/>
          <w:b/>
          <w:bCs/>
        </w:rPr>
        <w:t>spese delle famiglie italiane</w:t>
      </w:r>
      <w:r>
        <w:rPr>
          <w:rFonts w:ascii="Times New Roman" w:eastAsia="Times New Roman" w:hAnsi="Times New Roman" w:cs="Times New Roman"/>
        </w:rPr>
        <w:t xml:space="preserve"> include uno specifico focus dedicato a “Viaggi e vacanze”, attraverso il quale vengono rilevati il numero e le caratteristiche dei viaggi effettuati per motivi di vacanza o di lavoro, sia in Italia sia all’estero. L’indagine raccoglie inoltre informazioni sui motivi della mancata partecipazione ai viaggi, sulle escursioni giornaliere e sulla spesa sostenuta dalle famiglie per attività turistiche. Il dato relativo alla spesa turistica riguarda pertanto i residenti italiani che hanno effettuato viaggi, sia nel territorio nazionale sia all’estero. Tuttavia, tali informazioni non sono generalmente disponibili con un livello di dettaglio territoriale disaggregato a scala regionale, provinciale o comunale.</w:t>
      </w:r>
    </w:p>
    <w:p w14:paraId="4CE94FE5" w14:textId="77777777" w:rsidR="004731D7" w:rsidRDefault="004731D7" w:rsidP="004731D7">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rPr>
        <w:t>Un ulteriore riferimento è rappresentato dall’</w:t>
      </w:r>
      <w:r>
        <w:rPr>
          <w:rFonts w:ascii="Times New Roman" w:eastAsia="Times New Roman" w:hAnsi="Times New Roman" w:cs="Times New Roman"/>
          <w:b/>
          <w:bCs/>
        </w:rPr>
        <w:t>Indagine alle frontiere sul turismo internazionale dell’Italia</w:t>
      </w:r>
      <w:r>
        <w:rPr>
          <w:rFonts w:ascii="Times New Roman" w:eastAsia="Times New Roman" w:hAnsi="Times New Roman" w:cs="Times New Roman"/>
        </w:rPr>
        <w:t>, realizzata da Banca d’Italia. Si tratta di un’indagine campionaria annuale che prevede interviste ai viaggiatori internazionali presso i principali valichi di frontiera del Paese. In particolare, vengono intervistati sia i residenti italiani che rientrano in Italia dopo un viaggio all’estero, sia i visitatori stranieri che lasciano il Paese al termine del loro soggiorno. L’indagine consente di raccogliere informazioni dettagliate sulle spese sostenute e sulle caratteristiche del viaggio e dei viaggiatori (motivazioni del viaggio, tipologia di alloggio, durata del soggiorno, modalità di trasporto, ecc.). Anche in questo caso, tuttavia, i dati disponibili non consentono generalmente una stima diretta della spesa turistica a livello territoriale sub-nazionale.</w:t>
      </w:r>
    </w:p>
    <w:p w14:paraId="2DAAD8DD" w14:textId="77777777" w:rsidR="004731D7" w:rsidRDefault="004731D7" w:rsidP="004731D7">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rPr>
        <w:t xml:space="preserve">Per questo motivo, al fine di stimare la spesa turistica giornaliera pro capite a livello regionale — e, ove possibile, provinciale e comunale — risulta necessario ricorrere alla raccolta di dati primari attraverso indagini dirette sul campo. A tal fine viene adottata una metodologia di rilevazione basata </w:t>
      </w:r>
      <w:r>
        <w:rPr>
          <w:rFonts w:ascii="Times New Roman" w:eastAsia="Times New Roman" w:hAnsi="Times New Roman" w:cs="Times New Roman"/>
        </w:rPr>
        <w:lastRenderedPageBreak/>
        <w:t>sulla somministrazione di questionari e su un disegno di indagine in grado di coprire sia il turismo domestico generato dai residenti sardi sia il turismo in entrata costituito dai visitatori italiani non residenti e dai turisti stranieri.</w:t>
      </w:r>
    </w:p>
    <w:p w14:paraId="0E4E5381" w14:textId="77777777" w:rsidR="004731D7" w:rsidRDefault="004731D7" w:rsidP="004731D7">
      <w:pPr>
        <w:spacing w:before="280" w:after="280" w:line="240" w:lineRule="auto"/>
        <w:jc w:val="both"/>
        <w:rPr>
          <w:rFonts w:ascii="Times New Roman" w:eastAsia="Times New Roman" w:hAnsi="Times New Roman" w:cs="Times New Roman"/>
          <w:b/>
          <w:bCs/>
        </w:rPr>
      </w:pPr>
      <w:r>
        <w:rPr>
          <w:rFonts w:ascii="Times New Roman" w:eastAsia="Times New Roman" w:hAnsi="Times New Roman" w:cs="Times New Roman"/>
          <w:b/>
          <w:bCs/>
        </w:rPr>
        <w:t>1.2 Disegno dell’indagine e strumento di rilevazione</w:t>
      </w:r>
    </w:p>
    <w:p w14:paraId="6DE63EB2" w14:textId="77777777" w:rsidR="004731D7" w:rsidRDefault="004731D7" w:rsidP="004731D7">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rPr>
        <w:t xml:space="preserve">L’indagine è realizzata attraverso interviste dirette e si articola in due campagne di rilevazione distinte (Rilevazione A e Rilevazione B), basate sulla somministrazione di due questionari differenti. Il </w:t>
      </w:r>
      <w:r>
        <w:rPr>
          <w:rFonts w:ascii="Times New Roman" w:eastAsia="Times New Roman" w:hAnsi="Times New Roman" w:cs="Times New Roman"/>
          <w:b/>
          <w:bCs/>
        </w:rPr>
        <w:t>Questionario A</w:t>
      </w:r>
      <w:r>
        <w:rPr>
          <w:rFonts w:ascii="Times New Roman" w:eastAsia="Times New Roman" w:hAnsi="Times New Roman" w:cs="Times New Roman"/>
        </w:rPr>
        <w:t xml:space="preserve"> è finalizzato a rilevare le motivazioni di viaggio e la spesa turistica dei visitatori al termine della vacanza in Sardegna. Il </w:t>
      </w:r>
      <w:r>
        <w:rPr>
          <w:rFonts w:ascii="Times New Roman" w:eastAsia="Times New Roman" w:hAnsi="Times New Roman" w:cs="Times New Roman"/>
          <w:b/>
          <w:bCs/>
        </w:rPr>
        <w:t>Questionario B</w:t>
      </w:r>
      <w:r>
        <w:rPr>
          <w:rFonts w:ascii="Times New Roman" w:eastAsia="Times New Roman" w:hAnsi="Times New Roman" w:cs="Times New Roman"/>
        </w:rPr>
        <w:t xml:space="preserve"> è invece rivolto ai residenti in Sardegna e ha l’obiettivo di rilevare la partecipazione al turismo nell’anno solare di riferimento dell’indagine, sia all’interno dell’isola sia verso altre destinazioni, nonché le eventuali ragioni della mancata partenza.</w:t>
      </w:r>
    </w:p>
    <w:p w14:paraId="350033C4" w14:textId="77777777" w:rsidR="004731D7" w:rsidRDefault="004731D7" w:rsidP="004731D7">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rPr>
        <w:t>I due strumenti di rilevazione condividono un nucleo centrale di quesiti a risposta chiusa e aperta (tabella 1) e sono progettati per essere somministrati a destinatari differenti e in momenti diversi.</w:t>
      </w:r>
    </w:p>
    <w:tbl>
      <w:tblPr>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82"/>
        <w:gridCol w:w="1984"/>
        <w:gridCol w:w="2262"/>
      </w:tblGrid>
      <w:tr w:rsidR="004731D7" w14:paraId="678B9092" w14:textId="77777777" w:rsidTr="00811E61">
        <w:tc>
          <w:tcPr>
            <w:tcW w:w="5382" w:type="dxa"/>
          </w:tcPr>
          <w:p w14:paraId="63CEBED7" w14:textId="77777777" w:rsidR="004731D7" w:rsidRDefault="004731D7" w:rsidP="00811E61">
            <w:pPr>
              <w:jc w:val="both"/>
              <w:rPr>
                <w:rFonts w:ascii="Times New Roman" w:eastAsia="Times New Roman" w:hAnsi="Times New Roman" w:cs="Times New Roman"/>
                <w:sz w:val="26"/>
                <w:szCs w:val="26"/>
              </w:rPr>
            </w:pPr>
          </w:p>
        </w:tc>
        <w:tc>
          <w:tcPr>
            <w:tcW w:w="1984" w:type="dxa"/>
          </w:tcPr>
          <w:p w14:paraId="0D7C39BE" w14:textId="77777777" w:rsidR="004731D7" w:rsidRDefault="004731D7" w:rsidP="00811E6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Questionario A</w:t>
            </w:r>
          </w:p>
        </w:tc>
        <w:tc>
          <w:tcPr>
            <w:tcW w:w="2262" w:type="dxa"/>
          </w:tcPr>
          <w:p w14:paraId="71BFD642" w14:textId="77777777" w:rsidR="004731D7" w:rsidRDefault="004731D7" w:rsidP="00811E6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Questionario B</w:t>
            </w:r>
          </w:p>
        </w:tc>
      </w:tr>
      <w:tr w:rsidR="004731D7" w14:paraId="6EB44447" w14:textId="77777777" w:rsidTr="00811E61">
        <w:tc>
          <w:tcPr>
            <w:tcW w:w="5382" w:type="dxa"/>
            <w:shd w:val="clear" w:color="auto" w:fill="D9D9D9"/>
          </w:tcPr>
          <w:p w14:paraId="70360EC6" w14:textId="77777777" w:rsidR="004731D7" w:rsidRDefault="004731D7" w:rsidP="00811E61">
            <w:pPr>
              <w:jc w:val="both"/>
              <w:rPr>
                <w:rFonts w:ascii="Times New Roman" w:eastAsia="Times New Roman" w:hAnsi="Times New Roman" w:cs="Times New Roman"/>
              </w:rPr>
            </w:pPr>
            <w:r>
              <w:rPr>
                <w:rFonts w:ascii="Times New Roman" w:eastAsia="Times New Roman" w:hAnsi="Times New Roman" w:cs="Times New Roman"/>
              </w:rPr>
              <w:t xml:space="preserve">Fascia di età </w:t>
            </w:r>
          </w:p>
        </w:tc>
        <w:tc>
          <w:tcPr>
            <w:tcW w:w="1984" w:type="dxa"/>
            <w:shd w:val="clear" w:color="auto" w:fill="D9D9D9"/>
          </w:tcPr>
          <w:p w14:paraId="64E1A4AF" w14:textId="77777777" w:rsidR="004731D7" w:rsidRDefault="004731D7" w:rsidP="00811E61">
            <w:pPr>
              <w:jc w:val="both"/>
              <w:rPr>
                <w:rFonts w:ascii="Times New Roman" w:eastAsia="Times New Roman" w:hAnsi="Times New Roman" w:cs="Times New Roman"/>
              </w:rPr>
            </w:pPr>
            <w:r>
              <w:rPr>
                <w:rFonts w:ascii="Times New Roman" w:eastAsia="Times New Roman" w:hAnsi="Times New Roman" w:cs="Times New Roman"/>
              </w:rPr>
              <w:t>Sì (chiusa)</w:t>
            </w:r>
          </w:p>
        </w:tc>
        <w:tc>
          <w:tcPr>
            <w:tcW w:w="2262" w:type="dxa"/>
            <w:shd w:val="clear" w:color="auto" w:fill="D9D9D9"/>
          </w:tcPr>
          <w:p w14:paraId="3F77B700" w14:textId="77777777" w:rsidR="004731D7" w:rsidRDefault="004731D7" w:rsidP="00811E61">
            <w:pPr>
              <w:jc w:val="both"/>
              <w:rPr>
                <w:rFonts w:ascii="Times New Roman" w:eastAsia="Times New Roman" w:hAnsi="Times New Roman" w:cs="Times New Roman"/>
              </w:rPr>
            </w:pPr>
            <w:r>
              <w:rPr>
                <w:rFonts w:ascii="Times New Roman" w:eastAsia="Times New Roman" w:hAnsi="Times New Roman" w:cs="Times New Roman"/>
              </w:rPr>
              <w:t>Sì (chiusa)</w:t>
            </w:r>
          </w:p>
        </w:tc>
      </w:tr>
      <w:tr w:rsidR="004731D7" w14:paraId="737C9091" w14:textId="77777777" w:rsidTr="00811E61">
        <w:tc>
          <w:tcPr>
            <w:tcW w:w="5382" w:type="dxa"/>
            <w:shd w:val="clear" w:color="auto" w:fill="D9D9D9"/>
          </w:tcPr>
          <w:p w14:paraId="14AC4A5C" w14:textId="77777777" w:rsidR="004731D7" w:rsidRDefault="004731D7" w:rsidP="00811E61">
            <w:pPr>
              <w:jc w:val="both"/>
              <w:rPr>
                <w:rFonts w:ascii="Times New Roman" w:eastAsia="Times New Roman" w:hAnsi="Times New Roman" w:cs="Times New Roman"/>
              </w:rPr>
            </w:pPr>
            <w:r>
              <w:rPr>
                <w:rFonts w:ascii="Times New Roman" w:eastAsia="Times New Roman" w:hAnsi="Times New Roman" w:cs="Times New Roman"/>
              </w:rPr>
              <w:t>Profilo (coppia; famiglia; singolo; gruppo)</w:t>
            </w:r>
          </w:p>
        </w:tc>
        <w:tc>
          <w:tcPr>
            <w:tcW w:w="1984" w:type="dxa"/>
            <w:shd w:val="clear" w:color="auto" w:fill="D9D9D9"/>
          </w:tcPr>
          <w:p w14:paraId="30AD7AEC" w14:textId="77777777" w:rsidR="004731D7" w:rsidRDefault="004731D7" w:rsidP="00811E61">
            <w:pPr>
              <w:jc w:val="both"/>
              <w:rPr>
                <w:rFonts w:ascii="Times New Roman" w:eastAsia="Times New Roman" w:hAnsi="Times New Roman" w:cs="Times New Roman"/>
              </w:rPr>
            </w:pPr>
            <w:r>
              <w:rPr>
                <w:rFonts w:ascii="Times New Roman" w:eastAsia="Times New Roman" w:hAnsi="Times New Roman" w:cs="Times New Roman"/>
              </w:rPr>
              <w:t>Sì (chiusa)</w:t>
            </w:r>
          </w:p>
        </w:tc>
        <w:tc>
          <w:tcPr>
            <w:tcW w:w="2262" w:type="dxa"/>
            <w:shd w:val="clear" w:color="auto" w:fill="D9D9D9"/>
          </w:tcPr>
          <w:p w14:paraId="0A517EDD" w14:textId="77777777" w:rsidR="004731D7" w:rsidRDefault="004731D7" w:rsidP="00811E61">
            <w:pPr>
              <w:jc w:val="both"/>
              <w:rPr>
                <w:rFonts w:ascii="Times New Roman" w:eastAsia="Times New Roman" w:hAnsi="Times New Roman" w:cs="Times New Roman"/>
              </w:rPr>
            </w:pPr>
            <w:r>
              <w:rPr>
                <w:rFonts w:ascii="Times New Roman" w:eastAsia="Times New Roman" w:hAnsi="Times New Roman" w:cs="Times New Roman"/>
              </w:rPr>
              <w:t>Sì (chiusa)</w:t>
            </w:r>
          </w:p>
        </w:tc>
      </w:tr>
      <w:tr w:rsidR="004731D7" w14:paraId="0C37BA42" w14:textId="77777777" w:rsidTr="00811E61">
        <w:tc>
          <w:tcPr>
            <w:tcW w:w="5382" w:type="dxa"/>
            <w:shd w:val="clear" w:color="auto" w:fill="D9D9D9"/>
          </w:tcPr>
          <w:p w14:paraId="0CC2F1EE" w14:textId="77777777" w:rsidR="004731D7" w:rsidRDefault="004731D7" w:rsidP="00811E61">
            <w:pPr>
              <w:jc w:val="both"/>
              <w:rPr>
                <w:rFonts w:ascii="Times New Roman" w:eastAsia="Times New Roman" w:hAnsi="Times New Roman" w:cs="Times New Roman"/>
              </w:rPr>
            </w:pPr>
            <w:r>
              <w:rPr>
                <w:rFonts w:ascii="Times New Roman" w:eastAsia="Times New Roman" w:hAnsi="Times New Roman" w:cs="Times New Roman"/>
              </w:rPr>
              <w:t>Provenienza</w:t>
            </w:r>
          </w:p>
        </w:tc>
        <w:tc>
          <w:tcPr>
            <w:tcW w:w="1984" w:type="dxa"/>
            <w:shd w:val="clear" w:color="auto" w:fill="D9D9D9"/>
          </w:tcPr>
          <w:p w14:paraId="2DC7F6A0" w14:textId="77777777" w:rsidR="004731D7" w:rsidRDefault="004731D7" w:rsidP="00811E61">
            <w:pPr>
              <w:jc w:val="both"/>
              <w:rPr>
                <w:rFonts w:ascii="Times New Roman" w:eastAsia="Times New Roman" w:hAnsi="Times New Roman" w:cs="Times New Roman"/>
              </w:rPr>
            </w:pPr>
            <w:r>
              <w:rPr>
                <w:rFonts w:ascii="Times New Roman" w:eastAsia="Times New Roman" w:hAnsi="Times New Roman" w:cs="Times New Roman"/>
              </w:rPr>
              <w:t>Sì (chiusa)</w:t>
            </w:r>
          </w:p>
        </w:tc>
        <w:tc>
          <w:tcPr>
            <w:tcW w:w="2262" w:type="dxa"/>
            <w:shd w:val="clear" w:color="auto" w:fill="D9D9D9"/>
          </w:tcPr>
          <w:p w14:paraId="6B4D36AF" w14:textId="77777777" w:rsidR="004731D7" w:rsidRDefault="004731D7" w:rsidP="00811E61">
            <w:pPr>
              <w:jc w:val="both"/>
              <w:rPr>
                <w:rFonts w:ascii="Times New Roman" w:eastAsia="Times New Roman" w:hAnsi="Times New Roman" w:cs="Times New Roman"/>
              </w:rPr>
            </w:pPr>
            <w:r>
              <w:rPr>
                <w:rFonts w:ascii="Times New Roman" w:eastAsia="Times New Roman" w:hAnsi="Times New Roman" w:cs="Times New Roman"/>
              </w:rPr>
              <w:t>Sì (chiusa)</w:t>
            </w:r>
          </w:p>
        </w:tc>
      </w:tr>
      <w:tr w:rsidR="004731D7" w14:paraId="65DD61FB" w14:textId="77777777" w:rsidTr="00811E61">
        <w:tc>
          <w:tcPr>
            <w:tcW w:w="5382" w:type="dxa"/>
          </w:tcPr>
          <w:p w14:paraId="50F131FE" w14:textId="77777777" w:rsidR="004731D7" w:rsidRDefault="004731D7" w:rsidP="00811E61">
            <w:pPr>
              <w:jc w:val="both"/>
              <w:rPr>
                <w:rFonts w:ascii="Times New Roman" w:eastAsia="Times New Roman" w:hAnsi="Times New Roman" w:cs="Times New Roman"/>
              </w:rPr>
            </w:pPr>
            <w:r>
              <w:rPr>
                <w:rFonts w:ascii="Times New Roman" w:eastAsia="Times New Roman" w:hAnsi="Times New Roman" w:cs="Times New Roman"/>
              </w:rPr>
              <w:t>Porto/aeroporto di arrivo in Sardegna</w:t>
            </w:r>
          </w:p>
        </w:tc>
        <w:tc>
          <w:tcPr>
            <w:tcW w:w="1984" w:type="dxa"/>
          </w:tcPr>
          <w:p w14:paraId="5017CA12" w14:textId="77777777" w:rsidR="004731D7" w:rsidRDefault="004731D7" w:rsidP="00811E61">
            <w:pPr>
              <w:jc w:val="both"/>
              <w:rPr>
                <w:rFonts w:ascii="Times New Roman" w:eastAsia="Times New Roman" w:hAnsi="Times New Roman" w:cs="Times New Roman"/>
              </w:rPr>
            </w:pPr>
            <w:r>
              <w:rPr>
                <w:rFonts w:ascii="Times New Roman" w:eastAsia="Times New Roman" w:hAnsi="Times New Roman" w:cs="Times New Roman"/>
              </w:rPr>
              <w:t>Sì (chiusa)</w:t>
            </w:r>
          </w:p>
        </w:tc>
        <w:tc>
          <w:tcPr>
            <w:tcW w:w="2262" w:type="dxa"/>
          </w:tcPr>
          <w:p w14:paraId="3BAFE47D" w14:textId="77777777" w:rsidR="004731D7" w:rsidRDefault="004731D7" w:rsidP="00811E61">
            <w:pPr>
              <w:jc w:val="both"/>
              <w:rPr>
                <w:rFonts w:ascii="Times New Roman" w:eastAsia="Times New Roman" w:hAnsi="Times New Roman" w:cs="Times New Roman"/>
              </w:rPr>
            </w:pPr>
          </w:p>
        </w:tc>
      </w:tr>
      <w:tr w:rsidR="004731D7" w14:paraId="247E6128" w14:textId="77777777" w:rsidTr="00811E61">
        <w:tc>
          <w:tcPr>
            <w:tcW w:w="5382" w:type="dxa"/>
          </w:tcPr>
          <w:p w14:paraId="7904BA77" w14:textId="77777777" w:rsidR="004731D7" w:rsidRDefault="004731D7" w:rsidP="00811E61">
            <w:pPr>
              <w:tabs>
                <w:tab w:val="left" w:pos="1665"/>
              </w:tabs>
              <w:jc w:val="both"/>
              <w:rPr>
                <w:rFonts w:ascii="Times New Roman" w:eastAsia="Times New Roman" w:hAnsi="Times New Roman" w:cs="Times New Roman"/>
              </w:rPr>
            </w:pPr>
            <w:r>
              <w:rPr>
                <w:rFonts w:ascii="Times New Roman" w:eastAsia="Times New Roman" w:hAnsi="Times New Roman" w:cs="Times New Roman"/>
              </w:rPr>
              <w:t>È stato in vacanza durante il 2025?</w:t>
            </w:r>
          </w:p>
        </w:tc>
        <w:tc>
          <w:tcPr>
            <w:tcW w:w="1984" w:type="dxa"/>
          </w:tcPr>
          <w:p w14:paraId="457250BB" w14:textId="77777777" w:rsidR="004731D7" w:rsidRDefault="004731D7" w:rsidP="00811E61">
            <w:pPr>
              <w:jc w:val="both"/>
              <w:rPr>
                <w:rFonts w:ascii="Times New Roman" w:eastAsia="Times New Roman" w:hAnsi="Times New Roman" w:cs="Times New Roman"/>
              </w:rPr>
            </w:pPr>
          </w:p>
        </w:tc>
        <w:tc>
          <w:tcPr>
            <w:tcW w:w="2262" w:type="dxa"/>
          </w:tcPr>
          <w:p w14:paraId="4D8FE62E" w14:textId="77777777" w:rsidR="004731D7" w:rsidRDefault="004731D7" w:rsidP="00811E61">
            <w:pPr>
              <w:jc w:val="both"/>
              <w:rPr>
                <w:rFonts w:ascii="Times New Roman" w:eastAsia="Times New Roman" w:hAnsi="Times New Roman" w:cs="Times New Roman"/>
              </w:rPr>
            </w:pPr>
            <w:r>
              <w:rPr>
                <w:rFonts w:ascii="Times New Roman" w:eastAsia="Times New Roman" w:hAnsi="Times New Roman" w:cs="Times New Roman"/>
              </w:rPr>
              <w:t>Sì (chiusa)</w:t>
            </w:r>
          </w:p>
        </w:tc>
      </w:tr>
      <w:tr w:rsidR="004731D7" w14:paraId="6B24E348" w14:textId="77777777" w:rsidTr="00811E61">
        <w:tc>
          <w:tcPr>
            <w:tcW w:w="5382" w:type="dxa"/>
          </w:tcPr>
          <w:p w14:paraId="1F620B55" w14:textId="77777777" w:rsidR="004731D7" w:rsidRDefault="004731D7" w:rsidP="00811E61">
            <w:pPr>
              <w:jc w:val="both"/>
              <w:rPr>
                <w:rFonts w:ascii="Times New Roman" w:eastAsia="Times New Roman" w:hAnsi="Times New Roman" w:cs="Times New Roman"/>
              </w:rPr>
            </w:pPr>
            <w:r>
              <w:rPr>
                <w:rFonts w:ascii="Times New Roman" w:eastAsia="Times New Roman" w:hAnsi="Times New Roman" w:cs="Times New Roman"/>
              </w:rPr>
              <w:t>Se no, perché? (10 possibili opzioni)</w:t>
            </w:r>
          </w:p>
        </w:tc>
        <w:tc>
          <w:tcPr>
            <w:tcW w:w="1984" w:type="dxa"/>
          </w:tcPr>
          <w:p w14:paraId="0F598084" w14:textId="77777777" w:rsidR="004731D7" w:rsidRDefault="004731D7" w:rsidP="00811E61">
            <w:pPr>
              <w:jc w:val="both"/>
              <w:rPr>
                <w:rFonts w:ascii="Times New Roman" w:eastAsia="Times New Roman" w:hAnsi="Times New Roman" w:cs="Times New Roman"/>
                <w:sz w:val="26"/>
                <w:szCs w:val="26"/>
              </w:rPr>
            </w:pPr>
          </w:p>
        </w:tc>
        <w:tc>
          <w:tcPr>
            <w:tcW w:w="2262" w:type="dxa"/>
          </w:tcPr>
          <w:p w14:paraId="77A40A1D" w14:textId="77777777" w:rsidR="004731D7" w:rsidRDefault="004731D7" w:rsidP="00811E61">
            <w:pPr>
              <w:jc w:val="both"/>
              <w:rPr>
                <w:rFonts w:ascii="Times New Roman" w:eastAsia="Times New Roman" w:hAnsi="Times New Roman" w:cs="Times New Roman"/>
                <w:sz w:val="26"/>
                <w:szCs w:val="26"/>
              </w:rPr>
            </w:pPr>
            <w:r>
              <w:rPr>
                <w:rFonts w:ascii="Times New Roman" w:eastAsia="Times New Roman" w:hAnsi="Times New Roman" w:cs="Times New Roman"/>
              </w:rPr>
              <w:t>Sì (chiusa)</w:t>
            </w:r>
          </w:p>
        </w:tc>
      </w:tr>
      <w:tr w:rsidR="004731D7" w14:paraId="42BED14D" w14:textId="77777777" w:rsidTr="00811E61">
        <w:tc>
          <w:tcPr>
            <w:tcW w:w="5382" w:type="dxa"/>
          </w:tcPr>
          <w:p w14:paraId="01303EF7" w14:textId="77777777" w:rsidR="004731D7" w:rsidRDefault="004731D7" w:rsidP="00811E61">
            <w:pPr>
              <w:jc w:val="both"/>
              <w:rPr>
                <w:rFonts w:ascii="Times New Roman" w:eastAsia="Times New Roman" w:hAnsi="Times New Roman" w:cs="Times New Roman"/>
                <w:sz w:val="26"/>
                <w:szCs w:val="26"/>
              </w:rPr>
            </w:pPr>
            <w:r>
              <w:rPr>
                <w:rFonts w:ascii="Times New Roman" w:eastAsia="Times New Roman" w:hAnsi="Times New Roman" w:cs="Times New Roman"/>
              </w:rPr>
              <w:t>Se sì, dove? (In Sardegna / In Italia / All’estero)</w:t>
            </w:r>
          </w:p>
        </w:tc>
        <w:tc>
          <w:tcPr>
            <w:tcW w:w="1984" w:type="dxa"/>
          </w:tcPr>
          <w:p w14:paraId="32EC3C4F" w14:textId="77777777" w:rsidR="004731D7" w:rsidRDefault="004731D7" w:rsidP="00811E61">
            <w:pPr>
              <w:jc w:val="both"/>
              <w:rPr>
                <w:rFonts w:ascii="Times New Roman" w:eastAsia="Times New Roman" w:hAnsi="Times New Roman" w:cs="Times New Roman"/>
                <w:sz w:val="26"/>
                <w:szCs w:val="26"/>
              </w:rPr>
            </w:pPr>
          </w:p>
        </w:tc>
        <w:tc>
          <w:tcPr>
            <w:tcW w:w="2262" w:type="dxa"/>
          </w:tcPr>
          <w:p w14:paraId="2BD26D7B" w14:textId="77777777" w:rsidR="004731D7" w:rsidRDefault="004731D7" w:rsidP="00811E61">
            <w:pPr>
              <w:jc w:val="both"/>
              <w:rPr>
                <w:rFonts w:ascii="Times New Roman" w:eastAsia="Times New Roman" w:hAnsi="Times New Roman" w:cs="Times New Roman"/>
                <w:sz w:val="26"/>
                <w:szCs w:val="26"/>
              </w:rPr>
            </w:pPr>
            <w:r>
              <w:rPr>
                <w:rFonts w:ascii="Times New Roman" w:eastAsia="Times New Roman" w:hAnsi="Times New Roman" w:cs="Times New Roman"/>
              </w:rPr>
              <w:t>Sì (chiusa)</w:t>
            </w:r>
          </w:p>
        </w:tc>
      </w:tr>
      <w:tr w:rsidR="004731D7" w14:paraId="1C7DFEC4" w14:textId="77777777" w:rsidTr="00811E61">
        <w:tc>
          <w:tcPr>
            <w:tcW w:w="5382" w:type="dxa"/>
          </w:tcPr>
          <w:p w14:paraId="2D704F5A" w14:textId="77777777" w:rsidR="004731D7" w:rsidRDefault="004731D7" w:rsidP="00811E61">
            <w:pPr>
              <w:jc w:val="both"/>
              <w:rPr>
                <w:rFonts w:ascii="Times New Roman" w:eastAsia="Times New Roman" w:hAnsi="Times New Roman" w:cs="Times New Roman"/>
                <w:sz w:val="26"/>
                <w:szCs w:val="26"/>
              </w:rPr>
            </w:pPr>
            <w:r>
              <w:rPr>
                <w:rFonts w:ascii="Times New Roman" w:eastAsia="Times New Roman" w:hAnsi="Times New Roman" w:cs="Times New Roman"/>
              </w:rPr>
              <w:t>Data fine vacanza</w:t>
            </w:r>
          </w:p>
        </w:tc>
        <w:tc>
          <w:tcPr>
            <w:tcW w:w="1984" w:type="dxa"/>
          </w:tcPr>
          <w:p w14:paraId="48A0FFB8" w14:textId="77777777" w:rsidR="004731D7" w:rsidRDefault="004731D7" w:rsidP="00811E61">
            <w:pPr>
              <w:jc w:val="both"/>
              <w:rPr>
                <w:rFonts w:ascii="Times New Roman" w:eastAsia="Times New Roman" w:hAnsi="Times New Roman" w:cs="Times New Roman"/>
                <w:sz w:val="26"/>
                <w:szCs w:val="26"/>
              </w:rPr>
            </w:pPr>
          </w:p>
        </w:tc>
        <w:tc>
          <w:tcPr>
            <w:tcW w:w="2262" w:type="dxa"/>
          </w:tcPr>
          <w:p w14:paraId="637F0F62" w14:textId="77777777" w:rsidR="004731D7" w:rsidRDefault="004731D7" w:rsidP="00811E61">
            <w:pPr>
              <w:jc w:val="both"/>
              <w:rPr>
                <w:rFonts w:ascii="Times New Roman" w:eastAsia="Times New Roman" w:hAnsi="Times New Roman" w:cs="Times New Roman"/>
                <w:sz w:val="26"/>
                <w:szCs w:val="26"/>
              </w:rPr>
            </w:pPr>
            <w:r>
              <w:rPr>
                <w:rFonts w:ascii="Times New Roman" w:eastAsia="Times New Roman" w:hAnsi="Times New Roman" w:cs="Times New Roman"/>
              </w:rPr>
              <w:t>Sì (chiusa)</w:t>
            </w:r>
          </w:p>
        </w:tc>
      </w:tr>
      <w:tr w:rsidR="004731D7" w14:paraId="3FDAF264" w14:textId="77777777" w:rsidTr="00811E61">
        <w:trPr>
          <w:trHeight w:val="268"/>
        </w:trPr>
        <w:tc>
          <w:tcPr>
            <w:tcW w:w="5382" w:type="dxa"/>
            <w:shd w:val="clear" w:color="auto" w:fill="D9D9D9"/>
          </w:tcPr>
          <w:p w14:paraId="28A368B7" w14:textId="77777777" w:rsidR="004731D7" w:rsidRDefault="004731D7" w:rsidP="00811E61">
            <w:pPr>
              <w:jc w:val="both"/>
              <w:rPr>
                <w:rFonts w:ascii="Times New Roman" w:eastAsia="Times New Roman" w:hAnsi="Times New Roman" w:cs="Times New Roman"/>
                <w:sz w:val="26"/>
                <w:szCs w:val="26"/>
              </w:rPr>
            </w:pPr>
            <w:r>
              <w:rPr>
                <w:rFonts w:ascii="Times New Roman" w:eastAsia="Times New Roman" w:hAnsi="Times New Roman" w:cs="Times New Roman"/>
              </w:rPr>
              <w:t>Durata del soggiorno (numero di notti)</w:t>
            </w:r>
          </w:p>
        </w:tc>
        <w:tc>
          <w:tcPr>
            <w:tcW w:w="1984" w:type="dxa"/>
            <w:shd w:val="clear" w:color="auto" w:fill="D9D9D9"/>
          </w:tcPr>
          <w:p w14:paraId="1FF50136" w14:textId="77777777" w:rsidR="004731D7" w:rsidRDefault="004731D7" w:rsidP="00811E61">
            <w:pPr>
              <w:jc w:val="both"/>
              <w:rPr>
                <w:rFonts w:ascii="Times New Roman" w:eastAsia="Times New Roman" w:hAnsi="Times New Roman" w:cs="Times New Roman"/>
                <w:sz w:val="26"/>
                <w:szCs w:val="26"/>
              </w:rPr>
            </w:pPr>
            <w:r>
              <w:rPr>
                <w:rFonts w:ascii="Times New Roman" w:eastAsia="Times New Roman" w:hAnsi="Times New Roman" w:cs="Times New Roman"/>
              </w:rPr>
              <w:t>Sì (chiusa)</w:t>
            </w:r>
          </w:p>
        </w:tc>
        <w:tc>
          <w:tcPr>
            <w:tcW w:w="2262" w:type="dxa"/>
            <w:shd w:val="clear" w:color="auto" w:fill="D9D9D9"/>
          </w:tcPr>
          <w:p w14:paraId="153C2819" w14:textId="77777777" w:rsidR="004731D7" w:rsidRDefault="004731D7" w:rsidP="00811E61">
            <w:pPr>
              <w:jc w:val="both"/>
              <w:rPr>
                <w:rFonts w:ascii="Times New Roman" w:eastAsia="Times New Roman" w:hAnsi="Times New Roman" w:cs="Times New Roman"/>
                <w:sz w:val="26"/>
                <w:szCs w:val="26"/>
              </w:rPr>
            </w:pPr>
            <w:r>
              <w:rPr>
                <w:rFonts w:ascii="Times New Roman" w:eastAsia="Times New Roman" w:hAnsi="Times New Roman" w:cs="Times New Roman"/>
              </w:rPr>
              <w:t>Sì (chiusa)</w:t>
            </w:r>
          </w:p>
        </w:tc>
      </w:tr>
      <w:tr w:rsidR="004731D7" w14:paraId="0BCEB34D" w14:textId="77777777" w:rsidTr="00811E61">
        <w:trPr>
          <w:trHeight w:val="268"/>
        </w:trPr>
        <w:tc>
          <w:tcPr>
            <w:tcW w:w="5382" w:type="dxa"/>
            <w:shd w:val="clear" w:color="auto" w:fill="D9D9D9"/>
          </w:tcPr>
          <w:p w14:paraId="4D91BFB8" w14:textId="77777777" w:rsidR="004731D7" w:rsidRDefault="004731D7" w:rsidP="00811E61">
            <w:pPr>
              <w:jc w:val="both"/>
              <w:rPr>
                <w:rFonts w:ascii="Times New Roman" w:eastAsia="Times New Roman" w:hAnsi="Times New Roman" w:cs="Times New Roman"/>
                <w:sz w:val="26"/>
                <w:szCs w:val="26"/>
              </w:rPr>
            </w:pPr>
            <w:r>
              <w:rPr>
                <w:rFonts w:ascii="Times New Roman" w:eastAsia="Times New Roman" w:hAnsi="Times New Roman" w:cs="Times New Roman"/>
              </w:rPr>
              <w:t>Numero componenti nucleo familiare o turistico</w:t>
            </w:r>
          </w:p>
        </w:tc>
        <w:tc>
          <w:tcPr>
            <w:tcW w:w="1984" w:type="dxa"/>
            <w:shd w:val="clear" w:color="auto" w:fill="D9D9D9"/>
          </w:tcPr>
          <w:p w14:paraId="6B74C411" w14:textId="77777777" w:rsidR="004731D7" w:rsidRDefault="004731D7" w:rsidP="00811E61">
            <w:pPr>
              <w:jc w:val="both"/>
              <w:rPr>
                <w:rFonts w:ascii="Times New Roman" w:eastAsia="Times New Roman" w:hAnsi="Times New Roman" w:cs="Times New Roman"/>
                <w:sz w:val="26"/>
                <w:szCs w:val="26"/>
              </w:rPr>
            </w:pPr>
            <w:r>
              <w:rPr>
                <w:rFonts w:ascii="Times New Roman" w:eastAsia="Times New Roman" w:hAnsi="Times New Roman" w:cs="Times New Roman"/>
              </w:rPr>
              <w:t>Sì (chiusa)</w:t>
            </w:r>
          </w:p>
        </w:tc>
        <w:tc>
          <w:tcPr>
            <w:tcW w:w="2262" w:type="dxa"/>
            <w:shd w:val="clear" w:color="auto" w:fill="D9D9D9"/>
          </w:tcPr>
          <w:p w14:paraId="7992B24A" w14:textId="77777777" w:rsidR="004731D7" w:rsidRDefault="004731D7" w:rsidP="00811E61">
            <w:pPr>
              <w:jc w:val="both"/>
              <w:rPr>
                <w:rFonts w:ascii="Times New Roman" w:eastAsia="Times New Roman" w:hAnsi="Times New Roman" w:cs="Times New Roman"/>
                <w:sz w:val="26"/>
                <w:szCs w:val="26"/>
              </w:rPr>
            </w:pPr>
            <w:r>
              <w:rPr>
                <w:rFonts w:ascii="Times New Roman" w:eastAsia="Times New Roman" w:hAnsi="Times New Roman" w:cs="Times New Roman"/>
              </w:rPr>
              <w:t>Sì (chiusa)</w:t>
            </w:r>
          </w:p>
        </w:tc>
      </w:tr>
      <w:tr w:rsidR="004731D7" w14:paraId="7141500A" w14:textId="77777777" w:rsidTr="00811E61">
        <w:trPr>
          <w:trHeight w:val="268"/>
        </w:trPr>
        <w:tc>
          <w:tcPr>
            <w:tcW w:w="5382" w:type="dxa"/>
            <w:shd w:val="clear" w:color="auto" w:fill="D9D9D9"/>
          </w:tcPr>
          <w:p w14:paraId="13C1528A" w14:textId="77777777" w:rsidR="004731D7" w:rsidRDefault="004731D7" w:rsidP="00811E61">
            <w:pPr>
              <w:jc w:val="both"/>
              <w:rPr>
                <w:rFonts w:ascii="Times New Roman" w:eastAsia="Times New Roman" w:hAnsi="Times New Roman" w:cs="Times New Roman"/>
                <w:sz w:val="26"/>
                <w:szCs w:val="26"/>
              </w:rPr>
            </w:pPr>
            <w:r>
              <w:rPr>
                <w:rFonts w:ascii="Times New Roman" w:eastAsia="Times New Roman" w:hAnsi="Times New Roman" w:cs="Times New Roman"/>
              </w:rPr>
              <w:t>Motivo del viaggio – motivo principale (13 opzioni)</w:t>
            </w:r>
          </w:p>
        </w:tc>
        <w:tc>
          <w:tcPr>
            <w:tcW w:w="1984" w:type="dxa"/>
            <w:shd w:val="clear" w:color="auto" w:fill="D9D9D9"/>
          </w:tcPr>
          <w:p w14:paraId="7A882922" w14:textId="77777777" w:rsidR="004731D7" w:rsidRDefault="004731D7" w:rsidP="00811E61">
            <w:pPr>
              <w:jc w:val="both"/>
              <w:rPr>
                <w:rFonts w:ascii="Times New Roman" w:eastAsia="Times New Roman" w:hAnsi="Times New Roman" w:cs="Times New Roman"/>
                <w:sz w:val="26"/>
                <w:szCs w:val="26"/>
              </w:rPr>
            </w:pPr>
            <w:r>
              <w:rPr>
                <w:rFonts w:ascii="Times New Roman" w:eastAsia="Times New Roman" w:hAnsi="Times New Roman" w:cs="Times New Roman"/>
              </w:rPr>
              <w:t>Sì (chiusa)</w:t>
            </w:r>
          </w:p>
        </w:tc>
        <w:tc>
          <w:tcPr>
            <w:tcW w:w="2262" w:type="dxa"/>
            <w:shd w:val="clear" w:color="auto" w:fill="D9D9D9"/>
          </w:tcPr>
          <w:p w14:paraId="549EF59C" w14:textId="77777777" w:rsidR="004731D7" w:rsidRDefault="004731D7" w:rsidP="00811E61">
            <w:pPr>
              <w:jc w:val="both"/>
              <w:rPr>
                <w:rFonts w:ascii="Times New Roman" w:eastAsia="Times New Roman" w:hAnsi="Times New Roman" w:cs="Times New Roman"/>
                <w:sz w:val="26"/>
                <w:szCs w:val="26"/>
              </w:rPr>
            </w:pPr>
            <w:r>
              <w:rPr>
                <w:rFonts w:ascii="Times New Roman" w:eastAsia="Times New Roman" w:hAnsi="Times New Roman" w:cs="Times New Roman"/>
              </w:rPr>
              <w:t>Sì (chiusa)</w:t>
            </w:r>
          </w:p>
        </w:tc>
      </w:tr>
      <w:tr w:rsidR="004731D7" w14:paraId="6790FC9F" w14:textId="77777777" w:rsidTr="00811E61">
        <w:trPr>
          <w:trHeight w:val="268"/>
        </w:trPr>
        <w:tc>
          <w:tcPr>
            <w:tcW w:w="5382" w:type="dxa"/>
            <w:shd w:val="clear" w:color="auto" w:fill="D9D9D9"/>
          </w:tcPr>
          <w:p w14:paraId="71A87ED3" w14:textId="77777777" w:rsidR="004731D7" w:rsidRDefault="004731D7" w:rsidP="00811E61">
            <w:pPr>
              <w:jc w:val="both"/>
              <w:rPr>
                <w:rFonts w:ascii="Times New Roman" w:eastAsia="Times New Roman" w:hAnsi="Times New Roman" w:cs="Times New Roman"/>
                <w:sz w:val="26"/>
                <w:szCs w:val="26"/>
              </w:rPr>
            </w:pPr>
            <w:r>
              <w:rPr>
                <w:rFonts w:ascii="Times New Roman" w:eastAsia="Times New Roman" w:hAnsi="Times New Roman" w:cs="Times New Roman"/>
              </w:rPr>
              <w:t>Motivo del viaggio – motivo secondario</w:t>
            </w:r>
          </w:p>
        </w:tc>
        <w:tc>
          <w:tcPr>
            <w:tcW w:w="1984" w:type="dxa"/>
            <w:shd w:val="clear" w:color="auto" w:fill="D9D9D9"/>
          </w:tcPr>
          <w:p w14:paraId="681653C5" w14:textId="77777777" w:rsidR="004731D7" w:rsidRDefault="004731D7" w:rsidP="00811E61">
            <w:pPr>
              <w:jc w:val="both"/>
              <w:rPr>
                <w:rFonts w:ascii="Times New Roman" w:eastAsia="Times New Roman" w:hAnsi="Times New Roman" w:cs="Times New Roman"/>
                <w:sz w:val="26"/>
                <w:szCs w:val="26"/>
              </w:rPr>
            </w:pPr>
            <w:r>
              <w:rPr>
                <w:rFonts w:ascii="Times New Roman" w:eastAsia="Times New Roman" w:hAnsi="Times New Roman" w:cs="Times New Roman"/>
              </w:rPr>
              <w:t>Sì (chiusa)</w:t>
            </w:r>
          </w:p>
        </w:tc>
        <w:tc>
          <w:tcPr>
            <w:tcW w:w="2262" w:type="dxa"/>
            <w:shd w:val="clear" w:color="auto" w:fill="D9D9D9"/>
          </w:tcPr>
          <w:p w14:paraId="3B9894CB" w14:textId="77777777" w:rsidR="004731D7" w:rsidRDefault="004731D7" w:rsidP="00811E61">
            <w:pPr>
              <w:jc w:val="both"/>
              <w:rPr>
                <w:rFonts w:ascii="Times New Roman" w:eastAsia="Times New Roman" w:hAnsi="Times New Roman" w:cs="Times New Roman"/>
                <w:sz w:val="26"/>
                <w:szCs w:val="26"/>
              </w:rPr>
            </w:pPr>
            <w:r>
              <w:rPr>
                <w:rFonts w:ascii="Times New Roman" w:eastAsia="Times New Roman" w:hAnsi="Times New Roman" w:cs="Times New Roman"/>
              </w:rPr>
              <w:t>Sì (chiusa)</w:t>
            </w:r>
          </w:p>
        </w:tc>
      </w:tr>
      <w:tr w:rsidR="004731D7" w14:paraId="1BA6F153" w14:textId="77777777" w:rsidTr="00811E61">
        <w:trPr>
          <w:trHeight w:val="268"/>
        </w:trPr>
        <w:tc>
          <w:tcPr>
            <w:tcW w:w="5382" w:type="dxa"/>
            <w:shd w:val="clear" w:color="auto" w:fill="D9D9D9"/>
          </w:tcPr>
          <w:p w14:paraId="4038478A" w14:textId="77777777" w:rsidR="004731D7" w:rsidRDefault="004731D7" w:rsidP="00811E61">
            <w:pPr>
              <w:jc w:val="both"/>
              <w:rPr>
                <w:rFonts w:ascii="Times New Roman" w:eastAsia="Times New Roman" w:hAnsi="Times New Roman" w:cs="Times New Roman"/>
                <w:sz w:val="26"/>
                <w:szCs w:val="26"/>
              </w:rPr>
            </w:pPr>
            <w:r>
              <w:rPr>
                <w:rFonts w:ascii="Times New Roman" w:eastAsia="Times New Roman" w:hAnsi="Times New Roman" w:cs="Times New Roman"/>
              </w:rPr>
              <w:t>Tipologia di sistemazione fruita nel soggiorno</w:t>
            </w:r>
          </w:p>
        </w:tc>
        <w:tc>
          <w:tcPr>
            <w:tcW w:w="1984" w:type="dxa"/>
            <w:shd w:val="clear" w:color="auto" w:fill="D9D9D9"/>
          </w:tcPr>
          <w:p w14:paraId="4A1D4290" w14:textId="77777777" w:rsidR="004731D7" w:rsidRDefault="004731D7" w:rsidP="00811E61">
            <w:pPr>
              <w:jc w:val="both"/>
              <w:rPr>
                <w:rFonts w:ascii="Times New Roman" w:eastAsia="Times New Roman" w:hAnsi="Times New Roman" w:cs="Times New Roman"/>
                <w:sz w:val="26"/>
                <w:szCs w:val="26"/>
              </w:rPr>
            </w:pPr>
            <w:r>
              <w:rPr>
                <w:rFonts w:ascii="Times New Roman" w:eastAsia="Times New Roman" w:hAnsi="Times New Roman" w:cs="Times New Roman"/>
              </w:rPr>
              <w:t>Sì (chiusa)</w:t>
            </w:r>
          </w:p>
        </w:tc>
        <w:tc>
          <w:tcPr>
            <w:tcW w:w="2262" w:type="dxa"/>
            <w:shd w:val="clear" w:color="auto" w:fill="D9D9D9"/>
          </w:tcPr>
          <w:p w14:paraId="5F8F6873" w14:textId="77777777" w:rsidR="004731D7" w:rsidRDefault="004731D7" w:rsidP="00811E61">
            <w:pPr>
              <w:jc w:val="both"/>
              <w:rPr>
                <w:rFonts w:ascii="Times New Roman" w:eastAsia="Times New Roman" w:hAnsi="Times New Roman" w:cs="Times New Roman"/>
                <w:sz w:val="26"/>
                <w:szCs w:val="26"/>
              </w:rPr>
            </w:pPr>
            <w:r>
              <w:rPr>
                <w:rFonts w:ascii="Times New Roman" w:eastAsia="Times New Roman" w:hAnsi="Times New Roman" w:cs="Times New Roman"/>
              </w:rPr>
              <w:t>Sì (chiusa)</w:t>
            </w:r>
          </w:p>
        </w:tc>
      </w:tr>
      <w:tr w:rsidR="004731D7" w14:paraId="78B710CF" w14:textId="77777777" w:rsidTr="00811E61">
        <w:trPr>
          <w:trHeight w:val="805"/>
        </w:trPr>
        <w:tc>
          <w:tcPr>
            <w:tcW w:w="5382" w:type="dxa"/>
            <w:shd w:val="clear" w:color="auto" w:fill="D9D9D9"/>
          </w:tcPr>
          <w:p w14:paraId="6E84C60E" w14:textId="77777777" w:rsidR="004731D7" w:rsidRDefault="004731D7" w:rsidP="00811E61">
            <w:pPr>
              <w:jc w:val="both"/>
              <w:rPr>
                <w:rFonts w:ascii="Times New Roman" w:eastAsia="Times New Roman" w:hAnsi="Times New Roman" w:cs="Times New Roman"/>
                <w:sz w:val="26"/>
                <w:szCs w:val="26"/>
              </w:rPr>
            </w:pPr>
            <w:r>
              <w:rPr>
                <w:rFonts w:ascii="Times New Roman" w:eastAsia="Times New Roman" w:hAnsi="Times New Roman" w:cs="Times New Roman"/>
              </w:rPr>
              <w:t>Spese relative all’intero soggiorno (</w:t>
            </w:r>
            <w:r w:rsidRPr="004A0BE1">
              <w:rPr>
                <w:rFonts w:ascii="Times New Roman" w:eastAsia="Times New Roman" w:hAnsi="Times New Roman" w:cs="Times New Roman"/>
              </w:rPr>
              <w:t>trasporto da e per la Sardegna; trasporto interno</w:t>
            </w:r>
            <w:r>
              <w:rPr>
                <w:rFonts w:ascii="Times New Roman" w:eastAsia="Times New Roman" w:hAnsi="Times New Roman" w:cs="Times New Roman"/>
              </w:rPr>
              <w:t>, alloggio, alimentazione, ristorazione, souvenir, altre spese)</w:t>
            </w:r>
          </w:p>
        </w:tc>
        <w:tc>
          <w:tcPr>
            <w:tcW w:w="1984" w:type="dxa"/>
            <w:shd w:val="clear" w:color="auto" w:fill="D9D9D9"/>
          </w:tcPr>
          <w:p w14:paraId="76AEFD2B" w14:textId="77777777" w:rsidR="004731D7" w:rsidRDefault="004731D7" w:rsidP="00811E61">
            <w:pPr>
              <w:jc w:val="both"/>
              <w:rPr>
                <w:rFonts w:ascii="Times New Roman" w:eastAsia="Times New Roman" w:hAnsi="Times New Roman" w:cs="Times New Roman"/>
                <w:sz w:val="26"/>
                <w:szCs w:val="26"/>
              </w:rPr>
            </w:pPr>
            <w:r>
              <w:rPr>
                <w:rFonts w:ascii="Times New Roman" w:eastAsia="Times New Roman" w:hAnsi="Times New Roman" w:cs="Times New Roman"/>
              </w:rPr>
              <w:t>Sì (chiusa)</w:t>
            </w:r>
          </w:p>
        </w:tc>
        <w:tc>
          <w:tcPr>
            <w:tcW w:w="2262" w:type="dxa"/>
            <w:shd w:val="clear" w:color="auto" w:fill="D9D9D9"/>
          </w:tcPr>
          <w:p w14:paraId="32336504" w14:textId="77777777" w:rsidR="004731D7" w:rsidRDefault="004731D7" w:rsidP="00811E61">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rPr>
              <w:t>Sì (chiusa)</w:t>
            </w:r>
          </w:p>
        </w:tc>
      </w:tr>
      <w:tr w:rsidR="004731D7" w14:paraId="358534C6" w14:textId="77777777" w:rsidTr="00811E61">
        <w:trPr>
          <w:trHeight w:val="268"/>
        </w:trPr>
        <w:tc>
          <w:tcPr>
            <w:tcW w:w="5382" w:type="dxa"/>
            <w:shd w:val="clear" w:color="auto" w:fill="D9D9D9"/>
          </w:tcPr>
          <w:p w14:paraId="220CC48B" w14:textId="77777777" w:rsidR="004731D7" w:rsidRDefault="004731D7" w:rsidP="00811E61">
            <w:pPr>
              <w:jc w:val="both"/>
              <w:rPr>
                <w:rFonts w:ascii="Times New Roman" w:eastAsia="Times New Roman" w:hAnsi="Times New Roman" w:cs="Times New Roman"/>
                <w:sz w:val="26"/>
                <w:szCs w:val="26"/>
              </w:rPr>
            </w:pPr>
            <w:r>
              <w:rPr>
                <w:rFonts w:ascii="Times New Roman" w:eastAsia="Times New Roman" w:hAnsi="Times New Roman" w:cs="Times New Roman"/>
              </w:rPr>
              <w:t>Cosa avete apprezzato di più del vostro soggiorno?</w:t>
            </w:r>
          </w:p>
        </w:tc>
        <w:tc>
          <w:tcPr>
            <w:tcW w:w="1984" w:type="dxa"/>
            <w:shd w:val="clear" w:color="auto" w:fill="D9D9D9"/>
          </w:tcPr>
          <w:p w14:paraId="5EDCDF56" w14:textId="77777777" w:rsidR="004731D7" w:rsidRDefault="004731D7" w:rsidP="00811E61">
            <w:pPr>
              <w:jc w:val="both"/>
              <w:rPr>
                <w:rFonts w:ascii="Times New Roman" w:eastAsia="Times New Roman" w:hAnsi="Times New Roman" w:cs="Times New Roman"/>
                <w:sz w:val="26"/>
                <w:szCs w:val="26"/>
              </w:rPr>
            </w:pPr>
            <w:r>
              <w:rPr>
                <w:rFonts w:ascii="Times New Roman" w:eastAsia="Times New Roman" w:hAnsi="Times New Roman" w:cs="Times New Roman"/>
              </w:rPr>
              <w:t>Sì (aperta)</w:t>
            </w:r>
          </w:p>
        </w:tc>
        <w:tc>
          <w:tcPr>
            <w:tcW w:w="2262" w:type="dxa"/>
            <w:shd w:val="clear" w:color="auto" w:fill="D9D9D9"/>
          </w:tcPr>
          <w:p w14:paraId="5A70D416" w14:textId="77777777" w:rsidR="004731D7" w:rsidRDefault="004731D7" w:rsidP="00811E61">
            <w:pPr>
              <w:jc w:val="both"/>
              <w:rPr>
                <w:rFonts w:ascii="Times New Roman" w:eastAsia="Times New Roman" w:hAnsi="Times New Roman" w:cs="Times New Roman"/>
                <w:sz w:val="26"/>
                <w:szCs w:val="26"/>
              </w:rPr>
            </w:pPr>
            <w:r>
              <w:rPr>
                <w:rFonts w:ascii="Times New Roman" w:eastAsia="Times New Roman" w:hAnsi="Times New Roman" w:cs="Times New Roman"/>
              </w:rPr>
              <w:t>Sì (aperta)</w:t>
            </w:r>
          </w:p>
        </w:tc>
      </w:tr>
      <w:tr w:rsidR="004731D7" w14:paraId="4ABAFC9E" w14:textId="77777777" w:rsidTr="00811E61">
        <w:trPr>
          <w:trHeight w:val="268"/>
        </w:trPr>
        <w:tc>
          <w:tcPr>
            <w:tcW w:w="5382" w:type="dxa"/>
            <w:shd w:val="clear" w:color="auto" w:fill="D9D9D9"/>
          </w:tcPr>
          <w:p w14:paraId="52464F2B" w14:textId="77777777" w:rsidR="004731D7" w:rsidRDefault="004731D7" w:rsidP="00811E61">
            <w:pPr>
              <w:jc w:val="both"/>
              <w:rPr>
                <w:rFonts w:ascii="Times New Roman" w:eastAsia="Times New Roman" w:hAnsi="Times New Roman" w:cs="Times New Roman"/>
                <w:sz w:val="26"/>
                <w:szCs w:val="26"/>
              </w:rPr>
            </w:pPr>
            <w:r>
              <w:rPr>
                <w:rFonts w:ascii="Times New Roman" w:eastAsia="Times New Roman" w:hAnsi="Times New Roman" w:cs="Times New Roman"/>
              </w:rPr>
              <w:t>Cosa consigliereste di migliorare?</w:t>
            </w:r>
          </w:p>
        </w:tc>
        <w:tc>
          <w:tcPr>
            <w:tcW w:w="1984" w:type="dxa"/>
            <w:shd w:val="clear" w:color="auto" w:fill="D9D9D9"/>
          </w:tcPr>
          <w:p w14:paraId="6E580A25" w14:textId="77777777" w:rsidR="004731D7" w:rsidRDefault="004731D7" w:rsidP="00811E61">
            <w:pPr>
              <w:jc w:val="both"/>
              <w:rPr>
                <w:rFonts w:ascii="Times New Roman" w:eastAsia="Times New Roman" w:hAnsi="Times New Roman" w:cs="Times New Roman"/>
                <w:sz w:val="26"/>
                <w:szCs w:val="26"/>
              </w:rPr>
            </w:pPr>
            <w:r>
              <w:rPr>
                <w:rFonts w:ascii="Times New Roman" w:eastAsia="Times New Roman" w:hAnsi="Times New Roman" w:cs="Times New Roman"/>
              </w:rPr>
              <w:t>Sì (aperta)</w:t>
            </w:r>
          </w:p>
        </w:tc>
        <w:tc>
          <w:tcPr>
            <w:tcW w:w="2262" w:type="dxa"/>
            <w:shd w:val="clear" w:color="auto" w:fill="D9D9D9"/>
          </w:tcPr>
          <w:p w14:paraId="428A325D" w14:textId="77777777" w:rsidR="004731D7" w:rsidRDefault="004731D7" w:rsidP="00811E61">
            <w:pPr>
              <w:jc w:val="both"/>
              <w:rPr>
                <w:rFonts w:ascii="Times New Roman" w:eastAsia="Times New Roman" w:hAnsi="Times New Roman" w:cs="Times New Roman"/>
                <w:sz w:val="26"/>
                <w:szCs w:val="26"/>
              </w:rPr>
            </w:pPr>
            <w:r>
              <w:rPr>
                <w:rFonts w:ascii="Times New Roman" w:eastAsia="Times New Roman" w:hAnsi="Times New Roman" w:cs="Times New Roman"/>
              </w:rPr>
              <w:t>Sì (aperta)</w:t>
            </w:r>
          </w:p>
        </w:tc>
      </w:tr>
      <w:tr w:rsidR="004731D7" w14:paraId="3A5F9F9B" w14:textId="77777777" w:rsidTr="00811E61">
        <w:trPr>
          <w:trHeight w:val="268"/>
        </w:trPr>
        <w:tc>
          <w:tcPr>
            <w:tcW w:w="5382" w:type="dxa"/>
            <w:shd w:val="clear" w:color="auto" w:fill="D9D9D9"/>
          </w:tcPr>
          <w:p w14:paraId="027A0348" w14:textId="77777777" w:rsidR="004731D7" w:rsidRDefault="004731D7" w:rsidP="00811E61">
            <w:pPr>
              <w:jc w:val="both"/>
              <w:rPr>
                <w:rFonts w:ascii="Times New Roman" w:eastAsia="Times New Roman" w:hAnsi="Times New Roman" w:cs="Times New Roman"/>
                <w:sz w:val="26"/>
                <w:szCs w:val="26"/>
              </w:rPr>
            </w:pPr>
            <w:r>
              <w:rPr>
                <w:rFonts w:ascii="Times New Roman" w:eastAsia="Times New Roman" w:hAnsi="Times New Roman" w:cs="Times New Roman"/>
              </w:rPr>
              <w:t>Giudizio complessivo della vacanza in Sardegna</w:t>
            </w:r>
          </w:p>
        </w:tc>
        <w:tc>
          <w:tcPr>
            <w:tcW w:w="1984" w:type="dxa"/>
            <w:shd w:val="clear" w:color="auto" w:fill="D9D9D9"/>
          </w:tcPr>
          <w:p w14:paraId="1DDC9861" w14:textId="77777777" w:rsidR="004731D7" w:rsidRDefault="004731D7" w:rsidP="00811E61">
            <w:pPr>
              <w:jc w:val="both"/>
              <w:rPr>
                <w:rFonts w:ascii="Times New Roman" w:eastAsia="Times New Roman" w:hAnsi="Times New Roman" w:cs="Times New Roman"/>
                <w:sz w:val="26"/>
                <w:szCs w:val="26"/>
              </w:rPr>
            </w:pPr>
            <w:r>
              <w:rPr>
                <w:rFonts w:ascii="Times New Roman" w:eastAsia="Times New Roman" w:hAnsi="Times New Roman" w:cs="Times New Roman"/>
              </w:rPr>
              <w:t>Sì (chiusa)</w:t>
            </w:r>
          </w:p>
        </w:tc>
        <w:tc>
          <w:tcPr>
            <w:tcW w:w="2262" w:type="dxa"/>
            <w:shd w:val="clear" w:color="auto" w:fill="D9D9D9"/>
          </w:tcPr>
          <w:p w14:paraId="32CE9610" w14:textId="77777777" w:rsidR="004731D7" w:rsidRDefault="004731D7" w:rsidP="00811E61">
            <w:pPr>
              <w:jc w:val="both"/>
              <w:rPr>
                <w:rFonts w:ascii="Times New Roman" w:eastAsia="Times New Roman" w:hAnsi="Times New Roman" w:cs="Times New Roman"/>
                <w:sz w:val="26"/>
                <w:szCs w:val="26"/>
              </w:rPr>
            </w:pPr>
            <w:r>
              <w:rPr>
                <w:rFonts w:ascii="Times New Roman" w:eastAsia="Times New Roman" w:hAnsi="Times New Roman" w:cs="Times New Roman"/>
              </w:rPr>
              <w:t>Sì (chiusa)</w:t>
            </w:r>
          </w:p>
        </w:tc>
      </w:tr>
      <w:tr w:rsidR="004731D7" w14:paraId="6051E1D6" w14:textId="77777777" w:rsidTr="00811E61">
        <w:trPr>
          <w:trHeight w:val="268"/>
        </w:trPr>
        <w:tc>
          <w:tcPr>
            <w:tcW w:w="9628" w:type="dxa"/>
            <w:gridSpan w:val="3"/>
            <w:shd w:val="clear" w:color="auto" w:fill="FFFFFF"/>
          </w:tcPr>
          <w:p w14:paraId="017AD534" w14:textId="77777777" w:rsidR="004731D7" w:rsidRDefault="004731D7" w:rsidP="00811E61">
            <w:p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rPr>
              <w:lastRenderedPageBreak/>
              <w:t>Tabella 1: I quesiti del questionario A e del questionario B. Per “chiusa” e “aperta” si intendono le forme di risposta. Su sfondo grigio i quesiti comuni che consentono la gestione aggregata delle risposte.</w:t>
            </w:r>
          </w:p>
        </w:tc>
      </w:tr>
    </w:tbl>
    <w:p w14:paraId="4051C68E" w14:textId="77777777" w:rsidR="004731D7" w:rsidRDefault="004731D7" w:rsidP="004731D7">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rPr>
        <w:t xml:space="preserve">Il </w:t>
      </w:r>
      <w:r>
        <w:rPr>
          <w:rFonts w:ascii="Times New Roman" w:eastAsia="Times New Roman" w:hAnsi="Times New Roman" w:cs="Times New Roman"/>
          <w:b/>
          <w:bCs/>
        </w:rPr>
        <w:t xml:space="preserve">Questionario A </w:t>
      </w:r>
      <w:r>
        <w:rPr>
          <w:rFonts w:ascii="Times New Roman" w:eastAsia="Times New Roman" w:hAnsi="Times New Roman" w:cs="Times New Roman"/>
        </w:rPr>
        <w:t>è rivolto ai</w:t>
      </w:r>
      <w:r>
        <w:rPr>
          <w:rFonts w:ascii="Times New Roman" w:eastAsia="Times New Roman" w:hAnsi="Times New Roman" w:cs="Times New Roman"/>
          <w:b/>
          <w:bCs/>
        </w:rPr>
        <w:t xml:space="preserve"> turisti</w:t>
      </w:r>
      <w:r>
        <w:rPr>
          <w:rFonts w:ascii="Times New Roman" w:eastAsia="Times New Roman" w:hAnsi="Times New Roman" w:cs="Times New Roman"/>
        </w:rPr>
        <w:t xml:space="preserve"> italiani e stranieri presenti in Sardegna, inclusi i residenti sardi </w:t>
      </w:r>
      <w:r>
        <w:rPr>
          <w:rFonts w:ascii="Times New Roman" w:eastAsia="Times New Roman" w:hAnsi="Times New Roman" w:cs="Times New Roman"/>
          <w:b/>
          <w:bCs/>
        </w:rPr>
        <w:t>che hanno appena concluso un soggiorno turistico nell’isola</w:t>
      </w:r>
      <w:r>
        <w:rPr>
          <w:rFonts w:ascii="Times New Roman" w:eastAsia="Times New Roman" w:hAnsi="Times New Roman" w:cs="Times New Roman"/>
        </w:rPr>
        <w:t xml:space="preserve">. La somministrazione avviene in prossimità della conclusione del soggiorno, al fine di raccogliere informazioni sulle spese effettivamente sostenute durante la vacanza. Il </w:t>
      </w:r>
      <w:r>
        <w:rPr>
          <w:rFonts w:ascii="Times New Roman" w:eastAsia="Times New Roman" w:hAnsi="Times New Roman" w:cs="Times New Roman"/>
          <w:b/>
          <w:bCs/>
        </w:rPr>
        <w:t>Questionario B</w:t>
      </w:r>
      <w:r>
        <w:rPr>
          <w:rFonts w:ascii="Times New Roman" w:eastAsia="Times New Roman" w:hAnsi="Times New Roman" w:cs="Times New Roman"/>
        </w:rPr>
        <w:t xml:space="preserve">, invece, è somministrato esclusivamente ai </w:t>
      </w:r>
      <w:r>
        <w:rPr>
          <w:rFonts w:ascii="Times New Roman" w:eastAsia="Times New Roman" w:hAnsi="Times New Roman" w:cs="Times New Roman"/>
          <w:b/>
          <w:bCs/>
        </w:rPr>
        <w:t>residenti in Sardegna</w:t>
      </w:r>
      <w:r>
        <w:rPr>
          <w:rFonts w:ascii="Times New Roman" w:eastAsia="Times New Roman" w:hAnsi="Times New Roman" w:cs="Times New Roman"/>
        </w:rPr>
        <w:t>, indipendentemente dall’aver effettuato o meno un viaggio turistico nell’anno di riferimento dell’indagine.</w:t>
      </w:r>
    </w:p>
    <w:p w14:paraId="1C3B0589" w14:textId="77777777" w:rsidR="004731D7" w:rsidRDefault="004731D7" w:rsidP="004731D7">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rPr>
        <w:t xml:space="preserve">Le informazioni raccolte attraverso il Questionario A consentono di analizzare il comportamento dei visitatori e la spesa associata al </w:t>
      </w:r>
      <w:r>
        <w:rPr>
          <w:rFonts w:ascii="Times New Roman" w:eastAsia="Times New Roman" w:hAnsi="Times New Roman" w:cs="Times New Roman"/>
          <w:b/>
          <w:bCs/>
        </w:rPr>
        <w:t>turismo in entrata</w:t>
      </w:r>
      <w:r>
        <w:rPr>
          <w:rFonts w:ascii="Times New Roman" w:eastAsia="Times New Roman" w:hAnsi="Times New Roman" w:cs="Times New Roman"/>
        </w:rPr>
        <w:t xml:space="preserve">. I dati raccolti tramite il Questionario B, limitatamente ai residenti che dichiarano di aver effettuato una vacanza </w:t>
      </w:r>
      <w:r w:rsidRPr="003D297B">
        <w:rPr>
          <w:rFonts w:ascii="Times New Roman" w:eastAsia="Times New Roman" w:hAnsi="Times New Roman" w:cs="Times New Roman"/>
        </w:rPr>
        <w:t xml:space="preserve">in Sardegna </w:t>
      </w:r>
      <w:r>
        <w:rPr>
          <w:rFonts w:ascii="Times New Roman" w:eastAsia="Times New Roman" w:hAnsi="Times New Roman" w:cs="Times New Roman"/>
        </w:rPr>
        <w:t xml:space="preserve">nel periodo considerato, consentono invece di analizzare il comportamento turistico e la spesa connessa al </w:t>
      </w:r>
      <w:r>
        <w:rPr>
          <w:rFonts w:ascii="Times New Roman" w:eastAsia="Times New Roman" w:hAnsi="Times New Roman" w:cs="Times New Roman"/>
          <w:b/>
          <w:bCs/>
        </w:rPr>
        <w:t>turismo domestico</w:t>
      </w:r>
      <w:r>
        <w:rPr>
          <w:rFonts w:ascii="Times New Roman" w:eastAsia="Times New Roman" w:hAnsi="Times New Roman" w:cs="Times New Roman"/>
        </w:rPr>
        <w:t>.</w:t>
      </w:r>
    </w:p>
    <w:p w14:paraId="1F502B58" w14:textId="77777777" w:rsidR="004731D7" w:rsidRDefault="004731D7" w:rsidP="004731D7">
      <w:pPr>
        <w:spacing w:before="280" w:after="280" w:line="240" w:lineRule="auto"/>
        <w:jc w:val="both"/>
        <w:rPr>
          <w:rFonts w:ascii="Times New Roman" w:eastAsia="Times New Roman" w:hAnsi="Times New Roman" w:cs="Times New Roman"/>
          <w:b/>
          <w:bCs/>
        </w:rPr>
      </w:pPr>
      <w:r>
        <w:rPr>
          <w:rFonts w:ascii="Times New Roman" w:eastAsia="Times New Roman" w:hAnsi="Times New Roman" w:cs="Times New Roman"/>
          <w:b/>
          <w:bCs/>
        </w:rPr>
        <w:t>1.3 Disegno di campionamento, modalità e luoghi di somministrazione</w:t>
      </w:r>
    </w:p>
    <w:p w14:paraId="619B88E3" w14:textId="77777777" w:rsidR="004731D7" w:rsidRPr="004731D7" w:rsidRDefault="004731D7" w:rsidP="004731D7">
      <w:pPr>
        <w:spacing w:before="280" w:after="280" w:line="240" w:lineRule="auto"/>
        <w:jc w:val="both"/>
        <w:rPr>
          <w:rFonts w:ascii="Times New Roman" w:eastAsia="Times New Roman" w:hAnsi="Times New Roman" w:cs="Times New Roman"/>
          <w:b/>
          <w:bCs/>
        </w:rPr>
      </w:pPr>
      <w:r w:rsidRPr="00534440">
        <w:rPr>
          <w:rFonts w:ascii="Times New Roman" w:eastAsia="Times New Roman" w:hAnsi="Times New Roman" w:cs="Times New Roman"/>
        </w:rPr>
        <w:t xml:space="preserve">La popolazione di riferimento della </w:t>
      </w:r>
      <w:r w:rsidRPr="00534440">
        <w:rPr>
          <w:rFonts w:ascii="Times New Roman" w:eastAsia="Times New Roman" w:hAnsi="Times New Roman" w:cs="Times New Roman"/>
          <w:b/>
          <w:bCs/>
        </w:rPr>
        <w:t>Rilevazione A</w:t>
      </w:r>
      <w:r w:rsidRPr="00534440">
        <w:rPr>
          <w:rFonts w:ascii="Times New Roman" w:eastAsia="Times New Roman" w:hAnsi="Times New Roman" w:cs="Times New Roman"/>
        </w:rPr>
        <w:t xml:space="preserve"> è costituita dai turisti italiani e stranieri presenti in </w:t>
      </w:r>
      <w:r w:rsidRPr="004731D7">
        <w:rPr>
          <w:rFonts w:ascii="Times New Roman" w:eastAsia="Times New Roman" w:hAnsi="Times New Roman" w:cs="Times New Roman"/>
        </w:rPr>
        <w:t xml:space="preserve">Sardegna al termine della vacanza. Il questionario viene somministrato con modalità </w:t>
      </w:r>
      <w:r w:rsidRPr="004731D7">
        <w:rPr>
          <w:rFonts w:ascii="Times New Roman" w:eastAsia="Times New Roman" w:hAnsi="Times New Roman" w:cs="Times New Roman"/>
          <w:i/>
          <w:iCs/>
        </w:rPr>
        <w:t>face-to-face</w:t>
      </w:r>
      <w:r w:rsidRPr="004731D7">
        <w:rPr>
          <w:rFonts w:ascii="Times New Roman" w:eastAsia="Times New Roman" w:hAnsi="Times New Roman" w:cs="Times New Roman"/>
        </w:rPr>
        <w:t>, adottando una strategia di campionamento non probabilistico a scelta ragionata (purposive sampling)</w:t>
      </w:r>
    </w:p>
    <w:p w14:paraId="26DF55F7" w14:textId="77777777" w:rsidR="004731D7" w:rsidRPr="004731D7" w:rsidRDefault="004731D7" w:rsidP="004731D7">
      <w:pPr>
        <w:spacing w:before="280" w:after="280" w:line="240" w:lineRule="auto"/>
        <w:jc w:val="both"/>
        <w:rPr>
          <w:rFonts w:ascii="Times New Roman" w:eastAsia="Times New Roman" w:hAnsi="Times New Roman" w:cs="Times New Roman"/>
        </w:rPr>
      </w:pPr>
      <w:r w:rsidRPr="004731D7">
        <w:rPr>
          <w:rFonts w:ascii="Times New Roman" w:eastAsia="Times New Roman" w:hAnsi="Times New Roman" w:cs="Times New Roman"/>
        </w:rPr>
        <w:t>I rilevatori intercettano i visitatori nei principali</w:t>
      </w:r>
      <w:r w:rsidRPr="004731D7">
        <w:rPr>
          <w:rFonts w:ascii="Times New Roman" w:eastAsia="Times New Roman" w:hAnsi="Times New Roman" w:cs="Times New Roman"/>
          <w:b/>
          <w:bCs/>
        </w:rPr>
        <w:t xml:space="preserve"> hub di accesso dell’Isola (aeroporti)</w:t>
      </w:r>
      <w:r w:rsidRPr="004731D7">
        <w:rPr>
          <w:rFonts w:ascii="Times New Roman" w:eastAsia="Times New Roman" w:hAnsi="Times New Roman" w:cs="Times New Roman"/>
        </w:rPr>
        <w:t xml:space="preserve"> e nelle </w:t>
      </w:r>
      <w:r w:rsidRPr="004731D7">
        <w:rPr>
          <w:rFonts w:ascii="Times New Roman" w:eastAsia="Times New Roman" w:hAnsi="Times New Roman" w:cs="Times New Roman"/>
          <w:b/>
          <w:bCs/>
        </w:rPr>
        <w:t>località turistiche ad alta affluenza</w:t>
      </w:r>
      <w:r w:rsidRPr="004731D7">
        <w:rPr>
          <w:rFonts w:ascii="Times New Roman" w:eastAsia="Times New Roman" w:hAnsi="Times New Roman" w:cs="Times New Roman"/>
        </w:rPr>
        <w:t xml:space="preserve">, presentando le finalità dello studio e invitandoli a partecipare su base volontaria. Le località di somministrazione sono individuate sulla base dei dati relativi alle presenze turistiche registrate nell’anno solare precedente, privilegiando le destinazioni caratterizzate dai più elevati livelli di affluenza. </w:t>
      </w:r>
    </w:p>
    <w:p w14:paraId="60F1B4FA" w14:textId="77777777" w:rsidR="004731D7" w:rsidRPr="004731D7" w:rsidRDefault="004731D7" w:rsidP="004731D7">
      <w:pPr>
        <w:spacing w:before="280" w:after="280" w:line="240" w:lineRule="auto"/>
        <w:jc w:val="both"/>
        <w:rPr>
          <w:rFonts w:ascii="Times New Roman" w:eastAsia="Times New Roman" w:hAnsi="Times New Roman" w:cs="Times New Roman"/>
        </w:rPr>
      </w:pPr>
      <w:r w:rsidRPr="004731D7">
        <w:rPr>
          <w:rFonts w:ascii="Times New Roman" w:eastAsia="Times New Roman" w:hAnsi="Times New Roman" w:cs="Times New Roman"/>
        </w:rPr>
        <w:t>La condizione insulare della Sardegna rappresenta un elemento metodologicamente favorevole alla realizzazione dell’indagine, in quanto una quota significativa dei flussi turistici non domestici transita necessariamente attraverso gli scali aeroportuali e portuali dell’isola. Ciò facilita l’intercettazione dei visitatori in uscita dal territorio regionale.  La rilevazione effettuata al termine del soggiorno consente di raccogliere informazioni sulle spese effettivamente sostenute durante la vacanza, riducendo il rischio di stime preventive o ipotetiche da parte degli intervistati.</w:t>
      </w:r>
    </w:p>
    <w:p w14:paraId="33B8C944" w14:textId="77777777" w:rsidR="004731D7" w:rsidRPr="004731D7" w:rsidRDefault="004731D7" w:rsidP="004731D7">
      <w:pPr>
        <w:spacing w:before="280" w:after="280" w:line="240" w:lineRule="auto"/>
        <w:jc w:val="both"/>
        <w:rPr>
          <w:rFonts w:ascii="Times New Roman" w:eastAsia="Times New Roman" w:hAnsi="Times New Roman" w:cs="Times New Roman"/>
        </w:rPr>
      </w:pPr>
      <w:r w:rsidRPr="004731D7">
        <w:rPr>
          <w:rFonts w:ascii="Times New Roman" w:eastAsia="Times New Roman" w:hAnsi="Times New Roman" w:cs="Times New Roman"/>
        </w:rPr>
        <w:t xml:space="preserve">La popolazione di riferimento della </w:t>
      </w:r>
      <w:r w:rsidRPr="004731D7">
        <w:rPr>
          <w:rFonts w:ascii="Times New Roman" w:eastAsia="Times New Roman" w:hAnsi="Times New Roman" w:cs="Times New Roman"/>
          <w:b/>
          <w:bCs/>
        </w:rPr>
        <w:t>Rilevazione B</w:t>
      </w:r>
      <w:r w:rsidRPr="004731D7">
        <w:rPr>
          <w:rFonts w:ascii="Times New Roman" w:eastAsia="Times New Roman" w:hAnsi="Times New Roman" w:cs="Times New Roman"/>
        </w:rPr>
        <w:t xml:space="preserve"> è invece costituita dai residenti in Sardegna. Anche in questo caso la somministrazione del questionario avviene tramite interviste dirette </w:t>
      </w:r>
      <w:r w:rsidRPr="004731D7">
        <w:rPr>
          <w:rFonts w:ascii="Times New Roman" w:eastAsia="Times New Roman" w:hAnsi="Times New Roman" w:cs="Times New Roman"/>
          <w:i/>
          <w:iCs/>
        </w:rPr>
        <w:t>face-to-face</w:t>
      </w:r>
      <w:r w:rsidRPr="004731D7">
        <w:rPr>
          <w:rFonts w:ascii="Times New Roman" w:eastAsia="Times New Roman" w:hAnsi="Times New Roman" w:cs="Times New Roman"/>
        </w:rPr>
        <w:t>, adottando una strategia di campionamento non probabilistico a scelta ragionata (purposive sampling). I luoghi di somministrazione sono individuati in modo da garantire una copertura del territorio su base provinciale.</w:t>
      </w:r>
    </w:p>
    <w:p w14:paraId="530E0580" w14:textId="77777777" w:rsidR="004731D7" w:rsidRPr="004731D7" w:rsidRDefault="004731D7" w:rsidP="004731D7">
      <w:pPr>
        <w:spacing w:before="280" w:after="280" w:line="240" w:lineRule="auto"/>
        <w:jc w:val="both"/>
        <w:rPr>
          <w:rFonts w:ascii="Times New Roman" w:eastAsia="Times New Roman" w:hAnsi="Times New Roman" w:cs="Times New Roman"/>
          <w:b/>
          <w:bCs/>
        </w:rPr>
      </w:pPr>
      <w:r w:rsidRPr="004731D7">
        <w:rPr>
          <w:rFonts w:ascii="Times New Roman" w:eastAsia="Times New Roman" w:hAnsi="Times New Roman" w:cs="Times New Roman"/>
          <w:b/>
          <w:bCs/>
        </w:rPr>
        <w:t>1.4 Raccolta e trattamento dei dati</w:t>
      </w:r>
    </w:p>
    <w:p w14:paraId="5BF5EA7F" w14:textId="77777777" w:rsidR="004731D7" w:rsidRPr="004731D7" w:rsidRDefault="004731D7" w:rsidP="004731D7">
      <w:pPr>
        <w:spacing w:before="280" w:after="280" w:line="240" w:lineRule="auto"/>
        <w:jc w:val="both"/>
        <w:rPr>
          <w:rFonts w:ascii="Times New Roman" w:eastAsia="Times New Roman" w:hAnsi="Times New Roman" w:cs="Times New Roman"/>
        </w:rPr>
      </w:pPr>
      <w:r w:rsidRPr="004731D7">
        <w:rPr>
          <w:rFonts w:ascii="Times New Roman" w:eastAsia="Times New Roman" w:hAnsi="Times New Roman" w:cs="Times New Roman"/>
        </w:rPr>
        <w:t xml:space="preserve">Dal punto di vista operativo, </w:t>
      </w:r>
      <w:r w:rsidRPr="004731D7">
        <w:rPr>
          <w:rFonts w:ascii="Times New Roman" w:eastAsia="Times New Roman" w:hAnsi="Times New Roman" w:cs="Times New Roman"/>
          <w:b/>
          <w:bCs/>
        </w:rPr>
        <w:t>le campagne di rilevazione A e B</w:t>
      </w:r>
      <w:r w:rsidRPr="004731D7">
        <w:rPr>
          <w:rFonts w:ascii="Times New Roman" w:eastAsia="Times New Roman" w:hAnsi="Times New Roman" w:cs="Times New Roman"/>
        </w:rPr>
        <w:t xml:space="preserve"> vengono realizzate da un team di rilevatori appositamente selezionati e formati, al fine di garantire uniformità nelle procedure di somministrazione e accuratezza nella registrazione delle informazioni.</w:t>
      </w:r>
    </w:p>
    <w:p w14:paraId="0431F2AA" w14:textId="77777777" w:rsidR="004731D7" w:rsidRDefault="004731D7" w:rsidP="004731D7">
      <w:pPr>
        <w:spacing w:before="280" w:after="280" w:line="240" w:lineRule="auto"/>
        <w:jc w:val="both"/>
        <w:rPr>
          <w:rFonts w:ascii="Times New Roman" w:eastAsia="Times New Roman" w:hAnsi="Times New Roman" w:cs="Times New Roman"/>
        </w:rPr>
      </w:pPr>
      <w:r w:rsidRPr="004731D7">
        <w:rPr>
          <w:rFonts w:ascii="Times New Roman" w:eastAsia="Times New Roman" w:hAnsi="Times New Roman" w:cs="Times New Roman"/>
        </w:rPr>
        <w:t>Le interviste, della durata media di circa 10–12 minuti, vengono condotte tramite questionario cartaceo previo</w:t>
      </w:r>
      <w:r>
        <w:rPr>
          <w:rFonts w:ascii="Times New Roman" w:eastAsia="Times New Roman" w:hAnsi="Times New Roman" w:cs="Times New Roman"/>
        </w:rPr>
        <w:t xml:space="preserve"> consenso informato degli intervistati, nel rispetto dei protocolli di tutela della privacy </w:t>
      </w:r>
      <w:r>
        <w:rPr>
          <w:rFonts w:ascii="Times New Roman" w:eastAsia="Times New Roman" w:hAnsi="Times New Roman" w:cs="Times New Roman"/>
        </w:rPr>
        <w:lastRenderedPageBreak/>
        <w:t>adottati dall’Università degli Studi di Sassari. Non vengono raccolti dati personali identificativi né categorie particolari di dati personali; le informazioni sono anonimizzate in fase di inserimento e conservate in un archivio digitale protetto esclusivamente per finalità di ricerca.</w:t>
      </w:r>
    </w:p>
    <w:p w14:paraId="0B372626" w14:textId="77777777" w:rsidR="004731D7" w:rsidRDefault="004731D7" w:rsidP="004731D7">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rPr>
        <w:t>Il trattamento dei dati avviene nel rispetto dei principi previsti dal Regolamento generale sulla protezione dei dati (GDPR), con particolare riferimento ai principi di liceità, trasparenza, minimizzazione dei dati, integrità e riservatezza. Ai partecipanti viene fornita un’informativa completa sulle finalità dello studio, sulla natura volontaria della partecipazione e sui tempi di conservazione dei dati. Il titolare del trattamento è l’Università degli Studi di Sassari.</w:t>
      </w:r>
    </w:p>
    <w:p w14:paraId="5DBF30BB" w14:textId="77777777" w:rsidR="004731D7" w:rsidRDefault="004731D7" w:rsidP="004731D7">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rPr>
        <w:t xml:space="preserve">Al termine della fase di rilevazione, i questionari raccolti vengono </w:t>
      </w:r>
      <w:r>
        <w:rPr>
          <w:rFonts w:ascii="Times New Roman" w:eastAsia="Times New Roman" w:hAnsi="Times New Roman" w:cs="Times New Roman"/>
          <w:b/>
          <w:bCs/>
        </w:rPr>
        <w:t>digitalizzati e inseriti in un database centralizzato</w:t>
      </w:r>
      <w:r>
        <w:rPr>
          <w:rFonts w:ascii="Times New Roman" w:eastAsia="Times New Roman" w:hAnsi="Times New Roman" w:cs="Times New Roman"/>
        </w:rPr>
        <w:t>, successivamente sottoposto a un processo di controlli qualitativo finalizzato alla omogeneizzazione delle informazioni e alla loro predisposizione per le analisi statistiche.</w:t>
      </w:r>
    </w:p>
    <w:p w14:paraId="0ABD673B" w14:textId="77777777" w:rsidR="004731D7" w:rsidRDefault="004731D7" w:rsidP="004731D7">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rPr>
        <w:t>Le principali fasi del trattamento dei dati sono le seguenti:</w:t>
      </w:r>
    </w:p>
    <w:p w14:paraId="1F2DE820" w14:textId="77777777" w:rsidR="004731D7" w:rsidRDefault="004731D7" w:rsidP="004731D7">
      <w:pPr>
        <w:numPr>
          <w:ilvl w:val="0"/>
          <w:numId w:val="1"/>
        </w:numPr>
        <w:spacing w:before="280" w:after="0" w:line="240" w:lineRule="auto"/>
        <w:jc w:val="both"/>
        <w:rPr>
          <w:rFonts w:ascii="Times New Roman" w:eastAsia="Times New Roman" w:hAnsi="Times New Roman" w:cs="Times New Roman"/>
        </w:rPr>
      </w:pPr>
      <w:r>
        <w:rPr>
          <w:rFonts w:ascii="Times New Roman" w:eastAsia="Times New Roman" w:hAnsi="Times New Roman" w:cs="Times New Roman"/>
          <w:b/>
          <w:bCs/>
        </w:rPr>
        <w:t>Verifica di completezza e coerenza</w:t>
      </w:r>
      <w:r>
        <w:rPr>
          <w:rFonts w:ascii="Times New Roman" w:eastAsia="Times New Roman" w:hAnsi="Times New Roman" w:cs="Times New Roman"/>
        </w:rPr>
        <w:t>, attraverso l’individuazione di record con valori mancanti o incongruenti mediante procedure automatizzate (query di controllo) e successive verifiche manuali mirate;</w:t>
      </w:r>
    </w:p>
    <w:p w14:paraId="3F2ED51D" w14:textId="77777777" w:rsidR="004731D7" w:rsidRDefault="004731D7" w:rsidP="004731D7">
      <w:pPr>
        <w:numPr>
          <w:ilvl w:val="0"/>
          <w:numId w:val="1"/>
        </w:num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Standardizzazione terminologica</w:t>
      </w:r>
      <w:r>
        <w:rPr>
          <w:rFonts w:ascii="Times New Roman" w:eastAsia="Times New Roman" w:hAnsi="Times New Roman" w:cs="Times New Roman"/>
        </w:rPr>
        <w:t>, volta all’uniformazione delle etichette testuali e alla correzione di eventuali varianti ortografiche o sintattiche nelle risposte codificate;</w:t>
      </w:r>
    </w:p>
    <w:p w14:paraId="02B289F0" w14:textId="77777777" w:rsidR="004731D7" w:rsidRDefault="004731D7" w:rsidP="004731D7">
      <w:pPr>
        <w:numPr>
          <w:ilvl w:val="0"/>
          <w:numId w:val="1"/>
        </w:num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Normalizzazione dei dati quantitativi</w:t>
      </w:r>
      <w:r>
        <w:rPr>
          <w:rFonts w:ascii="Times New Roman" w:eastAsia="Times New Roman" w:hAnsi="Times New Roman" w:cs="Times New Roman"/>
        </w:rPr>
        <w:t>, mediante la conversione delle informazioni in formati numerici coerenti, con particolare riferimento alle variabili relative alla spesa turistica e alla durata del soggiorno;</w:t>
      </w:r>
    </w:p>
    <w:p w14:paraId="16626BD8" w14:textId="77777777" w:rsidR="004731D7" w:rsidRDefault="004731D7" w:rsidP="004731D7">
      <w:pPr>
        <w:numPr>
          <w:ilvl w:val="0"/>
          <w:numId w:val="1"/>
        </w:numPr>
        <w:spacing w:after="280" w:line="240" w:lineRule="auto"/>
        <w:ind w:left="714" w:hanging="357"/>
        <w:contextualSpacing/>
        <w:jc w:val="both"/>
        <w:rPr>
          <w:rFonts w:ascii="Times New Roman" w:eastAsia="Times New Roman" w:hAnsi="Times New Roman" w:cs="Times New Roman"/>
        </w:rPr>
      </w:pPr>
      <w:r>
        <w:rPr>
          <w:rFonts w:ascii="Times New Roman" w:eastAsia="Times New Roman" w:hAnsi="Times New Roman" w:cs="Times New Roman"/>
          <w:b/>
          <w:bCs/>
        </w:rPr>
        <w:t>Costruzione delle variabili analitiche</w:t>
      </w:r>
      <w:r>
        <w:rPr>
          <w:rFonts w:ascii="Times New Roman" w:eastAsia="Times New Roman" w:hAnsi="Times New Roman" w:cs="Times New Roman"/>
        </w:rPr>
        <w:t>, attraverso operazioni di ricodifica, aggregazione e predisposizione delle variabili necessarie alle successive analisi descrittive e relazionali.</w:t>
      </w:r>
    </w:p>
    <w:p w14:paraId="58D00507" w14:textId="77777777" w:rsidR="004731D7" w:rsidRDefault="004731D7" w:rsidP="004731D7">
      <w:pPr>
        <w:spacing w:before="280" w:after="280" w:line="240" w:lineRule="auto"/>
        <w:jc w:val="both"/>
        <w:rPr>
          <w:rFonts w:ascii="Times New Roman" w:eastAsia="Times New Roman" w:hAnsi="Times New Roman" w:cs="Times New Roman"/>
          <w:b/>
          <w:bCs/>
          <w:color w:val="FF0000"/>
        </w:rPr>
      </w:pPr>
    </w:p>
    <w:p w14:paraId="3F5DB9EE" w14:textId="77777777" w:rsidR="004731D7" w:rsidRDefault="004731D7" w:rsidP="004731D7">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rPr>
        <w:t>Il dataset così ottenuto costituisce la base informativa per le successive analisi statistiche finalizzate alla stima della spesa turistica e all’analisi dei comportamenti di viaggio.</w:t>
      </w:r>
    </w:p>
    <w:p w14:paraId="09B2B7E1" w14:textId="77777777" w:rsidR="004731D7" w:rsidRDefault="004731D7" w:rsidP="004731D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1.4.1 Trattamento dei valori estremi</w:t>
      </w:r>
    </w:p>
    <w:p w14:paraId="2844F31A" w14:textId="77777777" w:rsidR="004731D7" w:rsidRDefault="004731D7" w:rsidP="004731D7">
      <w:pPr>
        <w:spacing w:after="0" w:line="240" w:lineRule="auto"/>
        <w:jc w:val="both"/>
        <w:rPr>
          <w:rFonts w:ascii="Times New Roman" w:eastAsia="Times New Roman" w:hAnsi="Times New Roman" w:cs="Times New Roman"/>
        </w:rPr>
      </w:pPr>
    </w:p>
    <w:p w14:paraId="782F0768" w14:textId="77777777" w:rsidR="004731D7" w:rsidRDefault="004731D7" w:rsidP="004731D7">
      <w:pPr>
        <w:spacing w:after="240"/>
        <w:jc w:val="both"/>
        <w:rPr>
          <w:rFonts w:ascii="Times New Roman" w:eastAsia="Times New Roman" w:hAnsi="Times New Roman" w:cs="Times New Roman"/>
        </w:rPr>
      </w:pPr>
      <w:r>
        <w:rPr>
          <w:rFonts w:ascii="Times New Roman" w:eastAsia="Times New Roman" w:hAnsi="Times New Roman" w:cs="Times New Roman"/>
        </w:rPr>
        <w:t xml:space="preserve">Il dataset viene sottoposto a una fase di controllo finalizzata all’individuazione e al trattamento dei </w:t>
      </w:r>
      <w:r>
        <w:rPr>
          <w:rFonts w:ascii="Times New Roman" w:eastAsia="Times New Roman" w:hAnsi="Times New Roman" w:cs="Times New Roman"/>
          <w:b/>
          <w:bCs/>
        </w:rPr>
        <w:t xml:space="preserve">valori estremi </w:t>
      </w:r>
      <w:r>
        <w:rPr>
          <w:rFonts w:ascii="Times New Roman" w:eastAsia="Times New Roman" w:hAnsi="Times New Roman" w:cs="Times New Roman"/>
        </w:rPr>
        <w:t xml:space="preserve">nelle variabili di </w:t>
      </w:r>
      <w:r>
        <w:rPr>
          <w:rFonts w:ascii="Times New Roman" w:eastAsia="Times New Roman" w:hAnsi="Times New Roman" w:cs="Times New Roman"/>
          <w:b/>
          <w:bCs/>
        </w:rPr>
        <w:t>spesa pro capite giornaliera</w:t>
      </w:r>
    </w:p>
    <w:p w14:paraId="3F3C0E40" w14:textId="77777777" w:rsidR="004731D7" w:rsidRDefault="004731D7" w:rsidP="004731D7">
      <w:pPr>
        <w:spacing w:after="240"/>
        <w:jc w:val="both"/>
        <w:rPr>
          <w:rFonts w:ascii="Times New Roman" w:eastAsia="Times New Roman" w:hAnsi="Times New Roman" w:cs="Times New Roman"/>
        </w:rPr>
      </w:pPr>
      <w:r>
        <w:rPr>
          <w:rFonts w:ascii="Times New Roman" w:eastAsia="Times New Roman" w:hAnsi="Times New Roman" w:cs="Times New Roman"/>
        </w:rPr>
        <w:t>A tal fine, per ciascuna componente di spesa (trasporto da e per la Sardegna; trasporto interno, alloggio, alimentazione, esercizi pubblici di ristorazione, souvenir, altri servizi turistici – intrattenimento, escursioni, noleggi, ecc.) sono definiti limiti inferiori e superiori sulla base della distribuzione empirica delle osservazioni.</w:t>
      </w:r>
    </w:p>
    <w:p w14:paraId="7DFB959F" w14:textId="77777777" w:rsidR="004731D7" w:rsidRDefault="004731D7" w:rsidP="004731D7">
      <w:pPr>
        <w:spacing w:after="240"/>
        <w:jc w:val="both"/>
        <w:rPr>
          <w:rFonts w:ascii="Times New Roman" w:eastAsia="Times New Roman" w:hAnsi="Times New Roman" w:cs="Times New Roman"/>
        </w:rPr>
      </w:pPr>
      <w:r>
        <w:rPr>
          <w:rFonts w:ascii="Times New Roman" w:eastAsia="Times New Roman" w:hAnsi="Times New Roman" w:cs="Times New Roman"/>
        </w:rPr>
        <w:t xml:space="preserve">In particolare, </w:t>
      </w:r>
      <w:r>
        <w:rPr>
          <w:rFonts w:ascii="Times New Roman" w:eastAsia="Times New Roman" w:hAnsi="Times New Roman" w:cs="Times New Roman"/>
          <w:b/>
          <w:bCs/>
        </w:rPr>
        <w:t>i limiti sono individuati utilizzando il 5° e il 95° percentile della distribuzione delle variabili di spesa.</w:t>
      </w:r>
      <w:r>
        <w:rPr>
          <w:rFonts w:ascii="Times New Roman" w:eastAsia="Times New Roman" w:hAnsi="Times New Roman" w:cs="Times New Roman"/>
        </w:rPr>
        <w:t xml:space="preserve"> Il calcolo dei percentili è effettuato all’interno di gruppi omogenei di viaggio, definiti in funzione della provenienza del viaggiatore e della motivazione principale del viaggio, al fine di tenere conto delle differenze nei livelli di spesa tra diverse tipologie di viaggiatori e di viaggio.</w:t>
      </w:r>
    </w:p>
    <w:p w14:paraId="37A7F5F0" w14:textId="77777777" w:rsidR="004731D7" w:rsidRPr="00650717" w:rsidRDefault="004731D7" w:rsidP="004731D7">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Le osservazioni che ricadono al di fuori dell’intervallo definito dai valori soglia sono sottoposte a una </w:t>
      </w:r>
      <w:r>
        <w:rPr>
          <w:rFonts w:ascii="Times New Roman" w:eastAsia="Times New Roman" w:hAnsi="Times New Roman" w:cs="Times New Roman"/>
          <w:b/>
          <w:bCs/>
        </w:rPr>
        <w:t>verifica di plausibilità</w:t>
      </w:r>
      <w:r>
        <w:rPr>
          <w:rFonts w:ascii="Times New Roman" w:eastAsia="Times New Roman" w:hAnsi="Times New Roman" w:cs="Times New Roman"/>
        </w:rPr>
        <w:t xml:space="preserve"> sulla base delle informazioni disponibili relative al viaggiatore e alle caratteristiche del viaggio. Tali valori possono infatti derivare da errori di compilazione o di interpretazione del questionario, oppure rappresentare livelli di spesa effettivamente molto elevati o </w:t>
      </w:r>
      <w:r>
        <w:rPr>
          <w:rFonts w:ascii="Times New Roman" w:eastAsia="Times New Roman" w:hAnsi="Times New Roman" w:cs="Times New Roman"/>
        </w:rPr>
        <w:lastRenderedPageBreak/>
        <w:t xml:space="preserve">molto ridotti ma plausibili. Le osservazioni ritenute </w:t>
      </w:r>
      <w:r>
        <w:rPr>
          <w:rFonts w:ascii="Times New Roman" w:eastAsia="Times New Roman" w:hAnsi="Times New Roman" w:cs="Times New Roman"/>
          <w:b/>
          <w:bCs/>
        </w:rPr>
        <w:t xml:space="preserve">plausibili </w:t>
      </w:r>
      <w:r>
        <w:rPr>
          <w:rFonts w:ascii="Times New Roman" w:eastAsia="Times New Roman" w:hAnsi="Times New Roman" w:cs="Times New Roman"/>
        </w:rPr>
        <w:t xml:space="preserve">sono mantenute nel dataset, mentre quelle giudicate </w:t>
      </w:r>
      <w:r>
        <w:rPr>
          <w:rFonts w:ascii="Times New Roman" w:eastAsia="Times New Roman" w:hAnsi="Times New Roman" w:cs="Times New Roman"/>
          <w:b/>
          <w:bCs/>
        </w:rPr>
        <w:t>non plausibili</w:t>
      </w:r>
      <w:r>
        <w:rPr>
          <w:rFonts w:ascii="Times New Roman" w:eastAsia="Times New Roman" w:hAnsi="Times New Roman" w:cs="Times New Roman"/>
        </w:rPr>
        <w:t xml:space="preserve"> sono ricondotte ai corrispondenti valori soglia.</w:t>
      </w:r>
    </w:p>
    <w:p w14:paraId="4192D7B9" w14:textId="77777777" w:rsidR="004731D7" w:rsidRDefault="004731D7" w:rsidP="004731D7">
      <w:pPr>
        <w:spacing w:after="0" w:line="276" w:lineRule="auto"/>
        <w:jc w:val="both"/>
        <w:rPr>
          <w:rFonts w:ascii="Times New Roman" w:eastAsia="Times New Roman" w:hAnsi="Times New Roman" w:cs="Times New Roman"/>
          <w:b/>
          <w:bCs/>
        </w:rPr>
      </w:pPr>
      <w:r>
        <w:rPr>
          <w:rFonts w:ascii="Times New Roman" w:eastAsia="Times New Roman" w:hAnsi="Times New Roman" w:cs="Times New Roman"/>
          <w:b/>
          <w:bCs/>
        </w:rPr>
        <w:t>1.5 Procedure di analisi dei dati</w:t>
      </w:r>
    </w:p>
    <w:p w14:paraId="396A9E63" w14:textId="77777777" w:rsidR="004731D7" w:rsidRDefault="004731D7" w:rsidP="004731D7">
      <w:pPr>
        <w:spacing w:after="0" w:line="276" w:lineRule="auto"/>
        <w:jc w:val="both"/>
        <w:rPr>
          <w:rFonts w:ascii="Times New Roman" w:eastAsia="Times New Roman" w:hAnsi="Times New Roman" w:cs="Times New Roman"/>
          <w:b/>
          <w:bCs/>
        </w:rPr>
      </w:pPr>
    </w:p>
    <w:p w14:paraId="4A4B0F0F" w14:textId="77777777" w:rsidR="004731D7" w:rsidRDefault="004731D7" w:rsidP="004731D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Una volta completate le fasi di raccolta e trattamento dei dati, il dataset viene sottoposto a un processo di </w:t>
      </w:r>
      <w:r w:rsidRPr="00650717">
        <w:rPr>
          <w:rFonts w:ascii="Times New Roman" w:eastAsia="Times New Roman" w:hAnsi="Times New Roman" w:cs="Times New Roman"/>
          <w:bCs/>
        </w:rPr>
        <w:t xml:space="preserve">segmentazione del campione mediante costruzione di sotto-campioni </w:t>
      </w:r>
      <w:r w:rsidRPr="00E40FA3">
        <w:rPr>
          <w:rFonts w:ascii="Times New Roman" w:eastAsia="Times New Roman" w:hAnsi="Times New Roman" w:cs="Times New Roman"/>
          <w:bCs/>
        </w:rPr>
        <w:t>analitici</w:t>
      </w:r>
      <w:r w:rsidRPr="00E40FA3">
        <w:rPr>
          <w:rFonts w:ascii="Times New Roman" w:eastAsia="Times New Roman" w:hAnsi="Times New Roman" w:cs="Times New Roman"/>
        </w:rPr>
        <w:t xml:space="preserve"> finalizzato </w:t>
      </w:r>
      <w:r>
        <w:rPr>
          <w:rFonts w:ascii="Times New Roman" w:eastAsia="Times New Roman" w:hAnsi="Times New Roman" w:cs="Times New Roman"/>
        </w:rPr>
        <w:t>alla definizione di gruppi di osservazioni omogenei rispetto ad alcune variabili chiave della domanda turistica. In particolare, l’analisi considera le seguenti dimensioni di segmentazione: provenienza geografica dei visitatori, motivazioni di viaggio e durata della permanenza.</w:t>
      </w:r>
      <w:r>
        <w:rPr>
          <w:rFonts w:ascii="Times New Roman" w:eastAsia="Times New Roman" w:hAnsi="Times New Roman" w:cs="Times New Roman"/>
          <w:b/>
          <w:bCs/>
        </w:rPr>
        <w:t xml:space="preserve"> </w:t>
      </w:r>
      <w:r w:rsidRPr="00650717">
        <w:rPr>
          <w:rFonts w:ascii="Times New Roman" w:eastAsia="Times New Roman" w:hAnsi="Times New Roman" w:cs="Times New Roman"/>
        </w:rPr>
        <w:t xml:space="preserve">La costruzione di </w:t>
      </w:r>
      <w:r w:rsidRPr="00650717">
        <w:rPr>
          <w:rFonts w:ascii="Times New Roman" w:eastAsia="Times New Roman" w:hAnsi="Times New Roman" w:cs="Times New Roman"/>
          <w:bCs/>
        </w:rPr>
        <w:t>sotto-campioni analitici</w:t>
      </w:r>
      <w:r>
        <w:rPr>
          <w:rFonts w:ascii="Times New Roman" w:eastAsia="Times New Roman" w:hAnsi="Times New Roman" w:cs="Times New Roman"/>
        </w:rPr>
        <w:t xml:space="preserve"> consente di facilitare il confronto tra diversi segmenti della domanda turistica, riducendo l’effetto di eventuali squilibri nella numerosità dei gruppi osservati. A tal fine, all’interno di ciascun gruppo definito dalle variabili di segmentazione, vengono selezionate osservazioni in modo da ottenere sotto-campioni numericamente bilanciati e comparabili tra loro.</w:t>
      </w:r>
    </w:p>
    <w:p w14:paraId="3C8D9D26" w14:textId="77777777" w:rsidR="004731D7" w:rsidRDefault="004731D7" w:rsidP="004731D7">
      <w:pPr>
        <w:spacing w:after="0" w:line="276" w:lineRule="auto"/>
        <w:jc w:val="both"/>
        <w:rPr>
          <w:rFonts w:ascii="Times New Roman" w:eastAsia="Times New Roman" w:hAnsi="Times New Roman" w:cs="Times New Roman"/>
        </w:rPr>
      </w:pPr>
    </w:p>
    <w:p w14:paraId="1FD28775" w14:textId="77777777" w:rsidR="004731D7" w:rsidRDefault="004731D7" w:rsidP="004731D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Una volta definita la struttura dei sotto-campioni analitici, si procede con il </w:t>
      </w:r>
      <w:r>
        <w:rPr>
          <w:rFonts w:ascii="Times New Roman" w:eastAsia="Times New Roman" w:hAnsi="Times New Roman" w:cs="Times New Roman"/>
          <w:b/>
          <w:bCs/>
        </w:rPr>
        <w:t>calcolo dei principali indicatori di spesa turistica</w:t>
      </w:r>
      <w:r w:rsidRPr="00826545">
        <w:rPr>
          <w:rFonts w:ascii="Times New Roman" w:eastAsia="Times New Roman" w:hAnsi="Times New Roman" w:cs="Times New Roman"/>
          <w:b/>
          <w:bCs/>
          <w:color w:val="FF0000"/>
        </w:rPr>
        <w:t xml:space="preserve"> </w:t>
      </w:r>
      <w:r w:rsidRPr="008A0FA8">
        <w:rPr>
          <w:rFonts w:ascii="Times New Roman" w:eastAsia="Times New Roman" w:hAnsi="Times New Roman" w:cs="Times New Roman"/>
          <w:b/>
          <w:bCs/>
        </w:rPr>
        <w:t>(1.5.1)</w:t>
      </w:r>
      <w:r w:rsidRPr="008A0FA8">
        <w:rPr>
          <w:rFonts w:ascii="Times New Roman" w:eastAsia="Times New Roman" w:hAnsi="Times New Roman" w:cs="Times New Roman"/>
        </w:rPr>
        <w:t xml:space="preserve">, </w:t>
      </w:r>
      <w:r>
        <w:rPr>
          <w:rFonts w:ascii="Times New Roman" w:eastAsia="Times New Roman" w:hAnsi="Times New Roman" w:cs="Times New Roman"/>
        </w:rPr>
        <w:t>tra cui la spesa turistica pro capite per soggiorno (STP) e la spesa turistica pro capite giornaliera (STPG), oltre alla distribuzione della spesa tra le diverse categorie di consumo turistico (trasporto da e per la Sardegna; trasporto interno, alloggio, alimentazione, esercizi pubblici di ristorazione, souvenir, altri servizi turistici – intrattenimento, escursioni, noleggi, ecc.)</w:t>
      </w:r>
    </w:p>
    <w:p w14:paraId="6AA3665F" w14:textId="77777777" w:rsidR="004731D7" w:rsidRDefault="004731D7" w:rsidP="004731D7">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rPr>
        <w:t>Le analisi successive prevedono l’elaborazione di statistiche descrittive e il confronto tra i diversi segmenti della domanda, con l’obiettivo di individuare eventuali differenze nei livelli e nella composizione della spesa turistica in relazione alle caratteristiche del viaggio e dei visitatori.</w:t>
      </w:r>
    </w:p>
    <w:p w14:paraId="199B46AC" w14:textId="77777777" w:rsidR="004731D7" w:rsidRPr="008A0FA8" w:rsidRDefault="004731D7" w:rsidP="004731D7">
      <w:pPr>
        <w:spacing w:before="240" w:after="0"/>
        <w:jc w:val="both"/>
        <w:rPr>
          <w:rFonts w:ascii="Times New Roman" w:eastAsia="Times New Roman" w:hAnsi="Times New Roman" w:cs="Times New Roman"/>
          <w:b/>
          <w:bCs/>
        </w:rPr>
      </w:pPr>
      <w:r w:rsidRPr="008A0FA8">
        <w:rPr>
          <w:rFonts w:ascii="Times New Roman" w:eastAsia="Times New Roman" w:hAnsi="Times New Roman" w:cs="Times New Roman"/>
          <w:b/>
          <w:bCs/>
        </w:rPr>
        <w:t>1.5.1 Calcolo degli indicatori di spesa</w:t>
      </w:r>
    </w:p>
    <w:p w14:paraId="74F2E722" w14:textId="77777777" w:rsidR="004731D7" w:rsidRDefault="004731D7" w:rsidP="004731D7">
      <w:pPr>
        <w:spacing w:before="240" w:after="0"/>
        <w:jc w:val="both"/>
        <w:rPr>
          <w:rFonts w:ascii="Times New Roman" w:eastAsia="Times New Roman" w:hAnsi="Times New Roman" w:cs="Times New Roman"/>
          <w:b/>
          <w:bCs/>
        </w:rPr>
      </w:pPr>
      <w:r>
        <w:rPr>
          <w:rFonts w:ascii="Times New Roman" w:eastAsia="Times New Roman" w:hAnsi="Times New Roman" w:cs="Times New Roman"/>
        </w:rPr>
        <w:t>Le principali variabili quantitative rilevate attraverso i questionari riguardano la spesa turistica, articolata nelle seguenti categorie: trasporto (da e per la Sardegna); trasporti interni; alloggio; alimentazione; ristorazione; altri servizi turistici. A queste si aggiunge la spesa complessiva sostenuta per eventuali pacchetti turistici.</w:t>
      </w:r>
    </w:p>
    <w:p w14:paraId="2599FB77" w14:textId="77777777" w:rsidR="004731D7" w:rsidRDefault="004731D7" w:rsidP="004731D7">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rPr>
        <w:t xml:space="preserve">Il calcolo degli indicatori di spesa rappresenta il nucleo quantitativo dell’analisi e si basa su due principali misure: la </w:t>
      </w:r>
      <w:r>
        <w:rPr>
          <w:rFonts w:ascii="Times New Roman" w:eastAsia="Times New Roman" w:hAnsi="Times New Roman" w:cs="Times New Roman"/>
          <w:b/>
          <w:bCs/>
        </w:rPr>
        <w:t>spesa turistica pro capite per soggiorno (STP)</w:t>
      </w:r>
      <w:r>
        <w:rPr>
          <w:rFonts w:ascii="Times New Roman" w:eastAsia="Times New Roman" w:hAnsi="Times New Roman" w:cs="Times New Roman"/>
        </w:rPr>
        <w:t xml:space="preserve"> e la </w:t>
      </w:r>
      <w:r>
        <w:rPr>
          <w:rFonts w:ascii="Times New Roman" w:eastAsia="Times New Roman" w:hAnsi="Times New Roman" w:cs="Times New Roman"/>
          <w:b/>
          <w:bCs/>
        </w:rPr>
        <w:t>spesa turistica pro capite giornaliera (STPG)</w:t>
      </w:r>
      <w:r>
        <w:rPr>
          <w:rFonts w:ascii="Times New Roman" w:eastAsia="Times New Roman" w:hAnsi="Times New Roman" w:cs="Times New Roman"/>
        </w:rPr>
        <w:t>.</w:t>
      </w:r>
    </w:p>
    <w:p w14:paraId="1F50BE4D" w14:textId="77777777" w:rsidR="004731D7" w:rsidRDefault="004731D7" w:rsidP="004731D7">
      <w:pPr>
        <w:spacing w:before="280" w:after="280" w:line="24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L’unità statistica di riferimento è il </w:t>
      </w:r>
      <w:r>
        <w:rPr>
          <w:rFonts w:ascii="Times New Roman" w:eastAsia="Times New Roman" w:hAnsi="Times New Roman" w:cs="Times New Roman"/>
          <w:b/>
          <w:bCs/>
          <w:highlight w:val="white"/>
        </w:rPr>
        <w:t>nucleo turistico</w:t>
      </w:r>
      <w:r>
        <w:rPr>
          <w:rFonts w:ascii="Times New Roman" w:eastAsia="Times New Roman" w:hAnsi="Times New Roman" w:cs="Times New Roman"/>
          <w:highlight w:val="white"/>
        </w:rPr>
        <w:t xml:space="preserve">, definito come il gruppo di viaggio composto da uno o più individui che condividono spese e pernottamenti durante il soggiorno. Le informazioni relative alla spesa sono inizialmente rilevate a livello di gruppo di viaggio e successivamente trasformate in valori </w:t>
      </w:r>
      <w:r>
        <w:rPr>
          <w:rFonts w:ascii="Times New Roman" w:eastAsia="Times New Roman" w:hAnsi="Times New Roman" w:cs="Times New Roman"/>
          <w:b/>
          <w:bCs/>
          <w:highlight w:val="white"/>
        </w:rPr>
        <w:t>pro capite equivalenti</w:t>
      </w:r>
      <w:r>
        <w:rPr>
          <w:rFonts w:ascii="Times New Roman" w:eastAsia="Times New Roman" w:hAnsi="Times New Roman" w:cs="Times New Roman"/>
          <w:highlight w:val="white"/>
        </w:rPr>
        <w:t>, mediante la normalizzazione rispetto al numero di componenti del nucleo turistico. Tale procedura consente di ottenere indicatori di spesa comparabili tra gruppi di viaggio di diversa dimensione. Questa impostazione è coerente con l’approccio adottato nell’Indagine alle frontiere sul turismo internazionale realizzata da Banca d’Italia, nella quale la spesa turistica è rilevata a livello del singolo viaggiatore.</w:t>
      </w:r>
    </w:p>
    <w:p w14:paraId="77A1610B" w14:textId="77777777" w:rsidR="004731D7" w:rsidRDefault="004731D7" w:rsidP="004731D7">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rPr>
        <w:t xml:space="preserve">In linea con la metodologia adottata da Banca d’Italia, nel calcolo della spesa turistica pro capite e giornaliera sono incluse le spese sostenute all’interno della destinazione visitata (trasporto interno, </w:t>
      </w:r>
      <w:r>
        <w:rPr>
          <w:rFonts w:ascii="Times New Roman" w:eastAsia="Times New Roman" w:hAnsi="Times New Roman" w:cs="Times New Roman"/>
        </w:rPr>
        <w:lastRenderedPageBreak/>
        <w:t>alloggio, alimentazione, esercizi pubblici di ristorazione, souvenir, altri servizi turistici – intrattenimento, escursioni, noleggi, ecc.), mentre le spese di trasporto da e per la Sardegna sono contabilizzate separatamente.</w:t>
      </w:r>
    </w:p>
    <w:p w14:paraId="0514D15F" w14:textId="77777777" w:rsidR="004731D7" w:rsidRDefault="004731D7" w:rsidP="004731D7">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rPr>
        <w:t xml:space="preserve">Nel caso in cui il soggiorno sia stato acquistato in forma di </w:t>
      </w:r>
      <w:r>
        <w:rPr>
          <w:rFonts w:ascii="Times New Roman" w:eastAsia="Times New Roman" w:hAnsi="Times New Roman" w:cs="Times New Roman"/>
          <w:b/>
          <w:bCs/>
        </w:rPr>
        <w:t>pacchetto turistico tutto incluso</w:t>
      </w:r>
      <w:r>
        <w:rPr>
          <w:rFonts w:ascii="Times New Roman" w:eastAsia="Times New Roman" w:hAnsi="Times New Roman" w:cs="Times New Roman"/>
        </w:rPr>
        <w:t>, la spesa complessiva del pacchetto viene registrata come voce unitaria, senza disaggregazione per componente. In questi casi, la spesa turistica corrisponde al valore dichiarato del pacchetto, al quale si aggiungono le eventuali spese aggiuntive sostenute in loco e non comprese nel pacchetto stesso.</w:t>
      </w:r>
    </w:p>
    <w:p w14:paraId="0AB0CC0F" w14:textId="77777777" w:rsidR="004731D7" w:rsidRDefault="004731D7" w:rsidP="004731D7">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rPr>
        <w:t xml:space="preserve">La </w:t>
      </w:r>
      <w:r>
        <w:rPr>
          <w:rFonts w:ascii="Times New Roman" w:eastAsia="Times New Roman" w:hAnsi="Times New Roman" w:cs="Times New Roman"/>
          <w:b/>
          <w:bCs/>
        </w:rPr>
        <w:t>spesa turistica pro capite (STP)</w:t>
      </w:r>
      <w:r>
        <w:rPr>
          <w:rFonts w:ascii="Times New Roman" w:eastAsia="Times New Roman" w:hAnsi="Times New Roman" w:cs="Times New Roman"/>
        </w:rPr>
        <w:t xml:space="preserve"> e la </w:t>
      </w:r>
      <w:r>
        <w:rPr>
          <w:rFonts w:ascii="Times New Roman" w:eastAsia="Times New Roman" w:hAnsi="Times New Roman" w:cs="Times New Roman"/>
          <w:b/>
          <w:bCs/>
        </w:rPr>
        <w:t>spesa turistica pro capite giornaliera (STPG)</w:t>
      </w:r>
      <w:r>
        <w:rPr>
          <w:rFonts w:ascii="Times New Roman" w:eastAsia="Times New Roman" w:hAnsi="Times New Roman" w:cs="Times New Roman"/>
        </w:rPr>
        <w:t xml:space="preserve"> sono calcolate mediante le seguenti formule:</w:t>
      </w:r>
    </w:p>
    <w:p w14:paraId="3B9104CF" w14:textId="77777777" w:rsidR="004731D7" w:rsidRDefault="004731D7" w:rsidP="004731D7">
      <w:pPr>
        <w:spacing w:before="280" w:after="280" w:line="240" w:lineRule="auto"/>
        <w:jc w:val="both"/>
        <w:rPr>
          <w:rFonts w:ascii="Times New Roman" w:eastAsia="Times New Roman" w:hAnsi="Times New Roman" w:cs="Times New Roman"/>
        </w:rPr>
      </w:pPr>
      <w:sdt>
        <w:sdtPr>
          <w:tag w:val="goog_rdk_0"/>
          <w:id w:val="131293948"/>
        </w:sdtPr>
        <w:sdtContent>
          <w:r>
            <w:rPr>
              <w:rFonts w:ascii="Gungsuh" w:eastAsia="Gungsuh" w:hAnsi="Gungsuh" w:cs="Gungsuh"/>
            </w:rPr>
            <w:t>STP = (∑ spesa) / (∑ componenti)</w:t>
          </w:r>
        </w:sdtContent>
      </w:sdt>
    </w:p>
    <w:p w14:paraId="45725D3A" w14:textId="77777777" w:rsidR="004731D7" w:rsidRDefault="004731D7" w:rsidP="004731D7">
      <w:pPr>
        <w:spacing w:before="280" w:after="280" w:line="240" w:lineRule="auto"/>
        <w:jc w:val="both"/>
        <w:rPr>
          <w:rFonts w:ascii="Times New Roman" w:eastAsia="Times New Roman" w:hAnsi="Times New Roman" w:cs="Times New Roman"/>
        </w:rPr>
      </w:pPr>
      <w:sdt>
        <w:sdtPr>
          <w:tag w:val="goog_rdk_1"/>
          <w:id w:val="-1240166913"/>
        </w:sdtPr>
        <w:sdtContent>
          <w:r>
            <w:rPr>
              <w:rFonts w:ascii="Gungsuh" w:eastAsia="Gungsuh" w:hAnsi="Gungsuh" w:cs="Gungsuh"/>
            </w:rPr>
            <w:t>STPG = (∑ spesa) / (∑ presenze)</w:t>
          </w:r>
        </w:sdtContent>
      </w:sdt>
    </w:p>
    <w:p w14:paraId="4F6F66B7" w14:textId="77777777" w:rsidR="004731D7" w:rsidRDefault="004731D7" w:rsidP="004731D7">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rPr>
        <w:t xml:space="preserve">Le </w:t>
      </w:r>
      <w:r>
        <w:rPr>
          <w:rFonts w:ascii="Times New Roman" w:eastAsia="Times New Roman" w:hAnsi="Times New Roman" w:cs="Times New Roman"/>
          <w:b/>
          <w:bCs/>
        </w:rPr>
        <w:t>presenze turistiche</w:t>
      </w:r>
      <w:r>
        <w:rPr>
          <w:rFonts w:ascii="Times New Roman" w:eastAsia="Times New Roman" w:hAnsi="Times New Roman" w:cs="Times New Roman"/>
        </w:rPr>
        <w:t xml:space="preserve"> sono calcolate come il numero complessivo di pernottamenti generati dal gruppo di viaggio durante il soggiorno. Operativamente, esse corrispondono al prodotto tra il numero di componenti del nucleo turistico e la durata del soggiorno espressa in notti:</w:t>
      </w:r>
    </w:p>
    <w:p w14:paraId="7FC462DA" w14:textId="77777777" w:rsidR="004731D7" w:rsidRDefault="004731D7" w:rsidP="004731D7">
      <w:pPr>
        <w:spacing w:before="280" w:after="280" w:line="240" w:lineRule="auto"/>
        <w:jc w:val="both"/>
        <w:rPr>
          <w:rFonts w:ascii="Times New Roman" w:eastAsia="Times New Roman" w:hAnsi="Times New Roman" w:cs="Times New Roman"/>
        </w:rPr>
      </w:pPr>
      <w:sdt>
        <w:sdtPr>
          <w:tag w:val="goog_rdk_2"/>
          <w:id w:val="-764529242"/>
        </w:sdtPr>
        <w:sdtContent>
          <w:r>
            <w:rPr>
              <w:rFonts w:ascii="Gungsuh" w:eastAsia="Gungsuh" w:hAnsi="Gungsuh" w:cs="Gungsuh"/>
            </w:rPr>
            <w:t>presenze = ∑ (componenti × durata del soggiorno)</w:t>
          </w:r>
        </w:sdtContent>
      </w:sdt>
    </w:p>
    <w:p w14:paraId="2C114660" w14:textId="77777777" w:rsidR="004731D7" w:rsidRDefault="004731D7" w:rsidP="004731D7">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rPr>
        <w:t>Tali formule sono applicate sia alla spesa complessiva sia alle singole voci di spesa (trasporto, alloggio, ristorazione, alimentari, souvenir, altre spese).</w:t>
      </w:r>
    </w:p>
    <w:p w14:paraId="2DC58A0C" w14:textId="77777777" w:rsidR="004731D7" w:rsidRDefault="004731D7" w:rsidP="004731D7">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rPr>
        <w:t xml:space="preserve">La </w:t>
      </w:r>
      <w:r>
        <w:rPr>
          <w:rFonts w:ascii="Times New Roman" w:eastAsia="Times New Roman" w:hAnsi="Times New Roman" w:cs="Times New Roman"/>
          <w:b/>
          <w:bCs/>
        </w:rPr>
        <w:t>STPG</w:t>
      </w:r>
      <w:r>
        <w:rPr>
          <w:rFonts w:ascii="Times New Roman" w:eastAsia="Times New Roman" w:hAnsi="Times New Roman" w:cs="Times New Roman"/>
        </w:rPr>
        <w:t xml:space="preserve"> rappresenta l’indicatore principale utilizzato per i confronti tra i diversi segmenti della domanda turistica, poiché consente di normalizzare la spesa rispetto sia alla dimensione del gruppo di viaggio sia alla durata del soggiorno, permettendo comparazioni omogenee tra turisti con caratteristiche differenti.</w:t>
      </w:r>
    </w:p>
    <w:p w14:paraId="0E4DB88B" w14:textId="77777777" w:rsidR="004731D7" w:rsidRDefault="004731D7" w:rsidP="004731D7">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rPr>
        <w:t xml:space="preserve">Per la </w:t>
      </w:r>
      <w:r>
        <w:rPr>
          <w:rFonts w:ascii="Times New Roman" w:eastAsia="Times New Roman" w:hAnsi="Times New Roman" w:cs="Times New Roman"/>
          <w:b/>
          <w:bCs/>
        </w:rPr>
        <w:t>Rilevazione A</w:t>
      </w:r>
      <w:r>
        <w:rPr>
          <w:rFonts w:ascii="Times New Roman" w:eastAsia="Times New Roman" w:hAnsi="Times New Roman" w:cs="Times New Roman"/>
        </w:rPr>
        <w:t>, gli indicatori STP e STPG vengono disaggregati per provenienza geografica (italiani / stranieri; principali mercati esteri e regioni italiane), motivazione principale e secondaria del viaggio, tipologia di alloggio e fascia di durata del soggiorno.</w:t>
      </w:r>
      <w:r w:rsidRPr="008A0FA8">
        <w:t xml:space="preserve"> </w:t>
      </w:r>
      <w:r w:rsidRPr="008A0FA8">
        <w:rPr>
          <w:rFonts w:ascii="Times New Roman" w:eastAsia="Times New Roman" w:hAnsi="Times New Roman" w:cs="Times New Roman"/>
        </w:rPr>
        <w:t xml:space="preserve">I principali </w:t>
      </w:r>
      <w:r>
        <w:rPr>
          <w:rFonts w:ascii="Times New Roman" w:eastAsia="Times New Roman" w:hAnsi="Times New Roman" w:cs="Times New Roman"/>
        </w:rPr>
        <w:t>mercati</w:t>
      </w:r>
      <w:r w:rsidRPr="008A0FA8">
        <w:rPr>
          <w:rFonts w:ascii="Times New Roman" w:eastAsia="Times New Roman" w:hAnsi="Times New Roman" w:cs="Times New Roman"/>
        </w:rPr>
        <w:t xml:space="preserve"> esteri e le principali regioni italiane di provenienza sono individuati sulla base dei dati ufficiali sulle presenze turistic</w:t>
      </w:r>
      <w:r>
        <w:rPr>
          <w:rFonts w:ascii="Times New Roman" w:eastAsia="Times New Roman" w:hAnsi="Times New Roman" w:cs="Times New Roman"/>
        </w:rPr>
        <w:t>he</w:t>
      </w:r>
      <w:r w:rsidRPr="008A0FA8">
        <w:rPr>
          <w:rFonts w:ascii="Times New Roman" w:eastAsia="Times New Roman" w:hAnsi="Times New Roman" w:cs="Times New Roman"/>
        </w:rPr>
        <w:t xml:space="preserve"> registrat</w:t>
      </w:r>
      <w:r>
        <w:rPr>
          <w:rFonts w:ascii="Times New Roman" w:eastAsia="Times New Roman" w:hAnsi="Times New Roman" w:cs="Times New Roman"/>
        </w:rPr>
        <w:t>e</w:t>
      </w:r>
      <w:r w:rsidRPr="008A0FA8">
        <w:rPr>
          <w:rFonts w:ascii="Times New Roman" w:eastAsia="Times New Roman" w:hAnsi="Times New Roman" w:cs="Times New Roman"/>
        </w:rPr>
        <w:t xml:space="preserve"> nell’anno precedente dall</w:t>
      </w:r>
      <w:r>
        <w:rPr>
          <w:rFonts w:ascii="Times New Roman" w:eastAsia="Times New Roman" w:hAnsi="Times New Roman" w:cs="Times New Roman"/>
        </w:rPr>
        <w:t>a</w:t>
      </w:r>
      <w:r w:rsidRPr="008A0FA8">
        <w:rPr>
          <w:rFonts w:ascii="Times New Roman" w:eastAsia="Times New Roman" w:hAnsi="Times New Roman" w:cs="Times New Roman"/>
        </w:rPr>
        <w:t xml:space="preserve"> </w:t>
      </w:r>
      <w:r>
        <w:rPr>
          <w:rFonts w:ascii="Times New Roman" w:eastAsia="Times New Roman" w:hAnsi="Times New Roman" w:cs="Times New Roman"/>
        </w:rPr>
        <w:t xml:space="preserve">rilevazione </w:t>
      </w:r>
      <w:r w:rsidRPr="008A0FA8">
        <w:rPr>
          <w:rFonts w:ascii="Times New Roman" w:eastAsia="Times New Roman" w:hAnsi="Times New Roman" w:cs="Times New Roman"/>
        </w:rPr>
        <w:t>ISTAT su</w:t>
      </w:r>
      <w:r>
        <w:rPr>
          <w:rFonts w:ascii="Times New Roman" w:eastAsia="Times New Roman" w:hAnsi="Times New Roman" w:cs="Times New Roman"/>
        </w:rPr>
        <w:t xml:space="preserve">l movimento dei clienti negli esercizi ricettivi. </w:t>
      </w:r>
    </w:p>
    <w:p w14:paraId="56AD593A" w14:textId="77777777" w:rsidR="004731D7" w:rsidRDefault="004731D7" w:rsidP="004731D7">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rPr>
        <w:t xml:space="preserve">Per la </w:t>
      </w:r>
      <w:r>
        <w:rPr>
          <w:rFonts w:ascii="Times New Roman" w:eastAsia="Times New Roman" w:hAnsi="Times New Roman" w:cs="Times New Roman"/>
          <w:b/>
          <w:bCs/>
        </w:rPr>
        <w:t>Rilevazione B</w:t>
      </w:r>
      <w:r>
        <w:rPr>
          <w:rFonts w:ascii="Times New Roman" w:eastAsia="Times New Roman" w:hAnsi="Times New Roman" w:cs="Times New Roman"/>
        </w:rPr>
        <w:t>, gli indicatori STP e STPG sono calcolati con riferimento ai residenti sardi che hanno effettuato almeno un soggiorno turistico, distinguendo tra vacanze in Sardegna, in altre regioni italiane o all’estero.</w:t>
      </w:r>
    </w:p>
    <w:p w14:paraId="5344F0C4" w14:textId="77777777" w:rsidR="004731D7" w:rsidRPr="004731D7" w:rsidRDefault="004731D7" w:rsidP="004731D7">
      <w:pPr>
        <w:spacing w:after="280" w:line="240" w:lineRule="auto"/>
        <w:jc w:val="both"/>
        <w:rPr>
          <w:rFonts w:ascii="Times New Roman" w:eastAsia="Times New Roman" w:hAnsi="Times New Roman" w:cs="Times New Roman"/>
          <w:b/>
          <w:bCs/>
        </w:rPr>
      </w:pPr>
    </w:p>
    <w:p w14:paraId="16D58239" w14:textId="77777777" w:rsidR="004731D7" w:rsidRPr="004731D7" w:rsidRDefault="004731D7" w:rsidP="004731D7">
      <w:pPr>
        <w:spacing w:after="280" w:line="240" w:lineRule="auto"/>
        <w:jc w:val="both"/>
        <w:rPr>
          <w:rFonts w:ascii="Times New Roman" w:eastAsia="Times New Roman" w:hAnsi="Times New Roman" w:cs="Times New Roman"/>
          <w:b/>
          <w:bCs/>
        </w:rPr>
      </w:pPr>
      <w:r w:rsidRPr="004731D7">
        <w:rPr>
          <w:rFonts w:ascii="Times New Roman" w:eastAsia="Times New Roman" w:hAnsi="Times New Roman" w:cs="Times New Roman"/>
          <w:b/>
          <w:bCs/>
        </w:rPr>
        <w:t>Bibliografia</w:t>
      </w:r>
    </w:p>
    <w:p w14:paraId="125F9DAB" w14:textId="1A6D485C" w:rsidR="004731D7" w:rsidRDefault="004731D7" w:rsidP="004731D7">
      <w:pPr>
        <w:pStyle w:val="Paragrafoelenco"/>
        <w:numPr>
          <w:ilvl w:val="0"/>
          <w:numId w:val="2"/>
        </w:numPr>
        <w:spacing w:after="280" w:line="240" w:lineRule="auto"/>
        <w:jc w:val="both"/>
        <w:rPr>
          <w:rFonts w:ascii="Times New Roman" w:eastAsia="Times New Roman" w:hAnsi="Times New Roman" w:cs="Times New Roman"/>
        </w:rPr>
      </w:pPr>
      <w:r w:rsidRPr="004731D7">
        <w:rPr>
          <w:rFonts w:ascii="Times New Roman" w:eastAsia="Times New Roman" w:hAnsi="Times New Roman" w:cs="Times New Roman"/>
        </w:rPr>
        <w:t xml:space="preserve">Candela, G., &amp; Figini, P. (2010). </w:t>
      </w:r>
      <w:r w:rsidRPr="004731D7">
        <w:rPr>
          <w:rFonts w:ascii="Times New Roman" w:eastAsia="Times New Roman" w:hAnsi="Times New Roman" w:cs="Times New Roman"/>
          <w:i/>
          <w:iCs/>
        </w:rPr>
        <w:t>Economia del turismo e delle destinazioni</w:t>
      </w:r>
      <w:r w:rsidRPr="004731D7">
        <w:rPr>
          <w:rFonts w:ascii="Times New Roman" w:eastAsia="Times New Roman" w:hAnsi="Times New Roman" w:cs="Times New Roman"/>
        </w:rPr>
        <w:t>. Milano: McGraw-Hill.</w:t>
      </w:r>
    </w:p>
    <w:p w14:paraId="0EA2160C" w14:textId="5790F3CA" w:rsidR="004731D7" w:rsidRPr="004731D7" w:rsidRDefault="004731D7" w:rsidP="004731D7">
      <w:pPr>
        <w:pStyle w:val="Paragrafoelenco"/>
        <w:numPr>
          <w:ilvl w:val="0"/>
          <w:numId w:val="2"/>
        </w:numPr>
        <w:spacing w:after="280" w:line="240" w:lineRule="auto"/>
        <w:jc w:val="both"/>
        <w:rPr>
          <w:rFonts w:ascii="Times New Roman" w:eastAsia="Times New Roman" w:hAnsi="Times New Roman" w:cs="Times New Roman"/>
          <w:b/>
          <w:bCs/>
        </w:rPr>
      </w:pPr>
      <w:r w:rsidRPr="004731D7">
        <w:rPr>
          <w:rFonts w:ascii="Times New Roman" w:eastAsia="Times New Roman" w:hAnsi="Times New Roman" w:cs="Times New Roman"/>
        </w:rPr>
        <w:t>ISTAT. (2018). La nuova indagine sulla domanda turistica. https://www.istat.it/wp-content/uploads/2018/10/La-nuova-indagine-sulla-domanda-turistica.pdf</w:t>
      </w:r>
    </w:p>
    <w:p w14:paraId="7B348D6B" w14:textId="77777777" w:rsidR="004731D7" w:rsidRPr="004731D7" w:rsidRDefault="004731D7" w:rsidP="004731D7">
      <w:pPr>
        <w:pStyle w:val="Paragrafoelenco"/>
        <w:numPr>
          <w:ilvl w:val="0"/>
          <w:numId w:val="2"/>
        </w:numPr>
        <w:spacing w:after="280" w:line="240" w:lineRule="auto"/>
        <w:jc w:val="both"/>
        <w:rPr>
          <w:rFonts w:ascii="Times New Roman" w:eastAsia="Times New Roman" w:hAnsi="Times New Roman" w:cs="Times New Roman"/>
        </w:rPr>
      </w:pPr>
      <w:r w:rsidRPr="004731D7">
        <w:rPr>
          <w:rFonts w:ascii="Times New Roman" w:eastAsia="Times New Roman" w:hAnsi="Times New Roman" w:cs="Times New Roman"/>
        </w:rPr>
        <w:lastRenderedPageBreak/>
        <w:t xml:space="preserve">ISTAT. (2020). Una breve guida alle statistiche sul turismo. Differenze di finalità, fenomeni osservati, definizioni e metodologie nelle indagini sul turismo della Banca d’Italia e dell’Istat. </w:t>
      </w:r>
      <w:hyperlink r:id="rId5" w:tgtFrame="_new" w:history="1">
        <w:r w:rsidRPr="004731D7">
          <w:rPr>
            <w:rFonts w:ascii="Times New Roman" w:eastAsia="Times New Roman" w:hAnsi="Times New Roman" w:cs="Times New Roman"/>
          </w:rPr>
          <w:t>https://ww</w:t>
        </w:r>
        <w:r w:rsidRPr="004731D7">
          <w:rPr>
            <w:rFonts w:ascii="Times New Roman" w:eastAsia="Times New Roman" w:hAnsi="Times New Roman" w:cs="Times New Roman"/>
          </w:rPr>
          <w:t>w</w:t>
        </w:r>
        <w:r w:rsidRPr="004731D7">
          <w:rPr>
            <w:rFonts w:ascii="Times New Roman" w:eastAsia="Times New Roman" w:hAnsi="Times New Roman" w:cs="Times New Roman"/>
          </w:rPr>
          <w:t>.istat.it/wp-content/uploads/2020/06/Una-breve-guida-alle-statistiche-sul-turismo.pdf</w:t>
        </w:r>
      </w:hyperlink>
    </w:p>
    <w:p w14:paraId="6A4B86A9" w14:textId="77777777" w:rsidR="004731D7" w:rsidRPr="004731D7" w:rsidRDefault="004731D7" w:rsidP="004731D7">
      <w:pPr>
        <w:pStyle w:val="Paragrafoelenco"/>
        <w:numPr>
          <w:ilvl w:val="0"/>
          <w:numId w:val="2"/>
        </w:numPr>
        <w:spacing w:after="280" w:line="240" w:lineRule="auto"/>
        <w:jc w:val="both"/>
        <w:rPr>
          <w:rFonts w:ascii="Times New Roman" w:eastAsia="Times New Roman" w:hAnsi="Times New Roman" w:cs="Times New Roman"/>
        </w:rPr>
      </w:pPr>
      <w:r w:rsidRPr="004731D7">
        <w:rPr>
          <w:rFonts w:ascii="Times New Roman" w:eastAsia="Times New Roman" w:hAnsi="Times New Roman" w:cs="Times New Roman"/>
        </w:rPr>
        <w:t>Wu, C., &amp; Thompson, M. E. (2020). Sampling Theory and Practice. Springer Nature Switzerland AG.</w:t>
      </w:r>
    </w:p>
    <w:p w14:paraId="7D1AF7D1" w14:textId="77777777" w:rsidR="004731D7" w:rsidRPr="004731D7" w:rsidRDefault="004731D7" w:rsidP="004731D7">
      <w:pPr>
        <w:pStyle w:val="Paragrafoelenco"/>
        <w:spacing w:after="280" w:line="240" w:lineRule="auto"/>
        <w:jc w:val="both"/>
        <w:rPr>
          <w:rFonts w:ascii="Times New Roman" w:eastAsia="Times New Roman" w:hAnsi="Times New Roman" w:cs="Times New Roman"/>
        </w:rPr>
      </w:pPr>
    </w:p>
    <w:p w14:paraId="11C29B2C" w14:textId="77777777" w:rsidR="007661EA" w:rsidRDefault="007661EA"/>
    <w:sectPr w:rsidR="007661E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ungsuh">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3169F0"/>
    <w:multiLevelType w:val="multilevel"/>
    <w:tmpl w:val="F71688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732D66C1"/>
    <w:multiLevelType w:val="hybridMultilevel"/>
    <w:tmpl w:val="93AA4D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918752876">
    <w:abstractNumId w:val="0"/>
  </w:num>
  <w:num w:numId="2" w16cid:durableId="345791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1EA"/>
    <w:rsid w:val="00421BAF"/>
    <w:rsid w:val="004731D7"/>
    <w:rsid w:val="007661E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82DA0"/>
  <w15:chartTrackingRefBased/>
  <w15:docId w15:val="{8A705EED-906A-41C2-812D-23408662F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4731D7"/>
    <w:rPr>
      <w:rFonts w:ascii="Aptos" w:eastAsia="Aptos" w:hAnsi="Aptos" w:cs="Aptos"/>
      <w:kern w:val="0"/>
      <w:lang w:val="it" w:eastAsia="it-IT"/>
      <w14:ligatures w14:val="none"/>
    </w:rPr>
  </w:style>
  <w:style w:type="paragraph" w:styleId="Titolo1">
    <w:name w:val="heading 1"/>
    <w:basedOn w:val="Normale"/>
    <w:next w:val="Normale"/>
    <w:link w:val="Titolo1Carattere"/>
    <w:uiPriority w:val="9"/>
    <w:qFormat/>
    <w:rsid w:val="007661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661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661E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661E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661E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661E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661E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661E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661E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661E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661E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661E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661E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661E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661E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661E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661E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661EA"/>
    <w:rPr>
      <w:rFonts w:eastAsiaTheme="majorEastAsia" w:cstheme="majorBidi"/>
      <w:color w:val="272727" w:themeColor="text1" w:themeTint="D8"/>
    </w:rPr>
  </w:style>
  <w:style w:type="paragraph" w:styleId="Titolo">
    <w:name w:val="Title"/>
    <w:basedOn w:val="Normale"/>
    <w:next w:val="Normale"/>
    <w:link w:val="TitoloCarattere"/>
    <w:uiPriority w:val="10"/>
    <w:qFormat/>
    <w:rsid w:val="00766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661E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661E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661E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661E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661EA"/>
    <w:rPr>
      <w:i/>
      <w:iCs/>
      <w:color w:val="404040" w:themeColor="text1" w:themeTint="BF"/>
    </w:rPr>
  </w:style>
  <w:style w:type="paragraph" w:styleId="Paragrafoelenco">
    <w:name w:val="List Paragraph"/>
    <w:basedOn w:val="Normale"/>
    <w:uiPriority w:val="34"/>
    <w:qFormat/>
    <w:rsid w:val="007661EA"/>
    <w:pPr>
      <w:ind w:left="720"/>
      <w:contextualSpacing/>
    </w:pPr>
  </w:style>
  <w:style w:type="character" w:styleId="Enfasiintensa">
    <w:name w:val="Intense Emphasis"/>
    <w:basedOn w:val="Carpredefinitoparagrafo"/>
    <w:uiPriority w:val="21"/>
    <w:qFormat/>
    <w:rsid w:val="007661EA"/>
    <w:rPr>
      <w:i/>
      <w:iCs/>
      <w:color w:val="0F4761" w:themeColor="accent1" w:themeShade="BF"/>
    </w:rPr>
  </w:style>
  <w:style w:type="paragraph" w:styleId="Citazioneintensa">
    <w:name w:val="Intense Quote"/>
    <w:basedOn w:val="Normale"/>
    <w:next w:val="Normale"/>
    <w:link w:val="CitazioneintensaCarattere"/>
    <w:uiPriority w:val="30"/>
    <w:qFormat/>
    <w:rsid w:val="00766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661EA"/>
    <w:rPr>
      <w:i/>
      <w:iCs/>
      <w:color w:val="0F4761" w:themeColor="accent1" w:themeShade="BF"/>
    </w:rPr>
  </w:style>
  <w:style w:type="character" w:styleId="Riferimentointenso">
    <w:name w:val="Intense Reference"/>
    <w:basedOn w:val="Carpredefinitoparagrafo"/>
    <w:uiPriority w:val="32"/>
    <w:qFormat/>
    <w:rsid w:val="007661EA"/>
    <w:rPr>
      <w:b/>
      <w:bCs/>
      <w:smallCaps/>
      <w:color w:val="0F4761" w:themeColor="accent1" w:themeShade="BF"/>
      <w:spacing w:val="5"/>
    </w:rPr>
  </w:style>
  <w:style w:type="character" w:styleId="Collegamentoipertestuale">
    <w:name w:val="Hyperlink"/>
    <w:basedOn w:val="Carpredefinitoparagrafo"/>
    <w:uiPriority w:val="99"/>
    <w:unhideWhenUsed/>
    <w:rsid w:val="004731D7"/>
    <w:rPr>
      <w:color w:val="467886" w:themeColor="hyperlink"/>
      <w:u w:val="single"/>
    </w:rPr>
  </w:style>
  <w:style w:type="character" w:styleId="Menzionenonrisolta">
    <w:name w:val="Unresolved Mention"/>
    <w:basedOn w:val="Carpredefinitoparagrafo"/>
    <w:uiPriority w:val="99"/>
    <w:semiHidden/>
    <w:unhideWhenUsed/>
    <w:rsid w:val="004731D7"/>
    <w:rPr>
      <w:color w:val="605E5C"/>
      <w:shd w:val="clear" w:color="auto" w:fill="E1DFDD"/>
    </w:rPr>
  </w:style>
  <w:style w:type="character" w:styleId="Enfasicorsivo">
    <w:name w:val="Emphasis"/>
    <w:basedOn w:val="Carpredefinitoparagrafo"/>
    <w:uiPriority w:val="20"/>
    <w:qFormat/>
    <w:rsid w:val="004731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stat.it/wp-content/uploads/2020/06/Una-breve-guida-alle-statistiche-sul-turismo.pdf"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2705</Words>
  <Characters>17074</Characters>
  <Application>Microsoft Office Word</Application>
  <DocSecurity>0</DocSecurity>
  <Lines>279</Lines>
  <Paragraphs>125</Paragraphs>
  <ScaleCrop>false</ScaleCrop>
  <Company/>
  <LinksUpToDate>false</LinksUpToDate>
  <CharactersWithSpaces>19654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CARRUS Silvia</dc:creator>
  <cp:keywords/>
  <dc:description/>
  <cp:lastModifiedBy>CARRUS Silvia</cp:lastModifiedBy>
  <cp:revision>2</cp:revision>
  <dcterms:created xsi:type="dcterms:W3CDTF">2026-03-24T16:47:00Z</dcterms:created>
  <dcterms:modified xsi:type="dcterms:W3CDTF">2026-03-24T17:00:00Z</dcterms:modified>
</cp:coreProperties>
</file>