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172a85d1a042d829ddef519532e9b625bb6e23"/>
      <w:r>
        <w:t xml:space="preserve">MSA - Mobility Management: beyond centralized solutions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Caratteristica comune alle soluzioni già viste è la gestione centralizzata della mobilità (</w:t>
      </w:r>
      <w:r>
        <w:rPr>
          <w:b/>
        </w:rPr>
        <w:t xml:space="preserve">CMM - Centralized Mobility Management</w:t>
      </w:r>
      <w:r>
        <w:t xml:space="preserve">). Introduce delle problematiche: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Instradamento non ottimale:</w:t>
      </w:r>
      <w:r>
        <w:t xml:space="preserve"> </w:t>
      </w:r>
      <w:r>
        <w:t xml:space="preserve">qualunque sia la distanza di rete tra due nodi, lo scambio di messaggi deve sempre passare attraverso l’entità centrale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Scalabilità:</w:t>
      </w:r>
      <w:r>
        <w:t xml:space="preserve"> </w:t>
      </w:r>
      <w:r>
        <w:t xml:space="preserve">quanto maggiore è la lunghezza del cammino, tanto maggiore è il numero di porzioni della rete interessate dal trafico del nodo mobile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Affidabilità:</w:t>
      </w:r>
      <w:r>
        <w:t xml:space="preserve"> </w:t>
      </w:r>
      <w:r>
        <w:t xml:space="preserve">in presenza di un punto centralizzato, singhe point of failure, se fallisce l’entità centrale tutti i nodi sotto il suo controllo diventano irragiungibili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Tendenza della rete:</w:t>
      </w:r>
      <w:r>
        <w:t xml:space="preserve"> </w:t>
      </w:r>
      <w:r>
        <w:t xml:space="preserve">tendenza della rete ad appiattirsi, che si trova a coesistere con una soluzione al problema della mobilità gerarchica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Cecità rispetto alle reali esigenze di gestione della mobilità:</w:t>
      </w:r>
      <w:r>
        <w:t xml:space="preserve"> </w:t>
      </w:r>
      <w:r>
        <w:t xml:space="preserve">il numero di nodi mobili ha sueperato il numero di entità fisse, però molto spesso questi nodi usano la connessione wireless per praticità e comodità, però molti di questi nodi sono statici</w:t>
      </w:r>
    </w:p>
    <w:p>
      <w:pPr>
        <w:pStyle w:val="Compact"/>
        <w:numPr>
          <w:numId w:val="1001"/>
          <w:ilvl w:val="0"/>
        </w:numPr>
      </w:pPr>
      <w:r>
        <w:t xml:space="preserve">L’idea è quella di pensare a soluzioni alternative più efficaci che si allontani dallo schema centralizzato gerarchico, verso una soluzione più decentralizzata. L’idea è quella di risolvere i primi quattro problemi, usando come punto di ancoraggio del nodo mobile un luogo che non sia fisso ed unico, ma un luogo dinamico. Per l’ultimo problema, invece, provedere che i meccanismi della gestione della mobilità siano attivati su richiesta di qualche entitò in gioco</w:t>
      </w:r>
    </w:p>
    <w:p>
      <w:pPr>
        <w:pStyle w:val="Heading3"/>
      </w:pPr>
      <w:bookmarkStart w:id="21" w:name="ar-anchoring"/>
      <w:r>
        <w:rPr>
          <w:b/>
        </w:rPr>
        <w:t xml:space="preserve">AR Anchoring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Il punto di ancoraggio del nodo mobile, il punto verso cui chi interagisce con il nodo indirizza i suoi messaggi, coincide con l’access router della rete in cui si trov il nodo mobile in cui inizia una sessione verso il suo partner</w:t>
      </w:r>
    </w:p>
    <w:p>
      <w:pPr>
        <w:pStyle w:val="Compact"/>
        <w:numPr>
          <w:numId w:val="1003"/>
          <w:ilvl w:val="0"/>
        </w:numPr>
      </w:pPr>
      <w:r>
        <w:t xml:space="preserve">Sono soluzioni limitate alla continuità della sessione, fintanto che il nodo mobile attiva una sessione</w:t>
      </w:r>
    </w:p>
    <w:p>
      <w:pPr>
        <w:pStyle w:val="Compact"/>
        <w:numPr>
          <w:numId w:val="1003"/>
          <w:ilvl w:val="0"/>
        </w:numPr>
      </w:pPr>
      <w:r>
        <w:t xml:space="preserve">Nel caso di cambio di posizione del nodo mobile:</w:t>
      </w:r>
    </w:p>
    <w:p>
      <w:pPr>
        <w:pStyle w:val="Compact"/>
        <w:numPr>
          <w:numId w:val="1004"/>
          <w:ilvl w:val="1"/>
        </w:numPr>
      </w:pPr>
      <w:r>
        <w:t xml:space="preserve">Il parneter continua ad inviare i pacchetti verso la precednte rete del nodo mobile</w:t>
      </w:r>
    </w:p>
    <w:p>
      <w:pPr>
        <w:pStyle w:val="Compact"/>
        <w:numPr>
          <w:numId w:val="1004"/>
          <w:ilvl w:val="1"/>
        </w:numPr>
      </w:pPr>
      <w:r>
        <w:t xml:space="preserve">L’access router della rete farà il forward dei pacchetti verso la nuova erete in cui si trova il nodo mobile, tramite il meccanismo del tunnel</w:t>
      </w:r>
    </w:p>
    <w:p>
      <w:pPr>
        <w:pStyle w:val="Compact"/>
        <w:numPr>
          <w:numId w:val="1004"/>
          <w:ilvl w:val="1"/>
        </w:numPr>
      </w:pPr>
      <w:r>
        <w:t xml:space="preserve">Il nodo mobile informa il vecchio AR del cambio di posizione</w:t>
      </w:r>
    </w:p>
    <w:p>
      <w:pPr>
        <w:pStyle w:val="Heading3"/>
      </w:pPr>
      <w:bookmarkStart w:id="22" w:name="cn-anchoring"/>
      <w:r>
        <w:rPr>
          <w:b/>
        </w:rPr>
        <w:t xml:space="preserve">CN Anchoring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Uno dei problemi del protocollo Mobile IP, e delle sue varianti, era quello dell’instradamento non ottimale causato dalla triangolazione</w:t>
      </w:r>
    </w:p>
    <w:p>
      <w:pPr>
        <w:pStyle w:val="Compact"/>
        <w:numPr>
          <w:numId w:val="1005"/>
          <w:ilvl w:val="0"/>
        </w:numPr>
      </w:pPr>
      <w:r>
        <w:t xml:space="preserve">L’idea per ridurre l’impatto negativo è quella di ridurre al minimo possibile la lunghezza dei lati del triangolo</w:t>
      </w:r>
    </w:p>
    <w:p>
      <w:pPr>
        <w:pStyle w:val="Compact"/>
        <w:numPr>
          <w:numId w:val="1005"/>
          <w:ilvl w:val="0"/>
        </w:numPr>
      </w:pPr>
      <w:r>
        <w:t xml:space="preserve">L’idea alla base della soluzione è che lo HA non è un’entità fissa e statica, ma è un’entità creata dinamicamente a seconda delle necessità</w:t>
      </w:r>
    </w:p>
    <w:p>
      <w:pPr>
        <w:pStyle w:val="Compact"/>
        <w:numPr>
          <w:numId w:val="1006"/>
          <w:ilvl w:val="1"/>
        </w:numPr>
      </w:pPr>
      <w:r>
        <w:t xml:space="preserve">Lo HA viene creato nella stessa rete in cui si trova il nodo corrispondente del nodo mobile</w:t>
      </w:r>
    </w:p>
    <w:p>
      <w:pPr>
        <w:pStyle w:val="Compact"/>
        <w:numPr>
          <w:numId w:val="1006"/>
          <w:ilvl w:val="1"/>
        </w:numPr>
      </w:pPr>
      <w:r>
        <w:t xml:space="preserve">HA assegna ad MN un CHoA, indirizzo IP di sessione</w:t>
      </w:r>
    </w:p>
    <w:p>
      <w:pPr>
        <w:pStyle w:val="Compact"/>
        <w:numPr>
          <w:numId w:val="1006"/>
          <w:ilvl w:val="1"/>
        </w:numPr>
      </w:pPr>
      <w:r>
        <w:t xml:space="preserve">MN utilizza l’indirizzo IP del suo access point come CoA</w:t>
      </w:r>
    </w:p>
    <w:p>
      <w:pPr>
        <w:pStyle w:val="Compact"/>
        <w:numPr>
          <w:numId w:val="1006"/>
          <w:ilvl w:val="1"/>
        </w:numPr>
      </w:pPr>
      <w:r>
        <w:t xml:space="preserve">Dal punto di vista di CN, MN è un nodo che sta all’interno della sua stessa rete</w:t>
      </w:r>
    </w:p>
    <w:p>
      <w:pPr>
        <w:pStyle w:val="Heading3"/>
      </w:pPr>
      <w:bookmarkStart w:id="23" w:name="host-routing"/>
      <w:r>
        <w:rPr>
          <w:b/>
        </w:rPr>
        <w:t xml:space="preserve">Host Routing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L’idea è di avere un routing personalizzato</w:t>
      </w:r>
    </w:p>
    <w:p>
      <w:pPr>
        <w:pStyle w:val="Compact"/>
        <w:numPr>
          <w:numId w:val="1007"/>
          <w:ilvl w:val="0"/>
        </w:numPr>
      </w:pPr>
      <w:r>
        <w:t xml:space="preserve">Ogni router possiede un entry che dice, nel momento in cui arriva un pacchetto indirizzato ad uno scpeficico nodo mobile, il prossimo hop, dove deve essere instradato</w:t>
      </w:r>
    </w:p>
    <w:p>
      <w:pPr>
        <w:pStyle w:val="Compact"/>
        <w:numPr>
          <w:numId w:val="1007"/>
          <w:ilvl w:val="0"/>
        </w:numPr>
      </w:pPr>
      <w:r>
        <w:t xml:space="preserve">Non c’è incapsulamento e l’instradamaneto è sempre pttimale, ma c’è l’overhead dal punto di vista dei messaggi di controllo, in quanto l’informazione sulla posizione del nodo mobile e sui suoi cambi di posizione vanno propagate sulla totalità della rete, su tutta la porzione di rete che si intende mantenere aggiornata sulla posizione del nodo mobile</w:t>
      </w:r>
    </w:p>
    <w:p>
      <w:pPr>
        <w:pStyle w:val="Compact"/>
        <w:numPr>
          <w:numId w:val="1007"/>
          <w:ilvl w:val="0"/>
        </w:numPr>
      </w:pPr>
      <w:r>
        <w:t xml:space="preserve">Questa soluzione risolve anche iil problema della raggiungibilità del nodo mobile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2021-04-18T07:17:02Z</dcterms:created>
  <dcterms:modified xsi:type="dcterms:W3CDTF">2021-04-18T07:17:02Z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