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Calibri" w:hAnsi="Calibri" w:cs="Calibri"/>
          <w:b/>
          <w:sz w:val="30"/>
          <w:szCs w:val="30"/>
        </w:rPr>
        <w:t xml:space="preserve">Termini e Condizioni Generali Fleequid – versione F0009_2026</w:t>
      </w:r>
    </w:p>
    <w:p>
      <w:pPr>
        <w:spacing w:before="0" w:after="240"/>
      </w:pPr>
      <w:r>
        <w:rPr>
          <w:rFonts w:ascii="Calibri" w:hAnsi="Calibri" w:cs="Calibri"/>
          <w:color w:val="444444"/>
          <w:sz w:val="24"/>
          <w:szCs w:val="24"/>
        </w:rPr>
        <w:t xml:space="preserve">Osservazioni sul testo italiano emerse durante la traduzione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Nel tradurre la versione F0009_2026 nelle dieci lingue del Marketplace abbiamo riletto il testo italiano articolo per articolo. Questo documento raccoglie i punti in cui il testo ci è parso incoerente, ambiguo o con refusi. Per ciascun punto indichiamo l'articolo, il passaggio, l'osservazione e, dove possibile, una proposta.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Le traduzioni seguono alla lettera il testo italiano attuale: ogni correzione che lo Studio vorrà apportare andrà riportata nelle versioni in lingua. Nelle sezioni A–C la colonna «Come abbiamo tradotto» indica la lettura adottata, da confermare o correggere.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I rinvii del tipo «lett. a)» ai sottoparagrafi di terzo livello (es. art. 3.2, lett. a) = 3.2.1) sono corretti, perché nel Word quei sottoparagrafi sono numerati con lettere: non sono segnalati.</w:t>
      </w:r>
    </w:p>
    <w:p>
      <w:pPr>
        <w:keepNext/>
        <w:spacing w:before="300" w:after="120"/>
      </w:pPr>
      <w:r>
        <w:rPr>
          <w:rFonts w:ascii="Calibri" w:hAnsi="Calibri" w:cs="Calibri"/>
          <w:b/>
          <w:sz w:val="24"/>
          <w:szCs w:val="24"/>
        </w:rPr>
        <w:t xml:space="preserve">A. Rinvii interni da verificare</w:t>
      </w:r>
    </w:p>
    <w:tbl>
      <w:tblPr>
        <w:tblW w:w="1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500"/>
        <w:gridCol w:w="4700"/>
        <w:gridCol w:w="4300"/>
        <w:gridCol w:w="3500"/>
      </w:tblGrid>
      <w:tr>
        <w:trPr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N.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Articolo</w:t>
            </w:r>
          </w:p>
        </w:tc>
        <w:tc>
          <w:tcPr>
            <w:tcW w:w="47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Testo della versione F0009_2026</w:t>
            </w:r>
          </w:p>
        </w:tc>
        <w:tc>
          <w:tcPr>
            <w:tcW w:w="43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Osservazione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Proposta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16.4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«In caso di ritardo imputabile all'Acquirente oltre il termine di cui alla lett. b), questi è tenuto a corrispondere a Fleequid una penale…»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Gli obblighi dell'Acquirente nello stesso comma sono elencati come (i), (ii), (iii); la «lett. b)» presente nel comma appartiene all'elenco degli obblighi del Venditore. Il termine di 5 giorni dell'Acquirente è al punto (ii).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Sostituire «lett. b)» con «punto (ii)».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12.5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«…ai fini della soglia minima di cui all'art. 12.9, ultimo periodo.»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Nell'art. 12.9 la soglia del 5% non è nell'ultimo periodo: dopo di essa seguono il periodo «Ai fini del confronto e dell'integrazione…» e quello «La presente disposizione si applica a tutti i Modelli di Vendita…».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Togliere «ultimo periodo» oppure indicare il periodo corretto.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17.8 / 17.14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17.8: «trova applicazione la penale specifica prevista dall'art. 8.11»; 17.14: «…prevista dall'art. 8.11, lett. c)».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 due commi sono paralleli (Rivendita / Intermediario puro), ma solo il 17.14 precisa la lettera dell'art. 8.11.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voluto, precisare anche nel 17.8 «art. 8.11, lett. a)».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4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10.4 / 10.5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10.4: «il perfezionamento dell'Accordo vincolante secondo le modalità previste dai precedenti commi resta subordinato al relativo esito positivo».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verifica dei requisiti riguarda anche il perfezionamento disciplinato dal comma successivo (10.5), che infatti richiama «quanto previsto dall'art. 10.4 in materia di verifica dei requisiti».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Valutare «secondo le modalità previste dal presente articolo».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5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2.6, 17.1 / 3.2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«…è preventivamente resa conoscibile e accettata ai sensi dell'art. 3.2, lett. a)».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L'art. 3.2, lett. a) disciplina la conoscibilità della doppia modalità di esecuzione, non la sua accettazione.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Valutare «resa conoscibile ai sensi dell'art. 3.2, lett. a) e accettata con la formulazione dell'Offerta», o altro rinvio per l'accettazione.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6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18.7 / 17.1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18.7: «tale circostanza è resa conoscibile secondo quanto previsto dall'art. 3.2»; 17.1: «ai sensi dell'art. 3.2, lett. a)».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Rinvio all'art. 3.2 con e senza lettera per la stessa funzione.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Uniformare.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7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8.11 / 8.9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«In caso di violazione, Fleequid ha diritto di applicare al Venditore la penale determinata secondo il criterio previsto dall'art. 8.9.»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penale per violazione del divieto di aggiramento rinvia a un criterio costruito sull'esclusiva dell'art. 8.9.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Confermare che il rinvio è voluto.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8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5.5, lett. d)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«nel Dealer Sales, in mancanza anche dei parametri di cui alle lett. a) e b), il Prezzo di acquisto».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Per il Dealer Sales si rinvia solo alle lett. a) e b); la lett. c) riguarda la sola Vendita in commissione. Il rinvio sembra coerente.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Solo conferma.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keepNext/>
        <w:spacing w:before="300" w:after="120"/>
      </w:pPr>
      <w:r>
        <w:rPr>
          <w:rFonts w:ascii="Calibri" w:hAnsi="Calibri" w:cs="Calibri"/>
          <w:b/>
          <w:sz w:val="24"/>
          <w:szCs w:val="24"/>
        </w:rPr>
        <w:t xml:space="preserve">B. Formulazioni non uniformi tra articoli</w:t>
      </w:r>
    </w:p>
    <w:tbl>
      <w:tblPr>
        <w:tblW w:w="1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500"/>
        <w:gridCol w:w="4700"/>
        <w:gridCol w:w="4300"/>
        <w:gridCol w:w="3500"/>
      </w:tblGrid>
      <w:tr>
        <w:trPr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N.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Articolo</w:t>
            </w:r>
          </w:p>
        </w:tc>
        <w:tc>
          <w:tcPr>
            <w:tcW w:w="47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Testo della versione F0009_2026</w:t>
            </w:r>
          </w:p>
        </w:tc>
        <w:tc>
          <w:tcPr>
            <w:tcW w:w="43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Osservazione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Proposta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 (def. «Fleequid») / 2.9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Definizione: entità «designate da Adorea S.r.l. per la commercializzazione di Veicoli, secondo quanto previsto dall'art. 2.9»; art. 2.9: «designate per la compravendita di Veicoli».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stessa categoria di entità è descritta con due attività diverse.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Uniformare.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 (premessa sui «giorni») / 11.5 / 12.7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Art. 1: «Ogni riferimento… ai “giorni” è da intendersi riferito a giorni lavorativi». Art. 11.5: «3 (tre) giorni lavorativi». Art. 12.7: «Termine di pagamento ordinario di 3 (tre) giorni di cui all'art. 11.5».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Solo l'art. 11.5 specifica «lavorativi»; altrove «giorni» è lavorativo per definizione. La specificazione isolata può far pensare che negli altri articoli i giorni siano di calendario.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Togliere «lavorativi» dall'art. 11.5 o aggiungerlo all'art. 12.7.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4.2, 19.7 lett. c), 20.2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Termini di «30 (trenta) giorni».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Per effetto della definizione sono 30 giorni lavorativi, cioè circa sei settimane.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Confermare che è voluto.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5.6 / 12.10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5.6: «limitazione o sospensione dell'operatività dell'account»; 12.10 e resto dell'art. 5: «profilo».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Due termini per lo stesso oggetto.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Uniformare su «profilo» (o su «account»).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13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13.1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«…unitamente alle condizioni particolari applicabili all'operazione…»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Minuscolo, mentre nel resto dell'articolo compare il termine definito «Condizioni particolari di vendita».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si intende il termine definito, scriverlo per esteso con la maiuscola.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14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17.4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«salva la diversa espressa accettazione di offerte inferiori ai sensi dell'art. 10.3».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«offerte» minuscolo; «Offerta» è termine definito.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Maiuscola, se si intende il termine definito.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15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13.5 / 15.7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13.5: «penale di € 150,00 per ciascun giorno di ritardo»; 15.7 e altri: «€ 150,00 (euro centocinquanta/00)».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All'art. 13.5 manca l'importo in lettere.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Aggiungere «(euro centocinquanta/00)».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17.11 / 17.5, 18.4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17.11: «In caso di ritardo nell'emissione o nella trasmissione della fattura il Venditore è tenuto…»; 17.5 e 18.4: «In caso di ritardo imputabile al Venditore…».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Nel 17.11 la penale non è limitata al ritardo imputabile al Venditore.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Aggiungere «imputabile al Venditore», se la differenza non è voluta.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17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17.5 / 18.4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17.5: fattura «in Euro e in conformità agli importi, ai dati e alle indicazioni comunicati da Fleequid»; 18.4: «secondo i dati e le indicazioni comunicati da Fleequid».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Il requisito «in Euro» è previsto solo nella Vendita in commissione.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Uniformare, se la differenza non è voluta.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18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8.11, lett. a)–c)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a) e b): «a Fleequid, nell'ambito…, il Venditore è tenuto a corrispondere una penale…»; c): «direttamente all'Acquirente, …, il Venditore è tenuto a corrispondere a Fleequid una penale…».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Nelle lett. a) e b) «a Fleequid» indica il destinatario del trasferimento e il beneficiario della penale resta implicito; nella lett. c) è espresso.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Esplicitare «a Fleequid» come beneficiario anche in a) e b).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19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19.3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«…ad avvalersi, ove resa disponibile da Fleequid o dal Venditore, della possibilità di visionare, ispezionare e provare il Veicolo» e, poco oltre, «La mancata effettuazione dell'ispezione o della prova, da Fleequid sempre offerte…».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Ispezione e prova sono prima eventuali, poi «sempre offerte».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Scegliere una delle due formulazioni.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 (definizioni)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«Veicolo/i», «Acquirente/i», «Venditore/i».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Solo queste definizioni conservano «/i»; le altre sono al singolare.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Uniformare (facoltativo).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24.7, voce art. 13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«Art. 13 (Vendita differita: pagamento anticipato e Veicolo temporaneamente in uso…): 13.5 (… ritardo nel Pagamento anticipato…)».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«pagamento anticipato» minuscolo nel titolo dell'art. 13, maiuscolo (termine definito) nel testo.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Maiuscola anche nel titolo dell'art. 13.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keepNext/>
        <w:spacing w:before="300" w:after="120"/>
      </w:pPr>
      <w:r>
        <w:rPr>
          <w:rFonts w:ascii="Calibri" w:hAnsi="Calibri" w:cs="Calibri"/>
          <w:b/>
          <w:sz w:val="24"/>
          <w:szCs w:val="24"/>
        </w:rPr>
        <w:t xml:space="preserve">C. Passaggi ambigui</w:t>
      </w:r>
    </w:p>
    <w:tbl>
      <w:tblPr>
        <w:tblW w:w="1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500"/>
        <w:gridCol w:w="4700"/>
        <w:gridCol w:w="4300"/>
        <w:gridCol w:w="3500"/>
      </w:tblGrid>
      <w:tr>
        <w:trPr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N.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Articolo</w:t>
            </w:r>
          </w:p>
        </w:tc>
        <w:tc>
          <w:tcPr>
            <w:tcW w:w="47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Testo della versione F0009_2026</w:t>
            </w:r>
          </w:p>
        </w:tc>
        <w:tc>
          <w:tcPr>
            <w:tcW w:w="43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Osservazione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Come abbiamo tradotto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22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6.2, ultimo periodo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«…fermo restando quanto previsto dall'art. 6.1 in ordine alla preventiva conoscibilità dell'obbligo di versamento e del relativo importo, che prevale in ogni caso sui valori ordinariamente applicati.»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Non è chiaro a cosa si riferisca «che prevale»: all'importo reso conoscibile o a quanto previsto dall'art. 6.1.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Riferito all'importo reso conoscibile.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23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8.13, lett. d)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«Gravami sul Veicolo non espressamente dichiarati dal Venditore e accettati nell'ambito della specifica operazione».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 può leggere «non dichiarati, ma accettati» oppure «diversi da quelli dichiarati e accettati».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Manleva per tutti i Gravami, esclusi solo quelli dichiarati dal Venditore e accettati. Suggeriamo: «Gravami sul Veicolo diversi da quelli espressamente dichiarati dal Venditore e accettati…».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24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14.1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«nei casi previsti dalle presenti Condizioni Generali, dalle Condizioni Specifiche o dalle Condizioni particolari di vendita applicabili».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«applicabili» può riferirsi alle sole Condizioni particolari di vendita o anche alle Condizioni Specifiche.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Riferito a entrambe.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25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15.7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«Decorso inutilmente il termine applicabile per fatto imputabile, il Venditore o l'Acquirente inadempiente è tenuto a corrispondere…»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«per fatto imputabile» è privo del soggetto.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Imputabile al Venditore o all'Acquirente inadempiente. Suggeriamo «per fatto a lui imputabile».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26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18.7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«…alla sua consegna da parte del Venditore nelle condizioni convenute» e «non conformità tale da impedire l'esecuzione della vendita nelle condizioni convenute».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«condizioni convenute» può indicare le condizioni pattuite oppure lo stato fisico del Veicolo.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Condizioni pattuite.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27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18.5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«Qualora una difformità, un vizio, un danno o altra circostanza imputabile al Venditore emerga…»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«danno» può essere il danno al Veicolo o il pregiudizio in generale.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Danno al Veicolo.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28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22.9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«in espressa deroga all'art. 17.4 e limitatamente a quanto ivi previsto, le Condizioni Specifiche applicabili possono prevedere…»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«ivi» può rinviare all'art. 17.4 o alle Condizioni Specifiche.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 quasi tutte le lingue l'ambiguità è conservata; in russo è riferito all'art. 17.4.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29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22.6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«un impegno irrevocabile del Finanziatore, avente i requisiti ivi previsti».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«ivi» può rinviare all'art. 12.2 o alle Condizioni Specifiche; l'art. 12.2 non fissa requisiti.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Requisiti previsti dalle Condizioni Specifiche.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30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12.9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«Nel Dealer Sales, non essendo dovute Commissioni dall'Acquirente secondo la Vendita in commissione, non trova applicazione la penale di cui alla lett. c)».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Formulazione ellittica («secondo la Vendita in commissione»).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«non essendo dovute dall'Acquirente le Commissioni previste per la Vendita in commissione».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5.9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«ogni controversia relativa all'applicazione di quanto disciplinato dal presente articolo è devoluta a un tentativo di mediazione…»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«presente articolo» estende il tentativo di mediazione a tutto l'art. 5 (registrazione, uso consentito, penali), non al solo sistema di gestione dei reclami del comma 5.9.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Alla lettera («presente articolo»). Confermare la portata.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32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16.5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«La messa a disposizione del Veicolo per il ritiro non costituisce di per sé costituzione in mora del creditore ai sensi dell'art. 1206 c.c.»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Rispetto alla versione precedente la regola è invertita.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Alla lettera. Confermare che l'inversione è voluta.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keepNext/>
        <w:spacing w:before="300" w:after="120"/>
      </w:pPr>
      <w:r>
        <w:rPr>
          <w:rFonts w:ascii="Calibri" w:hAnsi="Calibri" w:cs="Calibri"/>
          <w:b/>
          <w:sz w:val="24"/>
          <w:szCs w:val="24"/>
        </w:rPr>
        <w:t xml:space="preserve">D. Refusi e formattazione</w:t>
      </w:r>
    </w:p>
    <w:tbl>
      <w:tblPr>
        <w:tblW w:w="14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500"/>
        <w:gridCol w:w="4700"/>
        <w:gridCol w:w="4300"/>
        <w:gridCol w:w="3500"/>
      </w:tblGrid>
      <w:tr>
        <w:trPr>
          <w:tblHeader/>
        </w:trPr>
        <w:tc>
          <w:tcPr>
            <w:tcW w:w="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N.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Articolo</w:t>
            </w:r>
          </w:p>
        </w:tc>
        <w:tc>
          <w:tcPr>
            <w:tcW w:w="47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Testo della versione F0009_2026</w:t>
            </w:r>
          </w:p>
        </w:tc>
        <w:tc>
          <w:tcPr>
            <w:tcW w:w="43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Osservazione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Proposta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33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1, def. «Venditore/i»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«Il termine è sempre riferito al Venditore sostanziale, soggetto diverso rispetto a Fleequid nella Vendita in commissione eseguita mediante Rivendita, ove Fleequid assuma il ruolo di venditore formale, essa è sempre indicata come Fleequid.»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Manca un segno di punteggiatura tra «soggetto diverso rispetto a Fleequid» e «nella Vendita in commissione…»: sono due frasi.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Punto e virgola dopo «rispetto a Fleequid» (così nelle traduzioni).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34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7.1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«…a quanto richiesto dall'art. 13 GDPR -Regolamento (UE) 2016/679 raggiungibile al seguente indirizzo: https://fleequid.com/it/privacy-policy.»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Spazio mancante dopo il trattino; «raggiungibile al seguente indirizzo» è riferito grammaticalmente al Regolamento anziché all'Informativa Privacy.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«…dell'Informativa Privacy, raggiungibile al seguente indirizzo: …, in conformità… all'art. 13 GDPR - Regolamento (UE) 2016/679».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35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15.6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«Rientrano tra tali somme, in particolare le Commissioni già maturate…»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Manca la virgola dopo «in particolare».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«Rientrano tra tali somme, in particolare, le Commissioni…».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36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15.5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«previsti dall'art. 16.2, dall'art. 17.5, dall'art. 17.11 e dall'art. 18.4».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Altrove i rinvii multipli sono nella forma «dagli artt.».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«previsti dagli artt. 16.2, 17.5, 17.11 e 18.4».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37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24.2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«22077 Olgiate Comasco (CO),»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Virgola pendente a fine riga nel blocco dell'indirizzo.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Togliere la virgola.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38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24.7 (rubrica)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«Approvazione specifica ai sensi degli artt. 1341 e 1342 c.c.»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Manca il punto finale, presente nei titoli degli articoli (dopo «c.c.» c'è uno spazio).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Uniformare.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39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19.7, lett. b)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Rubrica del sottoparagrafo.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Non è in grassetto, a differenza delle rubriche delle lett. a) e c).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Grassetto.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40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Art. 7.1 / 2.4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URL dell'Informativa Privacy (7.1); lettere a.–d. dell'elenco (2.4).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Rispetto alla versione precedente l'URL ha perso il grassetto e le lettere dell'elenco il corsivo.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Confermare che è voluto.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41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Link al Tariffario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Collegamenti ipertestuali al Tariffario nella bozza.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Nella bozza puntavano alle pagine /en/ del sito; nella versione italiana pulita li abbiamo portati su /it/ (e sulla lingua corrispondente in ogni traduzione).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Nessuna azione: solo per informazione.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42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Intero documento</w:t>
            </w:r>
          </w:p>
        </w:tc>
        <w:tc>
          <w:tcPr>
            <w:tcW w:w="47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Otto doppi spazi nel testo.</w:t>
            </w:r>
          </w:p>
        </w:tc>
        <w:tc>
          <w:tcPr>
            <w:tcW w:w="43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Rimossi nella versione italiana pulita.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Nessuna azione: solo per informazione.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sz w:val="20"/>
          <w:szCs w:val="20"/>
        </w:rPr>
        <w:t xml:space="preserve"/>
      </w:r>
    </w:p>
    <w:sectPr>
      <w:pgSz w:w="16838" w:h="11906" w:orient="landscape"/>
      <w:pgMar w:top="1134" w:right="1134" w:bottom="1134" w:left="1134" w:header="708" w:footer="708" w:gutter="0"/>
    </w:sectPr>
  </w:body>
</w:document>
</file>