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Zvláštní podmínky </w:t>
      </w:r>
    </w:p>
    <w:p w14:paraId="7E92C198" w14:textId="7A2D55C1" w:rsidR="00087BF5" w:rsidRPr="00E9150B" w:rsidRDefault="00B27E74" w:rsidP="00087BF5">
      <w:pPr>
        <w:jc w:val="center"/>
        <w:rPr>
          <w:rFonts w:ascii="Verdana" w:hAnsi="Verdana"/>
          <w:b/>
          <w:bCs/>
          <w:smallCaps/>
        </w:rPr>
      </w:pPr>
      <w:r>
        <w:rPr>
          <w:rFonts w:ascii="Verdana" w:hAnsi="Verdana"/>
          <w:b/>
          <w:smallCaps/>
        </w:rPr>
        <w:t>Záruky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Souhrn</w:t>
          </w:r>
        </w:p>
        <w:p w14:paraId="0DAB6929" w14:textId="77777777" w:rsidR="001D49BE" w:rsidRPr="00080B56" w:rsidRDefault="001D49BE" w:rsidP="001D49BE">
          <w:pPr>
            <w:rPr>
              <w:sz w:val="20"/>
              <w:szCs w:val="20"/>
              <w:lang w:eastAsia="it-IT"/>
            </w:rPr>
          </w:pPr>
        </w:p>
        <w:p w14:paraId="30BB39A0" w14:textId="16D8E529" w:rsidR="002C16C1"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8845582" w:history="1">
            <w:r w:rsidR="002C16C1" w:rsidRPr="00981BDB">
              <w:rPr>
                <w:rStyle w:val="Collegamentoipertestuale"/>
                <w:rFonts w:ascii="Verdana" w:hAnsi="Verdana"/>
                <w:b/>
                <w:bCs/>
                <w:noProof/>
              </w:rPr>
              <w:t>1.</w:t>
            </w:r>
            <w:r w:rsidR="002C16C1">
              <w:rPr>
                <w:rFonts w:eastAsiaTheme="minorEastAsia"/>
                <w:noProof/>
                <w:kern w:val="0"/>
                <w:lang w:val="it-IT" w:eastAsia="it-IT"/>
                <w14:ligatures w14:val="none"/>
              </w:rPr>
              <w:tab/>
            </w:r>
            <w:r w:rsidR="002C16C1" w:rsidRPr="00981BDB">
              <w:rPr>
                <w:rStyle w:val="Collegamentoipertestuale"/>
                <w:rFonts w:ascii="Verdana" w:hAnsi="Verdana"/>
                <w:b/>
                <w:smallCaps/>
                <w:noProof/>
              </w:rPr>
              <w:t>Definice</w:t>
            </w:r>
            <w:r w:rsidR="002C16C1" w:rsidRPr="00981BDB">
              <w:rPr>
                <w:rStyle w:val="Collegamentoipertestuale"/>
                <w:rFonts w:ascii="Verdana" w:hAnsi="Verdana"/>
                <w:noProof/>
              </w:rPr>
              <w:t>.</w:t>
            </w:r>
            <w:r w:rsidR="002C16C1">
              <w:rPr>
                <w:noProof/>
                <w:webHidden/>
              </w:rPr>
              <w:tab/>
            </w:r>
            <w:r w:rsidR="002C16C1">
              <w:rPr>
                <w:noProof/>
                <w:webHidden/>
              </w:rPr>
              <w:fldChar w:fldCharType="begin"/>
            </w:r>
            <w:r w:rsidR="002C16C1">
              <w:rPr>
                <w:noProof/>
                <w:webHidden/>
              </w:rPr>
              <w:instrText xml:space="preserve"> PAGEREF _Toc218845582 \h </w:instrText>
            </w:r>
            <w:r w:rsidR="002C16C1">
              <w:rPr>
                <w:noProof/>
                <w:webHidden/>
              </w:rPr>
            </w:r>
            <w:r w:rsidR="002C16C1">
              <w:rPr>
                <w:noProof/>
                <w:webHidden/>
              </w:rPr>
              <w:fldChar w:fldCharType="separate"/>
            </w:r>
            <w:r w:rsidR="002C16C1">
              <w:rPr>
                <w:noProof/>
                <w:webHidden/>
              </w:rPr>
              <w:t>1</w:t>
            </w:r>
            <w:r w:rsidR="002C16C1">
              <w:rPr>
                <w:noProof/>
                <w:webHidden/>
              </w:rPr>
              <w:fldChar w:fldCharType="end"/>
            </w:r>
          </w:hyperlink>
        </w:p>
        <w:p w14:paraId="199E72DD" w14:textId="349702DF" w:rsidR="002C16C1" w:rsidRDefault="002C16C1">
          <w:pPr>
            <w:pStyle w:val="Sommario1"/>
            <w:rPr>
              <w:rFonts w:eastAsiaTheme="minorEastAsia"/>
              <w:noProof/>
              <w:kern w:val="0"/>
              <w:lang w:val="it-IT" w:eastAsia="it-IT"/>
              <w14:ligatures w14:val="none"/>
            </w:rPr>
          </w:pPr>
          <w:hyperlink w:anchor="_Toc218845583" w:history="1">
            <w:r w:rsidRPr="00981BDB">
              <w:rPr>
                <w:rStyle w:val="Collegamentoipertestuale"/>
                <w:rFonts w:ascii="Verdana" w:hAnsi="Verdana"/>
                <w:b/>
                <w:bCs/>
                <w:noProof/>
              </w:rPr>
              <w:t>2.</w:t>
            </w:r>
            <w:r>
              <w:rPr>
                <w:rFonts w:eastAsiaTheme="minorEastAsia"/>
                <w:noProof/>
                <w:kern w:val="0"/>
                <w:lang w:val="it-IT" w:eastAsia="it-IT"/>
                <w14:ligatures w14:val="none"/>
              </w:rPr>
              <w:tab/>
            </w:r>
            <w:r w:rsidRPr="00981BDB">
              <w:rPr>
                <w:rStyle w:val="Collegamentoipertestuale"/>
                <w:rFonts w:ascii="Verdana" w:hAnsi="Verdana"/>
                <w:b/>
                <w:smallCaps/>
                <w:noProof/>
              </w:rPr>
              <w:t>Předmět služby</w:t>
            </w:r>
            <w:r w:rsidRPr="00981BD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_Toc218845583 \h </w:instrText>
            </w:r>
            <w:r>
              <w:rPr>
                <w:noProof/>
                <w:webHidden/>
              </w:rPr>
            </w:r>
            <w:r>
              <w:rPr>
                <w:noProof/>
                <w:webHidden/>
              </w:rPr>
              <w:fldChar w:fldCharType="separate"/>
            </w:r>
            <w:r>
              <w:rPr>
                <w:noProof/>
                <w:webHidden/>
              </w:rPr>
              <w:t>2</w:t>
            </w:r>
            <w:r>
              <w:rPr>
                <w:noProof/>
                <w:webHidden/>
              </w:rPr>
              <w:fldChar w:fldCharType="end"/>
            </w:r>
          </w:hyperlink>
        </w:p>
        <w:p w14:paraId="6EA9438D" w14:textId="7614E379" w:rsidR="002C16C1" w:rsidRDefault="002C16C1">
          <w:pPr>
            <w:pStyle w:val="Sommario1"/>
            <w:rPr>
              <w:rFonts w:eastAsiaTheme="minorEastAsia"/>
              <w:noProof/>
              <w:kern w:val="0"/>
              <w:lang w:val="it-IT" w:eastAsia="it-IT"/>
              <w14:ligatures w14:val="none"/>
            </w:rPr>
          </w:pPr>
          <w:hyperlink w:anchor="_Toc218845584" w:history="1">
            <w:r w:rsidRPr="00981BDB">
              <w:rPr>
                <w:rStyle w:val="Collegamentoipertestuale"/>
                <w:rFonts w:ascii="Verdana" w:hAnsi="Verdana"/>
                <w:b/>
                <w:bCs/>
                <w:noProof/>
              </w:rPr>
              <w:t>3.</w:t>
            </w:r>
            <w:r>
              <w:rPr>
                <w:rFonts w:eastAsiaTheme="minorEastAsia"/>
                <w:noProof/>
                <w:kern w:val="0"/>
                <w:lang w:val="it-IT" w:eastAsia="it-IT"/>
                <w14:ligatures w14:val="none"/>
              </w:rPr>
              <w:tab/>
            </w:r>
            <w:r w:rsidRPr="00981BDB">
              <w:rPr>
                <w:rStyle w:val="Collegamentoipertestuale"/>
                <w:rFonts w:ascii="Verdana" w:hAnsi="Verdana"/>
                <w:b/>
                <w:smallCaps/>
                <w:noProof/>
              </w:rPr>
              <w:t>Kryté a vyloučené komponenty</w:t>
            </w:r>
            <w:r w:rsidRPr="00981BD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_Toc218845584 \h </w:instrText>
            </w:r>
            <w:r>
              <w:rPr>
                <w:noProof/>
                <w:webHidden/>
              </w:rPr>
            </w:r>
            <w:r>
              <w:rPr>
                <w:noProof/>
                <w:webHidden/>
              </w:rPr>
              <w:fldChar w:fldCharType="separate"/>
            </w:r>
            <w:r>
              <w:rPr>
                <w:noProof/>
                <w:webHidden/>
              </w:rPr>
              <w:t>3</w:t>
            </w:r>
            <w:r>
              <w:rPr>
                <w:noProof/>
                <w:webHidden/>
              </w:rPr>
              <w:fldChar w:fldCharType="end"/>
            </w:r>
          </w:hyperlink>
        </w:p>
        <w:p w14:paraId="6E916C0F" w14:textId="403B1332" w:rsidR="002C16C1" w:rsidRDefault="002C16C1">
          <w:pPr>
            <w:pStyle w:val="Sommario1"/>
            <w:rPr>
              <w:rFonts w:eastAsiaTheme="minorEastAsia"/>
              <w:noProof/>
              <w:kern w:val="0"/>
              <w:lang w:val="it-IT" w:eastAsia="it-IT"/>
              <w14:ligatures w14:val="none"/>
            </w:rPr>
          </w:pPr>
          <w:hyperlink w:anchor="_Toc218845585" w:history="1">
            <w:r w:rsidRPr="00981BDB">
              <w:rPr>
                <w:rStyle w:val="Collegamentoipertestuale"/>
                <w:rFonts w:ascii="Verdana" w:hAnsi="Verdana"/>
                <w:b/>
                <w:bCs/>
                <w:smallCaps/>
                <w:noProof/>
              </w:rPr>
              <w:t>4.</w:t>
            </w:r>
            <w:r>
              <w:rPr>
                <w:rFonts w:eastAsiaTheme="minorEastAsia"/>
                <w:noProof/>
                <w:kern w:val="0"/>
                <w:lang w:val="it-IT" w:eastAsia="it-IT"/>
                <w14:ligatures w14:val="none"/>
              </w:rPr>
              <w:tab/>
            </w:r>
            <w:r w:rsidRPr="00981BDB">
              <w:rPr>
                <w:rStyle w:val="Collegamentoipertestuale"/>
                <w:rFonts w:ascii="Verdana" w:hAnsi="Verdana"/>
                <w:b/>
                <w:smallCaps/>
                <w:noProof/>
              </w:rPr>
              <w:t>Zahájení, doba trvání a podmínky účinnosti.</w:t>
            </w:r>
            <w:r>
              <w:rPr>
                <w:noProof/>
                <w:webHidden/>
              </w:rPr>
              <w:tab/>
            </w:r>
            <w:r>
              <w:rPr>
                <w:noProof/>
                <w:webHidden/>
              </w:rPr>
              <w:fldChar w:fldCharType="begin"/>
            </w:r>
            <w:r>
              <w:rPr>
                <w:noProof/>
                <w:webHidden/>
              </w:rPr>
              <w:instrText xml:space="preserve"> PAGEREF _Toc218845585 \h </w:instrText>
            </w:r>
            <w:r>
              <w:rPr>
                <w:noProof/>
                <w:webHidden/>
              </w:rPr>
            </w:r>
            <w:r>
              <w:rPr>
                <w:noProof/>
                <w:webHidden/>
              </w:rPr>
              <w:fldChar w:fldCharType="separate"/>
            </w:r>
            <w:r>
              <w:rPr>
                <w:noProof/>
                <w:webHidden/>
              </w:rPr>
              <w:t>3</w:t>
            </w:r>
            <w:r>
              <w:rPr>
                <w:noProof/>
                <w:webHidden/>
              </w:rPr>
              <w:fldChar w:fldCharType="end"/>
            </w:r>
          </w:hyperlink>
        </w:p>
        <w:p w14:paraId="5BEB74C2" w14:textId="71A0A2E6" w:rsidR="002C16C1" w:rsidRDefault="002C16C1">
          <w:pPr>
            <w:pStyle w:val="Sommario1"/>
            <w:rPr>
              <w:rFonts w:eastAsiaTheme="minorEastAsia"/>
              <w:noProof/>
              <w:kern w:val="0"/>
              <w:lang w:val="it-IT" w:eastAsia="it-IT"/>
              <w14:ligatures w14:val="none"/>
            </w:rPr>
          </w:pPr>
          <w:hyperlink w:anchor="_Toc218845586" w:history="1">
            <w:r w:rsidRPr="00981BDB">
              <w:rPr>
                <w:rStyle w:val="Collegamentoipertestuale"/>
                <w:rFonts w:ascii="Verdana" w:hAnsi="Verdana"/>
                <w:b/>
                <w:bCs/>
                <w:noProof/>
              </w:rPr>
              <w:t>5.</w:t>
            </w:r>
            <w:r>
              <w:rPr>
                <w:rFonts w:eastAsiaTheme="minorEastAsia"/>
                <w:noProof/>
                <w:kern w:val="0"/>
                <w:lang w:val="it-IT" w:eastAsia="it-IT"/>
                <w14:ligatures w14:val="none"/>
              </w:rPr>
              <w:tab/>
            </w:r>
            <w:r w:rsidRPr="00981BDB">
              <w:rPr>
                <w:rStyle w:val="Collegamentoipertestuale"/>
                <w:rFonts w:ascii="Verdana" w:hAnsi="Verdana"/>
                <w:b/>
                <w:smallCaps/>
                <w:noProof/>
              </w:rPr>
              <w:t>Územní působnost.</w:t>
            </w:r>
            <w:r>
              <w:rPr>
                <w:noProof/>
                <w:webHidden/>
              </w:rPr>
              <w:tab/>
            </w:r>
            <w:r>
              <w:rPr>
                <w:noProof/>
                <w:webHidden/>
              </w:rPr>
              <w:fldChar w:fldCharType="begin"/>
            </w:r>
            <w:r>
              <w:rPr>
                <w:noProof/>
                <w:webHidden/>
              </w:rPr>
              <w:instrText xml:space="preserve"> PAGEREF _Toc218845586 \h </w:instrText>
            </w:r>
            <w:r>
              <w:rPr>
                <w:noProof/>
                <w:webHidden/>
              </w:rPr>
            </w:r>
            <w:r>
              <w:rPr>
                <w:noProof/>
                <w:webHidden/>
              </w:rPr>
              <w:fldChar w:fldCharType="separate"/>
            </w:r>
            <w:r>
              <w:rPr>
                <w:noProof/>
                <w:webHidden/>
              </w:rPr>
              <w:t>5</w:t>
            </w:r>
            <w:r>
              <w:rPr>
                <w:noProof/>
                <w:webHidden/>
              </w:rPr>
              <w:fldChar w:fldCharType="end"/>
            </w:r>
          </w:hyperlink>
        </w:p>
        <w:p w14:paraId="72EB134F" w14:textId="7BE31A48" w:rsidR="002C16C1" w:rsidRDefault="002C16C1">
          <w:pPr>
            <w:pStyle w:val="Sommario1"/>
            <w:rPr>
              <w:rFonts w:eastAsiaTheme="minorEastAsia"/>
              <w:noProof/>
              <w:kern w:val="0"/>
              <w:lang w:val="it-IT" w:eastAsia="it-IT"/>
              <w14:ligatures w14:val="none"/>
            </w:rPr>
          </w:pPr>
          <w:hyperlink w:anchor="_Toc218845587" w:history="1">
            <w:r w:rsidRPr="00981BDB">
              <w:rPr>
                <w:rStyle w:val="Collegamentoipertestuale"/>
                <w:rFonts w:ascii="Verdana" w:hAnsi="Verdana"/>
                <w:b/>
                <w:bCs/>
                <w:smallCaps/>
                <w:noProof/>
              </w:rPr>
              <w:t>6.</w:t>
            </w:r>
            <w:r>
              <w:rPr>
                <w:rFonts w:eastAsiaTheme="minorEastAsia"/>
                <w:noProof/>
                <w:kern w:val="0"/>
                <w:lang w:val="it-IT" w:eastAsia="it-IT"/>
                <w14:ligatures w14:val="none"/>
              </w:rPr>
              <w:tab/>
            </w:r>
            <w:r w:rsidRPr="00981BDB">
              <w:rPr>
                <w:rStyle w:val="Collegamentoipertestuale"/>
                <w:rFonts w:ascii="Verdana" w:hAnsi="Verdana"/>
                <w:b/>
                <w:smallCaps/>
                <w:noProof/>
              </w:rPr>
              <w:t>Povinnosti kupujícího.</w:t>
            </w:r>
            <w:r>
              <w:rPr>
                <w:noProof/>
                <w:webHidden/>
              </w:rPr>
              <w:tab/>
            </w:r>
            <w:r>
              <w:rPr>
                <w:noProof/>
                <w:webHidden/>
              </w:rPr>
              <w:fldChar w:fldCharType="begin"/>
            </w:r>
            <w:r>
              <w:rPr>
                <w:noProof/>
                <w:webHidden/>
              </w:rPr>
              <w:instrText xml:space="preserve"> PAGEREF _Toc218845587 \h </w:instrText>
            </w:r>
            <w:r>
              <w:rPr>
                <w:noProof/>
                <w:webHidden/>
              </w:rPr>
            </w:r>
            <w:r>
              <w:rPr>
                <w:noProof/>
                <w:webHidden/>
              </w:rPr>
              <w:fldChar w:fldCharType="separate"/>
            </w:r>
            <w:r>
              <w:rPr>
                <w:noProof/>
                <w:webHidden/>
              </w:rPr>
              <w:t>5</w:t>
            </w:r>
            <w:r>
              <w:rPr>
                <w:noProof/>
                <w:webHidden/>
              </w:rPr>
              <w:fldChar w:fldCharType="end"/>
            </w:r>
          </w:hyperlink>
        </w:p>
        <w:p w14:paraId="3F50BFED" w14:textId="6C8C02C1" w:rsidR="002C16C1" w:rsidRDefault="002C16C1">
          <w:pPr>
            <w:pStyle w:val="Sommario1"/>
            <w:rPr>
              <w:rFonts w:eastAsiaTheme="minorEastAsia"/>
              <w:noProof/>
              <w:kern w:val="0"/>
              <w:lang w:val="it-IT" w:eastAsia="it-IT"/>
              <w14:ligatures w14:val="none"/>
            </w:rPr>
          </w:pPr>
          <w:hyperlink w:anchor="_Toc218845588" w:history="1">
            <w:r w:rsidRPr="00981BDB">
              <w:rPr>
                <w:rStyle w:val="Collegamentoipertestuale"/>
                <w:rFonts w:ascii="Verdana" w:hAnsi="Verdana"/>
                <w:b/>
                <w:bCs/>
                <w:smallCaps/>
                <w:noProof/>
              </w:rPr>
              <w:t>7.</w:t>
            </w:r>
            <w:r>
              <w:rPr>
                <w:rFonts w:eastAsiaTheme="minorEastAsia"/>
                <w:noProof/>
                <w:kern w:val="0"/>
                <w:lang w:val="it-IT" w:eastAsia="it-IT"/>
                <w14:ligatures w14:val="none"/>
              </w:rPr>
              <w:tab/>
            </w:r>
            <w:r w:rsidRPr="00981BDB">
              <w:rPr>
                <w:rStyle w:val="Collegamentoipertestuale"/>
                <w:rFonts w:ascii="Verdana" w:hAnsi="Verdana"/>
                <w:b/>
                <w:smallCaps/>
                <w:noProof/>
              </w:rPr>
              <w:t>Nahlášení pojistné události.</w:t>
            </w:r>
            <w:r>
              <w:rPr>
                <w:noProof/>
                <w:webHidden/>
              </w:rPr>
              <w:tab/>
            </w:r>
            <w:r>
              <w:rPr>
                <w:noProof/>
                <w:webHidden/>
              </w:rPr>
              <w:fldChar w:fldCharType="begin"/>
            </w:r>
            <w:r>
              <w:rPr>
                <w:noProof/>
                <w:webHidden/>
              </w:rPr>
              <w:instrText xml:space="preserve"> PAGEREF _Toc218845588 \h </w:instrText>
            </w:r>
            <w:r>
              <w:rPr>
                <w:noProof/>
                <w:webHidden/>
              </w:rPr>
            </w:r>
            <w:r>
              <w:rPr>
                <w:noProof/>
                <w:webHidden/>
              </w:rPr>
              <w:fldChar w:fldCharType="separate"/>
            </w:r>
            <w:r>
              <w:rPr>
                <w:noProof/>
                <w:webHidden/>
              </w:rPr>
              <w:t>6</w:t>
            </w:r>
            <w:r>
              <w:rPr>
                <w:noProof/>
                <w:webHidden/>
              </w:rPr>
              <w:fldChar w:fldCharType="end"/>
            </w:r>
          </w:hyperlink>
        </w:p>
        <w:p w14:paraId="17DFB540" w14:textId="2F7EA2D3" w:rsidR="002C16C1" w:rsidRDefault="002C16C1">
          <w:pPr>
            <w:pStyle w:val="Sommario1"/>
            <w:rPr>
              <w:rFonts w:eastAsiaTheme="minorEastAsia"/>
              <w:noProof/>
              <w:kern w:val="0"/>
              <w:lang w:val="it-IT" w:eastAsia="it-IT"/>
              <w14:ligatures w14:val="none"/>
            </w:rPr>
          </w:pPr>
          <w:hyperlink w:anchor="_Toc218845589" w:history="1">
            <w:r w:rsidRPr="00981BDB">
              <w:rPr>
                <w:rStyle w:val="Collegamentoipertestuale"/>
                <w:rFonts w:ascii="Verdana" w:hAnsi="Verdana"/>
                <w:b/>
                <w:bCs/>
                <w:smallCaps/>
                <w:noProof/>
              </w:rPr>
              <w:t>8.</w:t>
            </w:r>
            <w:r>
              <w:rPr>
                <w:rFonts w:eastAsiaTheme="minorEastAsia"/>
                <w:noProof/>
                <w:kern w:val="0"/>
                <w:lang w:val="it-IT" w:eastAsia="it-IT"/>
                <w14:ligatures w14:val="none"/>
              </w:rPr>
              <w:tab/>
            </w:r>
            <w:r w:rsidRPr="00981BDB">
              <w:rPr>
                <w:rStyle w:val="Collegamentoipertestuale"/>
                <w:rFonts w:ascii="Verdana" w:hAnsi="Verdana"/>
                <w:b/>
                <w:smallCaps/>
                <w:noProof/>
              </w:rPr>
              <w:t>Řešení pojistné události.</w:t>
            </w:r>
            <w:r>
              <w:rPr>
                <w:noProof/>
                <w:webHidden/>
              </w:rPr>
              <w:tab/>
            </w:r>
            <w:r>
              <w:rPr>
                <w:noProof/>
                <w:webHidden/>
              </w:rPr>
              <w:fldChar w:fldCharType="begin"/>
            </w:r>
            <w:r>
              <w:rPr>
                <w:noProof/>
                <w:webHidden/>
              </w:rPr>
              <w:instrText xml:space="preserve"> PAGEREF _Toc218845589 \h </w:instrText>
            </w:r>
            <w:r>
              <w:rPr>
                <w:noProof/>
                <w:webHidden/>
              </w:rPr>
            </w:r>
            <w:r>
              <w:rPr>
                <w:noProof/>
                <w:webHidden/>
              </w:rPr>
              <w:fldChar w:fldCharType="separate"/>
            </w:r>
            <w:r>
              <w:rPr>
                <w:noProof/>
                <w:webHidden/>
              </w:rPr>
              <w:t>7</w:t>
            </w:r>
            <w:r>
              <w:rPr>
                <w:noProof/>
                <w:webHidden/>
              </w:rPr>
              <w:fldChar w:fldCharType="end"/>
            </w:r>
          </w:hyperlink>
        </w:p>
        <w:p w14:paraId="7C391D08" w14:textId="2E1903D2" w:rsidR="002C16C1" w:rsidRDefault="002C16C1">
          <w:pPr>
            <w:pStyle w:val="Sommario1"/>
            <w:rPr>
              <w:rFonts w:eastAsiaTheme="minorEastAsia"/>
              <w:noProof/>
              <w:kern w:val="0"/>
              <w:lang w:val="it-IT" w:eastAsia="it-IT"/>
              <w14:ligatures w14:val="none"/>
            </w:rPr>
          </w:pPr>
          <w:hyperlink w:anchor="_Toc218845590" w:history="1">
            <w:r w:rsidRPr="00981BDB">
              <w:rPr>
                <w:rStyle w:val="Collegamentoipertestuale"/>
                <w:rFonts w:ascii="Verdana" w:hAnsi="Verdana"/>
                <w:b/>
                <w:bCs/>
                <w:smallCaps/>
                <w:noProof/>
              </w:rPr>
              <w:t>9.</w:t>
            </w:r>
            <w:r>
              <w:rPr>
                <w:rFonts w:eastAsiaTheme="minorEastAsia"/>
                <w:noProof/>
                <w:kern w:val="0"/>
                <w:lang w:val="it-IT" w:eastAsia="it-IT"/>
                <w14:ligatures w14:val="none"/>
              </w:rPr>
              <w:tab/>
            </w:r>
            <w:r w:rsidRPr="00981BDB">
              <w:rPr>
                <w:rStyle w:val="Collegamentoipertestuale"/>
                <w:rFonts w:ascii="Verdana" w:hAnsi="Verdana"/>
                <w:b/>
                <w:smallCaps/>
                <w:noProof/>
              </w:rPr>
              <w:t>Limity krytí a odpovědnosti.</w:t>
            </w:r>
            <w:r>
              <w:rPr>
                <w:noProof/>
                <w:webHidden/>
              </w:rPr>
              <w:tab/>
            </w:r>
            <w:r>
              <w:rPr>
                <w:noProof/>
                <w:webHidden/>
              </w:rPr>
              <w:fldChar w:fldCharType="begin"/>
            </w:r>
            <w:r>
              <w:rPr>
                <w:noProof/>
                <w:webHidden/>
              </w:rPr>
              <w:instrText xml:space="preserve"> PAGEREF _Toc218845590 \h </w:instrText>
            </w:r>
            <w:r>
              <w:rPr>
                <w:noProof/>
                <w:webHidden/>
              </w:rPr>
            </w:r>
            <w:r>
              <w:rPr>
                <w:noProof/>
                <w:webHidden/>
              </w:rPr>
              <w:fldChar w:fldCharType="separate"/>
            </w:r>
            <w:r>
              <w:rPr>
                <w:noProof/>
                <w:webHidden/>
              </w:rPr>
              <w:t>7</w:t>
            </w:r>
            <w:r>
              <w:rPr>
                <w:noProof/>
                <w:webHidden/>
              </w:rPr>
              <w:fldChar w:fldCharType="end"/>
            </w:r>
          </w:hyperlink>
        </w:p>
        <w:p w14:paraId="361BB25E" w14:textId="2B1E1CE4" w:rsidR="002C16C1" w:rsidRDefault="002C16C1">
          <w:pPr>
            <w:pStyle w:val="Sommario2"/>
            <w:rPr>
              <w:rFonts w:eastAsiaTheme="minorEastAsia"/>
              <w:noProof/>
              <w:kern w:val="0"/>
              <w:lang w:val="it-IT" w:eastAsia="it-IT"/>
              <w14:ligatures w14:val="none"/>
            </w:rPr>
          </w:pPr>
          <w:hyperlink w:anchor="_Toc218845591" w:history="1">
            <w:r w:rsidRPr="00981BDB">
              <w:rPr>
                <w:rStyle w:val="Collegamentoipertestuale"/>
                <w:rFonts w:ascii="Verdana" w:hAnsi="Verdana"/>
                <w:b/>
                <w:bCs/>
                <w:smallCaps/>
                <w:noProof/>
              </w:rPr>
              <w:t>10.</w:t>
            </w:r>
            <w:r>
              <w:rPr>
                <w:rFonts w:eastAsiaTheme="minorEastAsia"/>
                <w:noProof/>
                <w:kern w:val="0"/>
                <w:lang w:val="it-IT" w:eastAsia="it-IT"/>
                <w14:ligatures w14:val="none"/>
              </w:rPr>
              <w:tab/>
            </w:r>
            <w:r w:rsidRPr="00981BDB">
              <w:rPr>
                <w:rStyle w:val="Collegamentoipertestuale"/>
                <w:rFonts w:ascii="Verdana" w:hAnsi="Verdana"/>
                <w:b/>
                <w:smallCaps/>
                <w:noProof/>
              </w:rPr>
              <w:t>Plnění, opravy a provozní omezení.</w:t>
            </w:r>
            <w:r>
              <w:rPr>
                <w:noProof/>
                <w:webHidden/>
              </w:rPr>
              <w:tab/>
            </w:r>
            <w:r>
              <w:rPr>
                <w:noProof/>
                <w:webHidden/>
              </w:rPr>
              <w:fldChar w:fldCharType="begin"/>
            </w:r>
            <w:r>
              <w:rPr>
                <w:noProof/>
                <w:webHidden/>
              </w:rPr>
              <w:instrText xml:space="preserve"> PAGEREF _Toc218845591 \h </w:instrText>
            </w:r>
            <w:r>
              <w:rPr>
                <w:noProof/>
                <w:webHidden/>
              </w:rPr>
            </w:r>
            <w:r>
              <w:rPr>
                <w:noProof/>
                <w:webHidden/>
              </w:rPr>
              <w:fldChar w:fldCharType="separate"/>
            </w:r>
            <w:r>
              <w:rPr>
                <w:noProof/>
                <w:webHidden/>
              </w:rPr>
              <w:t>8</w:t>
            </w:r>
            <w:r>
              <w:rPr>
                <w:noProof/>
                <w:webHidden/>
              </w:rPr>
              <w:fldChar w:fldCharType="end"/>
            </w:r>
          </w:hyperlink>
        </w:p>
        <w:p w14:paraId="5F96A0BB" w14:textId="730FDB52" w:rsidR="002C16C1" w:rsidRDefault="002C16C1">
          <w:pPr>
            <w:pStyle w:val="Sommario2"/>
            <w:rPr>
              <w:rFonts w:eastAsiaTheme="minorEastAsia"/>
              <w:noProof/>
              <w:kern w:val="0"/>
              <w:lang w:val="it-IT" w:eastAsia="it-IT"/>
              <w14:ligatures w14:val="none"/>
            </w:rPr>
          </w:pPr>
          <w:hyperlink w:anchor="_Toc218845592" w:history="1">
            <w:r w:rsidRPr="00981BDB">
              <w:rPr>
                <w:rStyle w:val="Collegamentoipertestuale"/>
                <w:rFonts w:ascii="Verdana" w:hAnsi="Verdana"/>
                <w:b/>
                <w:bCs/>
                <w:smallCaps/>
                <w:noProof/>
              </w:rPr>
              <w:t>11.</w:t>
            </w:r>
            <w:r>
              <w:rPr>
                <w:rFonts w:eastAsiaTheme="minorEastAsia"/>
                <w:noProof/>
                <w:kern w:val="0"/>
                <w:lang w:val="it-IT" w:eastAsia="it-IT"/>
                <w14:ligatures w14:val="none"/>
              </w:rPr>
              <w:tab/>
            </w:r>
            <w:r w:rsidRPr="00981BDB">
              <w:rPr>
                <w:rStyle w:val="Collegamentoipertestuale"/>
                <w:rFonts w:ascii="Verdana" w:hAnsi="Verdana"/>
                <w:b/>
                <w:smallCaps/>
                <w:noProof/>
              </w:rPr>
              <w:t>Reklamace a soudní spory.</w:t>
            </w:r>
            <w:r>
              <w:rPr>
                <w:noProof/>
                <w:webHidden/>
              </w:rPr>
              <w:tab/>
            </w:r>
            <w:r>
              <w:rPr>
                <w:noProof/>
                <w:webHidden/>
              </w:rPr>
              <w:fldChar w:fldCharType="begin"/>
            </w:r>
            <w:r>
              <w:rPr>
                <w:noProof/>
                <w:webHidden/>
              </w:rPr>
              <w:instrText xml:space="preserve"> PAGEREF _Toc218845592 \h </w:instrText>
            </w:r>
            <w:r>
              <w:rPr>
                <w:noProof/>
                <w:webHidden/>
              </w:rPr>
            </w:r>
            <w:r>
              <w:rPr>
                <w:noProof/>
                <w:webHidden/>
              </w:rPr>
              <w:fldChar w:fldCharType="separate"/>
            </w:r>
            <w:r>
              <w:rPr>
                <w:noProof/>
                <w:webHidden/>
              </w:rPr>
              <w:t>9</w:t>
            </w:r>
            <w:r>
              <w:rPr>
                <w:noProof/>
                <w:webHidden/>
              </w:rPr>
              <w:fldChar w:fldCharType="end"/>
            </w:r>
          </w:hyperlink>
        </w:p>
        <w:p w14:paraId="30A104F2" w14:textId="67066D42" w:rsidR="002C16C1" w:rsidRDefault="002C16C1">
          <w:pPr>
            <w:pStyle w:val="Sommario2"/>
            <w:rPr>
              <w:rFonts w:eastAsiaTheme="minorEastAsia"/>
              <w:noProof/>
              <w:kern w:val="0"/>
              <w:lang w:val="it-IT" w:eastAsia="it-IT"/>
              <w14:ligatures w14:val="none"/>
            </w:rPr>
          </w:pPr>
          <w:hyperlink w:anchor="_Toc218845593" w:history="1">
            <w:r w:rsidRPr="00981BDB">
              <w:rPr>
                <w:rStyle w:val="Collegamentoipertestuale"/>
                <w:rFonts w:ascii="Verdana" w:hAnsi="Verdana"/>
                <w:b/>
                <w:bCs/>
                <w:smallCaps/>
                <w:noProof/>
              </w:rPr>
              <w:t>12.</w:t>
            </w:r>
            <w:r>
              <w:rPr>
                <w:rFonts w:eastAsiaTheme="minorEastAsia"/>
                <w:noProof/>
                <w:kern w:val="0"/>
                <w:lang w:val="it-IT" w:eastAsia="it-IT"/>
                <w14:ligatures w14:val="none"/>
              </w:rPr>
              <w:tab/>
            </w:r>
            <w:r w:rsidRPr="00981BDB">
              <w:rPr>
                <w:rStyle w:val="Collegamentoipertestuale"/>
                <w:rFonts w:ascii="Verdana" w:hAnsi="Verdana"/>
                <w:b/>
                <w:smallCaps/>
                <w:noProof/>
              </w:rPr>
              <w:t>Vyšší moc.</w:t>
            </w:r>
            <w:r>
              <w:rPr>
                <w:noProof/>
                <w:webHidden/>
              </w:rPr>
              <w:tab/>
            </w:r>
            <w:r>
              <w:rPr>
                <w:noProof/>
                <w:webHidden/>
              </w:rPr>
              <w:fldChar w:fldCharType="begin"/>
            </w:r>
            <w:r>
              <w:rPr>
                <w:noProof/>
                <w:webHidden/>
              </w:rPr>
              <w:instrText xml:space="preserve"> PAGEREF _Toc218845593 \h </w:instrText>
            </w:r>
            <w:r>
              <w:rPr>
                <w:noProof/>
                <w:webHidden/>
              </w:rPr>
            </w:r>
            <w:r>
              <w:rPr>
                <w:noProof/>
                <w:webHidden/>
              </w:rPr>
              <w:fldChar w:fldCharType="separate"/>
            </w:r>
            <w:r>
              <w:rPr>
                <w:noProof/>
                <w:webHidden/>
              </w:rPr>
              <w:t>10</w:t>
            </w:r>
            <w:r>
              <w:rPr>
                <w:noProof/>
                <w:webHidden/>
              </w:rPr>
              <w:fldChar w:fldCharType="end"/>
            </w:r>
          </w:hyperlink>
        </w:p>
        <w:p w14:paraId="2C4777AE" w14:textId="2E9B2B19" w:rsidR="002C16C1" w:rsidRDefault="002C16C1">
          <w:pPr>
            <w:pStyle w:val="Sommario1"/>
            <w:rPr>
              <w:rFonts w:eastAsiaTheme="minorEastAsia"/>
              <w:noProof/>
              <w:kern w:val="0"/>
              <w:lang w:val="it-IT" w:eastAsia="it-IT"/>
              <w14:ligatures w14:val="none"/>
            </w:rPr>
          </w:pPr>
          <w:hyperlink w:anchor="_Toc218845594" w:history="1">
            <w:r w:rsidRPr="00981BDB">
              <w:rPr>
                <w:rStyle w:val="Collegamentoipertestuale"/>
                <w:rFonts w:ascii="Verdana" w:hAnsi="Verdana"/>
                <w:b/>
                <w:bCs/>
                <w:noProof/>
              </w:rPr>
              <w:t>13.</w:t>
            </w:r>
            <w:r>
              <w:rPr>
                <w:rFonts w:eastAsiaTheme="minorEastAsia"/>
                <w:noProof/>
                <w:kern w:val="0"/>
                <w:lang w:val="it-IT" w:eastAsia="it-IT"/>
                <w14:ligatures w14:val="none"/>
              </w:rPr>
              <w:tab/>
            </w:r>
            <w:r w:rsidRPr="00981BDB">
              <w:rPr>
                <w:rStyle w:val="Collegamentoipertestuale"/>
                <w:rFonts w:ascii="Verdana" w:hAnsi="Verdana"/>
                <w:b/>
                <w:smallCaps/>
                <w:noProof/>
              </w:rPr>
              <w:t>Jednostranné změny Zvláštních podmínek.</w:t>
            </w:r>
            <w:r>
              <w:rPr>
                <w:noProof/>
                <w:webHidden/>
              </w:rPr>
              <w:tab/>
            </w:r>
            <w:r>
              <w:rPr>
                <w:noProof/>
                <w:webHidden/>
              </w:rPr>
              <w:fldChar w:fldCharType="begin"/>
            </w:r>
            <w:r>
              <w:rPr>
                <w:noProof/>
                <w:webHidden/>
              </w:rPr>
              <w:instrText xml:space="preserve"> PAGEREF _Toc218845594 \h </w:instrText>
            </w:r>
            <w:r>
              <w:rPr>
                <w:noProof/>
                <w:webHidden/>
              </w:rPr>
            </w:r>
            <w:r>
              <w:rPr>
                <w:noProof/>
                <w:webHidden/>
              </w:rPr>
              <w:fldChar w:fldCharType="separate"/>
            </w:r>
            <w:r>
              <w:rPr>
                <w:noProof/>
                <w:webHidden/>
              </w:rPr>
              <w:t>11</w:t>
            </w:r>
            <w:r>
              <w:rPr>
                <w:noProof/>
                <w:webHidden/>
              </w:rPr>
              <w:fldChar w:fldCharType="end"/>
            </w:r>
          </w:hyperlink>
        </w:p>
        <w:p w14:paraId="4CC717CA" w14:textId="359B6007" w:rsidR="002C16C1" w:rsidRDefault="002C16C1">
          <w:pPr>
            <w:pStyle w:val="Sommario1"/>
            <w:rPr>
              <w:rFonts w:eastAsiaTheme="minorEastAsia"/>
              <w:noProof/>
              <w:kern w:val="0"/>
              <w:lang w:val="it-IT" w:eastAsia="it-IT"/>
              <w14:ligatures w14:val="none"/>
            </w:rPr>
          </w:pPr>
          <w:hyperlink w:anchor="_Toc218845595" w:history="1">
            <w:r w:rsidRPr="00981BDB">
              <w:rPr>
                <w:rStyle w:val="Collegamentoipertestuale"/>
                <w:rFonts w:ascii="Verdana" w:hAnsi="Verdana"/>
                <w:b/>
                <w:bCs/>
                <w:smallCaps/>
                <w:noProof/>
              </w:rPr>
              <w:t>14.</w:t>
            </w:r>
            <w:r>
              <w:rPr>
                <w:rFonts w:eastAsiaTheme="minorEastAsia"/>
                <w:noProof/>
                <w:kern w:val="0"/>
                <w:lang w:val="it-IT" w:eastAsia="it-IT"/>
                <w14:ligatures w14:val="none"/>
              </w:rPr>
              <w:tab/>
            </w:r>
            <w:r w:rsidRPr="00981BDB">
              <w:rPr>
                <w:rStyle w:val="Collegamentoipertestuale"/>
                <w:rFonts w:ascii="Verdana" w:hAnsi="Verdana"/>
                <w:b/>
                <w:smallCaps/>
                <w:noProof/>
              </w:rPr>
              <w:t>Rozhodné právo, jazyk a soudní příslušnost.</w:t>
            </w:r>
            <w:r>
              <w:rPr>
                <w:noProof/>
                <w:webHidden/>
              </w:rPr>
              <w:tab/>
            </w:r>
            <w:r>
              <w:rPr>
                <w:noProof/>
                <w:webHidden/>
              </w:rPr>
              <w:fldChar w:fldCharType="begin"/>
            </w:r>
            <w:r>
              <w:rPr>
                <w:noProof/>
                <w:webHidden/>
              </w:rPr>
              <w:instrText xml:space="preserve"> PAGEREF _Toc218845595 \h </w:instrText>
            </w:r>
            <w:r>
              <w:rPr>
                <w:noProof/>
                <w:webHidden/>
              </w:rPr>
            </w:r>
            <w:r>
              <w:rPr>
                <w:noProof/>
                <w:webHidden/>
              </w:rPr>
              <w:fldChar w:fldCharType="separate"/>
            </w:r>
            <w:r>
              <w:rPr>
                <w:noProof/>
                <w:webHidden/>
              </w:rPr>
              <w:t>11</w:t>
            </w:r>
            <w:r>
              <w:rPr>
                <w:noProof/>
                <w:webHidden/>
              </w:rPr>
              <w:fldChar w:fldCharType="end"/>
            </w:r>
          </w:hyperlink>
        </w:p>
        <w:p w14:paraId="0CE88876" w14:textId="6947186F" w:rsidR="002C16C1" w:rsidRDefault="002C16C1">
          <w:pPr>
            <w:pStyle w:val="Sommario2"/>
            <w:rPr>
              <w:rFonts w:eastAsiaTheme="minorEastAsia"/>
              <w:noProof/>
              <w:kern w:val="0"/>
              <w:lang w:val="it-IT" w:eastAsia="it-IT"/>
              <w14:ligatures w14:val="none"/>
            </w:rPr>
          </w:pPr>
          <w:hyperlink w:anchor="_Toc218845596" w:history="1">
            <w:r w:rsidRPr="00981BDB">
              <w:rPr>
                <w:rStyle w:val="Collegamentoipertestuale"/>
                <w:rFonts w:ascii="Verdana" w:hAnsi="Verdana"/>
                <w:b/>
                <w:bCs/>
                <w:smallCaps/>
                <w:noProof/>
              </w:rPr>
              <w:t>15.</w:t>
            </w:r>
            <w:r>
              <w:rPr>
                <w:rFonts w:eastAsiaTheme="minorEastAsia"/>
                <w:noProof/>
                <w:kern w:val="0"/>
                <w:lang w:val="it-IT" w:eastAsia="it-IT"/>
                <w14:ligatures w14:val="none"/>
              </w:rPr>
              <w:tab/>
            </w:r>
            <w:r w:rsidRPr="00981BDB">
              <w:rPr>
                <w:rStyle w:val="Collegamentoipertestuale"/>
                <w:rFonts w:ascii="Verdana" w:hAnsi="Verdana"/>
                <w:b/>
                <w:smallCaps/>
                <w:noProof/>
              </w:rPr>
              <w:t>Komunikace.</w:t>
            </w:r>
            <w:r>
              <w:rPr>
                <w:noProof/>
                <w:webHidden/>
              </w:rPr>
              <w:tab/>
            </w:r>
            <w:r>
              <w:rPr>
                <w:noProof/>
                <w:webHidden/>
              </w:rPr>
              <w:fldChar w:fldCharType="begin"/>
            </w:r>
            <w:r>
              <w:rPr>
                <w:noProof/>
                <w:webHidden/>
              </w:rPr>
              <w:instrText xml:space="preserve"> PAGEREF _Toc218845596 \h </w:instrText>
            </w:r>
            <w:r>
              <w:rPr>
                <w:noProof/>
                <w:webHidden/>
              </w:rPr>
            </w:r>
            <w:r>
              <w:rPr>
                <w:noProof/>
                <w:webHidden/>
              </w:rPr>
              <w:fldChar w:fldCharType="separate"/>
            </w:r>
            <w:r>
              <w:rPr>
                <w:noProof/>
                <w:webHidden/>
              </w:rPr>
              <w:t>12</w:t>
            </w:r>
            <w:r>
              <w:rPr>
                <w:noProof/>
                <w:webHidden/>
              </w:rPr>
              <w:fldChar w:fldCharType="end"/>
            </w:r>
          </w:hyperlink>
        </w:p>
        <w:p w14:paraId="544723A2" w14:textId="4FC7D5CE"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8845582"/>
      <w:r>
        <w:rPr>
          <w:rFonts w:ascii="Verdana" w:hAnsi="Verdana"/>
          <w:b/>
          <w:smallCaps/>
          <w:sz w:val="20"/>
        </w:rPr>
        <w:t>Definice</w:t>
      </w:r>
      <w:r>
        <w:rPr>
          <w:rFonts w:ascii="Verdana" w:hAnsi="Verdana"/>
          <w:sz w:val="20"/>
        </w:rPr>
        <w:t>.</w:t>
      </w:r>
      <w:bookmarkEnd w:id="1"/>
    </w:p>
    <w:p w14:paraId="05C1936D" w14:textId="6781513C" w:rsidR="00881A72" w:rsidRPr="00E9150B" w:rsidRDefault="00E93843" w:rsidP="00087BF5">
      <w:pPr>
        <w:pStyle w:val="Paragrafoelenco"/>
        <w:spacing w:line="360" w:lineRule="auto"/>
        <w:ind w:left="0"/>
        <w:jc w:val="both"/>
        <w:rPr>
          <w:rFonts w:ascii="Verdana" w:hAnsi="Verdana"/>
          <w:sz w:val="20"/>
          <w:szCs w:val="20"/>
        </w:rPr>
      </w:pPr>
      <w:r>
        <w:t>Kromě dalších definic uvedených ve „Všeobecných podmínkách online tržiště Fleequid®“ (dále jen „Všeobecné podmínky“), které jsou k dispozici v příslušné sekci (</w:t>
      </w:r>
      <w:hyperlink r:id="rId11" w:tgtFrame="_blank" w:history="1">
        <w:r>
          <w:rPr>
            <w:rStyle w:val="Collegamentoipertestuale"/>
            <w:rFonts w:ascii="Verdana" w:hAnsi="Verdana"/>
            <w:sz w:val="20"/>
          </w:rPr>
          <w:t>https://fleequid.com/it/ terms-and-conditions</w:t>
        </w:r>
      </w:hyperlink>
      <w:r>
        <w:t xml:space="preserve">), </w:t>
      </w:r>
      <w:r>
        <w:lastRenderedPageBreak/>
        <w:t xml:space="preserve">které upravují online tržiště Fleequid® a které jsou zde v plném znění uvedeny a přepsány, platí pro účely těchto </w:t>
      </w:r>
      <w:r>
        <w:rPr>
          <w:b/>
          <w:bCs/>
        </w:rPr>
        <w:t>Zvláštních podmínek záruky Powertrain Fleequid® („ZPZ“</w:t>
      </w:r>
      <w:r>
        <w:t>) následující definice:</w:t>
      </w:r>
    </w:p>
    <w:bookmarkEnd w:id="0"/>
    <w:p w14:paraId="5733DC96" w14:textId="4068F20A"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„Kupující“</w:t>
      </w:r>
      <w:r>
        <w:rPr>
          <w:rFonts w:ascii="Verdana" w:hAnsi="Verdana"/>
          <w:sz w:val="20"/>
        </w:rPr>
        <w:t>: osoba, která nákupem vozidla na online tržišti Fleequid® v rámci své podnikatelské nebo profesní činnosti požádá o záruku Powertrain s její následnou aktivací. Služba není určena pro spotřebitele ve smyslu legislativního nařízení 206/2005 (spotřebitelského zákona).</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Karence“</w:t>
      </w:r>
      <w:r>
        <w:rPr>
          <w:rFonts w:ascii="Verdana" w:hAnsi="Verdana"/>
          <w:sz w:val="20"/>
        </w:rPr>
        <w:t>: počáteční období, které začíná běžet od data aktivace záruky Powertrain, ať už je aktivace provedena současně s prodejem nebo až po něm, během kterého záruka není platná a nekryje poruchy vzniklé na vozidle.</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„Autorizovaný servis“</w:t>
      </w:r>
      <w:r>
        <w:rPr>
          <w:rFonts w:ascii="Verdana" w:hAnsi="Verdana"/>
          <w:sz w:val="20"/>
        </w:rPr>
        <w:t>: dílna nebo servisní středisko určené nebo dříve autorizované společností Fleequid® k provádění oprav a zásahů, na které se vztahuje záruka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„Kryté komponenty“</w:t>
      </w:r>
      <w:r>
        <w:rPr>
          <w:rFonts w:ascii="Verdana" w:hAnsi="Verdana"/>
          <w:sz w:val="20"/>
        </w:rPr>
        <w:t>: hlavní součásti motoru a převodovky vozidla, na které se vztahuje Záruka, jak je podrobně popsáno v těchto ZPZ.</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„Vyloučené komponenty“</w:t>
      </w:r>
      <w:r>
        <w:rPr>
          <w:rFonts w:ascii="Verdana" w:hAnsi="Verdana"/>
          <w:sz w:val="20"/>
        </w:rPr>
        <w:t>: orgány, díly a příslušenství vozidla, které nespadají pod kryté komponenty, a jsou proto vyloučeny ze Záruky, jak je podrobně uvedeno v těchto ZPZ.</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w:t>
      </w:r>
      <w:r>
        <w:rPr>
          <w:rFonts w:ascii="Verdana" w:hAnsi="Verdana"/>
          <w:b/>
          <w:i/>
          <w:sz w:val="20"/>
        </w:rPr>
        <w:t xml:space="preserve">Zvláštní podmínky záruky Powertrain“ </w:t>
      </w:r>
      <w:r>
        <w:rPr>
          <w:rFonts w:ascii="Verdana" w:hAnsi="Verdana"/>
          <w:sz w:val="20"/>
        </w:rPr>
        <w:t>nebo „</w:t>
      </w:r>
      <w:r>
        <w:rPr>
          <w:rFonts w:ascii="Verdana" w:hAnsi="Verdana"/>
          <w:b/>
          <w:bCs/>
          <w:sz w:val="20"/>
        </w:rPr>
        <w:t>ZPZ</w:t>
      </w:r>
      <w:r>
        <w:rPr>
          <w:rFonts w:ascii="Verdana" w:hAnsi="Verdana"/>
          <w:sz w:val="20"/>
        </w:rPr>
        <w:t>“: tyto zvláštní podmínky upravující lhůty a podmínky poskytnutí služby záruky Powertrain (na motor a převodovku) nabízené společností Fleequid®. Vztah přednosti mezi těmito ZPZ, případnými dalšími Zvláštními podmínkami a/nebo Zvláštními aukčními podmínkami a/nebo individuálními smlouvami a Všeobecnými obchodními podmínkami online tržiště Fleequid® je upraven těmito posledně uvedenými.</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má význam daný Všeobecnými obchodními podmínkami online tržiště Fleequid® a pro účely těchto ZPZ zahrnuje společnost Adorea S.r.l. nebo jinou právnickou osobu, kterou určí jako poskytovatele záruky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„Důvěrný znalec“</w:t>
      </w:r>
      <w:r>
        <w:rPr>
          <w:rFonts w:ascii="Verdana" w:hAnsi="Verdana"/>
          <w:sz w:val="20"/>
        </w:rPr>
        <w:t>: technik jmenovaný společností Fleequid®, aby zjistil příčinu závady a ověřil podmínky použitelnosti Záruky.</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„Záruka Powertrain“</w:t>
      </w:r>
      <w:r>
        <w:rPr>
          <w:rFonts w:ascii="Verdana" w:hAnsi="Verdana"/>
          <w:sz w:val="20"/>
        </w:rPr>
        <w:t>: volitelná, nepojistná, komerční záruka, v rámci které společnost Fleequid® přímo přebírá za poplatek závazek poskytnout krytí poruch a závad hlavních součástí motoru a převodovky vozidla prodaného na online tržišti, a to v rámci omezení, podmínek a výluk stanovených v těchto ZPZ.</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„Vozidlo“</w:t>
      </w:r>
      <w:r>
        <w:rPr>
          <w:rFonts w:ascii="Verdana" w:hAnsi="Verdana"/>
          <w:sz w:val="20"/>
        </w:rPr>
        <w:t>: vozidlo, jak je definováno ve Všeobecných obchodních podmínkách online tržiště Fleequid®, pro které kupující požádal o záruku Powertrain s její následnou aktivací.</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8845583"/>
      <w:r>
        <w:rPr>
          <w:rFonts w:ascii="Verdana" w:hAnsi="Verdana"/>
          <w:b/>
          <w:smallCaps/>
          <w:sz w:val="20"/>
        </w:rPr>
        <w:t>Předmět služby</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Tyto zvláštní podmínky upravují </w:t>
      </w:r>
      <w:r>
        <w:rPr>
          <w:rFonts w:ascii="Verdana" w:hAnsi="Verdana"/>
          <w:b/>
          <w:sz w:val="20"/>
        </w:rPr>
        <w:t>Záruku Powertrain</w:t>
      </w:r>
      <w:r>
        <w:rPr>
          <w:rFonts w:ascii="Verdana" w:hAnsi="Verdana"/>
          <w:sz w:val="20"/>
        </w:rPr>
        <w:t xml:space="preserve"> nabízenou společností Fleequid® kupujícím, kteří o ni požádají a řádně zaplatí příslušný poplatek.</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Záruka Powertrain má charakter volitelné </w:t>
      </w:r>
      <w:r>
        <w:rPr>
          <w:rFonts w:ascii="Verdana" w:hAnsi="Verdana"/>
          <w:b/>
          <w:sz w:val="20"/>
        </w:rPr>
        <w:t>komerční záruky</w:t>
      </w:r>
      <w:r>
        <w:rPr>
          <w:rFonts w:ascii="Verdana" w:hAnsi="Verdana"/>
          <w:sz w:val="20"/>
        </w:rPr>
        <w:t xml:space="preserve"> a v žádném případě nepředstavuje pojistný produkt. Riziko spojené s plněním Záruky nese přímo společnost </w:t>
      </w:r>
      <w:r>
        <w:rPr>
          <w:rFonts w:ascii="Verdana" w:hAnsi="Verdana"/>
          <w:sz w:val="20"/>
        </w:rPr>
        <w:lastRenderedPageBreak/>
        <w:t>Fleequid®.</w:t>
      </w:r>
      <w:r>
        <w:t xml:space="preserve"> </w:t>
      </w:r>
      <w:r>
        <w:rPr>
          <w:rFonts w:ascii="Verdana" w:hAnsi="Verdana"/>
          <w:sz w:val="20"/>
        </w:rPr>
        <w:t>Fleequid® není pojišťovnou ani pojišťovacím zprostředkovatelem a nepodléhá dohledu IVASS ani předpisům zákoníku soukromého pojištění.</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Záruka se vztahuje výhradně na </w:t>
      </w:r>
      <w:r>
        <w:rPr>
          <w:rFonts w:ascii="Verdana" w:hAnsi="Verdana"/>
          <w:b/>
          <w:sz w:val="20"/>
        </w:rPr>
        <w:t>kryté komponenty</w:t>
      </w:r>
      <w:r>
        <w:rPr>
          <w:rFonts w:ascii="Verdana" w:hAnsi="Verdana"/>
          <w:sz w:val="20"/>
        </w:rPr>
        <w:t xml:space="preserve"> vozidla, a to s omezením na poruchy a závady vzniklé během doby platnosti služby a v rámci omezení, podmínek a výluk uvedených v těchto ZPZ.</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 důsledku toho zůstávají ze Záruky vyloučeny všechny </w:t>
      </w:r>
      <w:r>
        <w:rPr>
          <w:rFonts w:ascii="Verdana" w:hAnsi="Verdana"/>
          <w:b/>
          <w:sz w:val="20"/>
        </w:rPr>
        <w:t xml:space="preserve">vyloučené </w:t>
      </w:r>
      <w:r>
        <w:rPr>
          <w:rFonts w:ascii="Verdana" w:hAnsi="Verdana"/>
          <w:b/>
          <w:bCs/>
          <w:sz w:val="20"/>
        </w:rPr>
        <w:t>komponenty</w:t>
      </w:r>
      <w:r>
        <w:rPr>
          <w:rFonts w:ascii="Verdana" w:hAnsi="Verdana"/>
          <w:sz w:val="20"/>
        </w:rPr>
        <w:t xml:space="preserve"> a případy a okolnosti uvedené v následujících článcích.</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Vztah mezi těmito ZPZ a Všeobecnými obchodními podmínkami se řídí článkem 3.3 </w:t>
      </w:r>
      <w:r>
        <w:rPr>
          <w:rFonts w:ascii="Verdana" w:hAnsi="Verdana"/>
          <w:i/>
          <w:sz w:val="20"/>
        </w:rPr>
        <w:t>Všeobecných obchodních podmínek online tržiště Fleequid®</w:t>
      </w:r>
      <w:r>
        <w:rPr>
          <w:rFonts w:ascii="Verdana" w:hAnsi="Verdana"/>
          <w:sz w:val="20"/>
        </w:rPr>
        <w:t>: tyto ZPZ mají v případě rozporu přednost před Všeobecnými obchodními podmínkami, s omezením na úpravu záruky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8845584"/>
      <w:r>
        <w:rPr>
          <w:rFonts w:ascii="Verdana" w:hAnsi="Verdana"/>
          <w:b/>
          <w:smallCaps/>
          <w:sz w:val="20"/>
        </w:rPr>
        <w:t>Kryté a vyloučené komponenty</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Kryté komponenty - </w:t>
      </w:r>
      <w:r>
        <w:rPr>
          <w:rFonts w:ascii="Verdana" w:hAnsi="Verdana"/>
          <w:sz w:val="20"/>
        </w:rPr>
        <w:t xml:space="preserve">Záruka Powertrain se vztahuje výhradně na hlavní mechanické části </w:t>
      </w:r>
      <w:r>
        <w:rPr>
          <w:rFonts w:ascii="Verdana" w:hAnsi="Verdana"/>
          <w:b/>
          <w:sz w:val="20"/>
        </w:rPr>
        <w:t>motoru</w:t>
      </w:r>
      <w:r>
        <w:rPr>
          <w:rFonts w:ascii="Verdana" w:hAnsi="Verdana"/>
          <w:sz w:val="20"/>
        </w:rPr>
        <w:t xml:space="preserve"> a </w:t>
      </w:r>
      <w:r>
        <w:rPr>
          <w:rFonts w:ascii="Verdana" w:hAnsi="Verdana"/>
          <w:b/>
          <w:sz w:val="20"/>
        </w:rPr>
        <w:t>převodovky</w:t>
      </w:r>
      <w:r>
        <w:rPr>
          <w:rFonts w:ascii="Verdana" w:hAnsi="Verdana"/>
          <w:sz w:val="20"/>
        </w:rPr>
        <w:t xml:space="preserve"> vozidla, kterými se rozumí</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pro </w:t>
      </w:r>
      <w:r>
        <w:rPr>
          <w:rFonts w:ascii="Verdana" w:hAnsi="Verdana"/>
          <w:b/>
          <w:sz w:val="20"/>
        </w:rPr>
        <w:t>motor</w:t>
      </w:r>
      <w:r>
        <w:rPr>
          <w:rFonts w:ascii="Verdana" w:hAnsi="Verdana"/>
          <w:sz w:val="20"/>
        </w:rPr>
        <w:t>: blok motoru, hlava válců, klikový hřídel, písty, ojnice, ventily, vačkové hřídele a další díly, které jsou nezbytně nutné pro provoz motoru;</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pro </w:t>
      </w:r>
      <w:r>
        <w:rPr>
          <w:rFonts w:ascii="Verdana" w:hAnsi="Verdana"/>
          <w:b/>
          <w:sz w:val="20"/>
        </w:rPr>
        <w:t>převodovku</w:t>
      </w:r>
      <w:r>
        <w:rPr>
          <w:rFonts w:ascii="Verdana" w:hAnsi="Verdana"/>
          <w:sz w:val="20"/>
        </w:rPr>
        <w:t>: převodová skříň, ozubená kola, hřídele, ložiska, diferenciál a další díly, které jsou nezbytně nutné pro provoz manuální nebo automatické převodovky.</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Vyloučené komponenty - </w:t>
      </w:r>
      <w:r>
        <w:rPr>
          <w:rFonts w:ascii="Verdana" w:hAnsi="Verdana"/>
          <w:sz w:val="20"/>
        </w:rPr>
        <w:t>Z krytí záruky Powertrain sou mimo jiné vyloučeny:</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díly podléhající běžnému opotřebení (např. spojka, kotouče, řemeny, filtry, těsnění, hadice, kapaliny a spotřební materiál);</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elektrické, elektronické systémy a příslušenství, které nejsou úzce funkčně spojeny s motorem nebo převodovkou (např. alternátor, startér, kabelové svazky, řídicí jednotky jiné než pro motor nebo převodovku);</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výfukové systémy a systémy pro úpravu emisí (např. katalyzátory, filtry pevných částic, EGR, systémy AdBlue, lambda sondy);</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součásti vně motoru a převodovky (např. chladiče, vodní čerpadla, pomocná čerpadla, kompresor klimatizace, pružné uložení, setrvačník);</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celý systém klimatizace a klimatizace prostoru pro cestující, mimo jiné včetně kompresoru klimatizace, kondenzátoru, výparníku, elektrických ventilátorů, ventilátorů, potrubí a armatur, čidel, expanzních ventilů, řídicích jednotek a řídicích modulů klimatizace;</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poškození v důsledku nárazů, nehod, požáru, krádeže, přírodních katastrof, nesprávného použití nebo manipulace;</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vady, které se vyskytovaly již v době dodání vozidla nebo v jakémkoli případě vznikly před datem aktivace Služby, včetně těch, které se vyskytly v průběhu karence.</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 taxativnosti</w:t>
      </w:r>
      <w:r>
        <w:rPr>
          <w:rFonts w:ascii="Verdana" w:hAnsi="Verdana"/>
          <w:sz w:val="20"/>
        </w:rPr>
        <w:t xml:space="preserve"> - Aktivací služby záruky Powertrain kupující souhlasí a bere na vědomí, že krytí se vztahuje pouze na zahrnuté díly uvedené výše a že vše, co není výslovně zahrnuto, je ze záruky vyloučeno.</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8845585"/>
      <w:r>
        <w:rPr>
          <w:rFonts w:ascii="Verdana" w:hAnsi="Verdana"/>
          <w:b/>
          <w:smallCaps/>
          <w:sz w:val="20"/>
        </w:rPr>
        <w:t>Zahájení, doba trvání a podmínky účinnosti.</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Powertrain začíná dnem předání vozidla kupujícímu, který je uveden v prodejních a přepravních dokladech. Pokud je záruka Powertrain zakoupena po prodeji vozidla, začíná dnem uvedeným společností Fleequid® ve smluvní dokumentaci, kterou se Služba aktivuje, za předpokladu, že:</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vozidlo bylo společností Fleequid® znovu oceněno na základě znaleckého posudku nebo se společnost Fleequid® znaleckého posudku formálně vzdala;</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kupující v plné výši uhradil cenu za službu.</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souhlasí a bere na vědomí, že záruka Powertrain se nevztahuje na poruchy nebo závady, které se vyskytly nebo projevily již před dodáním vozidla, ani na poruchy nebo závady, které se vyskytly před datem zahájení platnosti Služby nebo během karence.</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Powertrain má pevně stanovenou dobu trvání, kterou si kupující zvolí při podpisu smlouvy z následujících možností:</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(tři) měsíce nebo 15.000 (patnáct tisíc)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(šest) měsíců nebo 30.000 (třicet tisíc)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(devět) měsíců nebo 45.000 (čtyřicet pět tisíc)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(dvanáct) měsíců nebo 60.000 (šedesát tisíc)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Služba se automaticky neprodlužuje a zaniká po dosažení zvoleného časového limitu nebo limitu ujetých kilometrů, podle toho, co nastane dříve.</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Powertrain může být aktivována pouze u vozidel, která ke dni zahájení Služby splňují následující požadavky (článek 4.1):</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stáří nejvýše 15 (patnáct) let po první registraci;</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zdokumentovaný počet najetých kilometrů a údržba podle následující tabulky:</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Kategorie vozidla</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Běžný limit najetých kilometrů</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Přijatelnost nad rámec limitu</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Autobus třídy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Povoleno, pokud motor a převodovka prošly během posledních 250.000 km generální opravou (s oficiální dokumentací).</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Autobus třídy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Povoleno, pokud motor a převodovka prošly během posledních 250.000 km generální opravou (s oficiální dokumentací).</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třídy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Povoleno, pokud motor a převodovka prošly během posledních 100.000 km generální opravou (s oficiální dokumentací).</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třídy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Povoleno, pokud motor a převodovka prošly během posledních 100.000 km generální opravou (s oficiální dokumentací).</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lastRenderedPageBreak/>
              <w:t>Školní autobus</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Povoleno, pokud motor a převodovka prošly během posledních 100.000 km generální opravou (s oficiální dokumentací).</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V současné době je záruka Powertrain k dispozici pouze pro autobusy a minibusy.</w:t>
      </w:r>
      <w:r>
        <w:rPr>
          <w:rFonts w:ascii="Verdana" w:hAnsi="Verdana"/>
          <w:sz w:val="20"/>
        </w:rPr>
        <w:br/>
        <w:t>Společnost Fleequid® si vyhrazuje právo rozšířit, aktualizovat nebo upravit kategorie vozidel, na které se vztahuje záruka, a to výslovným uvedením v předsmluvní dokumentaci nebo ve zvláštních přílohách těchto ZPZ, které budou kupujícímu předloženy při podpisu.</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 případě zcizení nebo převodu vozidla na třetí osobu záruka Powertrain automaticky zaniká bez nároku na náhradu. Jakýkoli převod záruky na nového vlastníka je možný pouze s předchozím písemným souhlasem společnosti Fleequid® a je podmíněn zaplacením příslušných poplatků původním nebo novým kupujícím. Tím není dotčeno ukončení záruky Powertrain v případě, že kupující nesplní své povinnosti podle těchto ZPZ.</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Pokud je Záruka Powertrain zakoupena po prodeji vozidla (čl. 4.1, druhá věta), pojištění začne platit až po uplynutí doby karence v délce 30 (třiceti) dnů od zahájení Služby nebo po ujetí prvního 1.000 (jednoho tisíce) kilometrů vozidlem po tomto datu, podle toho, která událost nastane později. Během doby karence pojištění nekryje žádné poruchy ani závady. Doba karence se ovšem neuplatní, pokud je Služba zakoupena současně s nákupem Vozidla v prodejním procesu na online tržišti Fleequid® před dodáním vozidla.</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8845586"/>
      <w:r>
        <w:rPr>
          <w:rFonts w:ascii="Verdana" w:hAnsi="Verdana"/>
          <w:b/>
          <w:smallCaps/>
          <w:sz w:val="20"/>
        </w:rPr>
        <w:t>Územní působnost.</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Záruka Powertrain je platná a účinná pro vozidla používaná a opravovaná v jakékoli zemi, pokud společnost Fleequid® výslovně neoznámí kupujícímu jiné omezení či výluky v předsmluvní nebo smluvní dokumentaci, kterou se Služba aktivuje.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Záruční práce musí být prováděny v autorizovaných servisech určených nebo předem schválených společností Fleequid®. Jakákoli oprava provedená mimo tato střediska bude mít za následek ztrátu práva na krytí, pokud ji společnost Fleequid® předem písemně neschválí.</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Kupující souhlasí a bere na vědomí, že pokud je vozidlo převezeno nebo používáno v zemích, pro které společnost Fleequid® sdělila specifická omezení, záruka Powertrain zůstane nefunkční po celou dobu pobytu v těchto zemích.</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8845587"/>
      <w:bookmarkEnd w:id="8"/>
      <w:r>
        <w:rPr>
          <w:rFonts w:ascii="Verdana" w:hAnsi="Verdana"/>
          <w:b/>
          <w:smallCaps/>
          <w:sz w:val="20"/>
        </w:rPr>
        <w:t>Povinnosti kupujícího.</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provádět nebo nechat provádět běžnou a mimořádnou údržbu vozidla v souladu s předpisy výrobce a s platnými předpisy a uchovávat příslušnou dokumentaci (faktury, servisní knížky, účtenky apod.), kterou na žádost společnosti Fleequid® předloží.</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oznámit společnosti Fleequid® jakoukoli závadu nebo poruchu nejpozději do 5 (pěti) pracovních dnů od jejího vzniku, a to zasláním žádosti o zásah způsobem stanoveným společností Fleequid® a přiložením potřebné dokumentace (popis závady, počet najetých kilometrů, fotografie, kopie servisní knížky atd.).</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Kupující nesmí provádět nebo nechat provádět žádné opravy nebo zásahy na krytých komponentech bez předchozího písemného souhlasu společnosti Fleequid®. Jakýkoli neoprávněný zásah bude mít za následek ztrátu nároku na krytí příslušných závad.</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spolupracovat s důvěrným znalcem jmenovaným společností Fleequid® při nezbytných kontrolách a umožnit mu přístup k vozidlu za účelem kontroly.</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používat vozidlo v souladu s jeho určením, platnými předpisy a pokyny výrobce, zdržet se přetěžování, manipulace, nesprávného používání nebo jakéhokoli používání, které není slučitelné s běžnou odbornou péčí (zásada poctivého používání).</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 případě výstražných kontrolek, zvukových signálů, zjevných poruch nebo jakýchkoli okolností, které mohou důvodně předpokládat bezprostřední poškození krytých komponentů, musí kupující okamžitě přestat vozidlo používat a požádat o zásah společnost Fleequid®. Pokračování v jízdě za těchto podmínek má za následek ztrátu krytí dalších nebo větších škod, které z takového jednání vyplývají.</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souhlasí a bere na vědomí, že nesplnění povinností stanovených v tomto článku má za následek úplnou nebo částečnou ztrátu nároku na krytí v rámci záruky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8845588"/>
      <w:r>
        <w:rPr>
          <w:rFonts w:ascii="Verdana" w:hAnsi="Verdana"/>
          <w:b/>
          <w:smallCaps/>
          <w:sz w:val="20"/>
        </w:rPr>
        <w:t>Nahlášení pojistné události.</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Tento postup má za účel umožnit společnosti Fleequid® včasné a efektivní řešení poruch krytých Zárukou Powertrain, předejít zhoršení škod a zajistit, aby zásahy byly prováděny výhradně v Autorizovaných servisech.</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Kupující oznámí společnosti Fleequid® výskyt poruchy nebo závady písemnou žádostí zaslanou výhradně prostřednictvím komunikačních kanálů uvedených v bodě 7.3. Hlášení musí být podáno nejpozději do 5 (pěti) pracovních dnů od vzniku poruchy. Nedodržení této lhůty má za následek automatické propadnutí nároku na krytí pro nahlášenou událost.</w:t>
      </w:r>
    </w:p>
    <w:p w14:paraId="6881D941" w14:textId="67164EC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Hlášení pojistné události musí být zasláno výhradně na následující speciální e-mailovou adresu: </w:t>
      </w:r>
      <w:hyperlink r:id="rId12" w:history="1">
        <w:r>
          <w:rPr>
            <w:rStyle w:val="Collegamentoipertestuale"/>
            <w:rFonts w:ascii="Verdana" w:hAnsi="Verdana"/>
            <w:b/>
            <w:sz w:val="20"/>
          </w:rPr>
          <w:t>warranty@fleequid.com</w:t>
        </w:r>
      </w:hyperlink>
      <w:r>
        <w:rPr>
          <w:rFonts w:ascii="Verdana" w:hAnsi="Verdana"/>
          <w:sz w:val="20"/>
        </w:rPr>
        <w:t>. Sdělení zaslaná jinými kanály, a to i v případě, že je předložen doklad o jejich přijetí společností Fleequid® (např. telefon, instantní zprávy, certifikovaná elektronická pošta, běžné dopisy nebo jiné e-mailové adresy), nejsou platná, a proto nemají pro účely Záruky žádný účinek.</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Hlášení musí obsahovat alespoň:</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identifikační údaje kupujícího a vozidla (SPZ, č. podvozku/VIN, najeté km);</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popis poruchy nebo závady a datum jejího výskytu;</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umístění vozidla;</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fotografickou dokumentaci (je-li k dispozici);</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kopii dokumentace o údržbě a předchozích zásazích (pokud jsou vyžadovány).</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společnost Fleequid® přistoupí k zahájení řešení pojistné události, jmenuje důvěrného znalce pro technické kontroly a následně písemně schválí případné zásahy v autorizovaném servisu. Jakékoli práce provedené bez předchozího písemného souhlasu společnosti Fleequid® mají za následek ztrátu práva na krytí.</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8845589"/>
      <w:r>
        <w:rPr>
          <w:rFonts w:ascii="Verdana" w:hAnsi="Verdana"/>
          <w:b/>
          <w:smallCaps/>
          <w:sz w:val="20"/>
        </w:rPr>
        <w:t>Řešení pojistné události.</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o škodě v souladu s článkem 7 společnost Fleequid® zahájí řízení a může podle vlastního uvážení jmenovat důvěrného znalce pověřeného zjištěním příčiny poruchy a ověřením podmínek pro uplatnění záruky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Kupující je povinen:</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zpřístupnit vozidlo důvěrnému znalci a umožnit mu provést nezbytné kontroly;</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neprovádět nebo nenechat z vlastního podnětu provést jakékoli technické šetření, demontáž nebo zásahy, které by mohly znemožnit nebo ztížit zjištění příčiny škody.</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Porušení těchto povinností vede k automatické ztrátě práva na krytí nahlášené události.</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Společnost Fleequid® oznámí kupujícímu výsledek šetření do 10 (deseti) pracovních dnů od obdržení zprávy důvěrného znalce, pokud byl jmenován, nebo od dokončení interního posouzení.</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Výsledek řešení pojistné události může spočívat:</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v povolení a provedení opravy nebo výměny krytých součástí v autorizovaném servisu, přičemž náklady ponese společnost Fleequid® v rámci těchto ZPZ;</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případně, pokud to společnost Fleequid® uzná za vhodné, v možnosti pověřit kupujícího, aby opravu provedl ve zvoleném středisku, s následnou úhradou pouze skutečně vynaložených a doložených nákladů, s výhradou doručení originálů faktur společnosti Fleequid®, ověření souladu s těmito ZPZ a doručení dokladu o zaplacení. Společnost Fleequid® provede platbu do 30 (třiceti) pracovních dnů po kladném výsledku ověření podmínek;</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v zamítnutí reklamace, pokud nejsou splněny podmínky pro uplatnění záruky Powertrain.</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Jakákoli oprava podléhá předchozímu písemnému souhlasu společnosti Fleequid®. V případě, že takový souhlas neexistuje, nese náklady v plné výši kupující.</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8845590"/>
      <w:r>
        <w:rPr>
          <w:rFonts w:ascii="Verdana" w:hAnsi="Verdana"/>
          <w:b/>
          <w:smallCaps/>
          <w:sz w:val="20"/>
        </w:rPr>
        <w:t>Limity krytí a odpovědnosti.</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Záruka Powertrain se vztahuje pouze na opravu nebo výměnu krytých dílů v rámci omezení, podmínek a způsobů stanovených v těchto ZPZ. Společnost Fleequid® přebírá pouze ekonomické riziko vyplývající z finanční ztráty spojené s nutností opravy nebo výměny těchto součástí, s vyloučením jakýchkoli dalších závazků na odškodnění, náhradu nebo kompenzaci.</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Zejména je vyloučena jakákoli odpovědnost společnosti Fleequid® za:</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přímé nebo nepřímé škody vzniklé v důsledku poruchy krytých komponentů (mimo jiné včetně technického výpadku, ztráty možnosti používat vozidlo, ztráty obratu nebo smluv, poškození image nebo zákazníků);</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škody na osobách, majetku nebo zvířatech v důsledku poruchy nebo opravy krytých komponentů;</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lastRenderedPageBreak/>
        <w:t>poškození jiných součástí, systémů nebo dílů než těch, které jsou výslovně zahrnuty v krytí, včetně celého klimatizačního systému a klimatizace prostoru pro cestující (kompresor klimatizace, kondenzátor, výparník, potrubí, ventilátory, čidla, řídicí jednotky a všechny ostatní součásti klimatizace);</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důsledky pozastavení, zpoždění, špatného fungování nebo přerušení poskytování Služby, pokud je nelze přičíst úmyslu nebo hrubé nedbalosti ze strany společnosti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Maximální limit výdajů vztahující se na každé vozidlo je stanoven a sdělen kupujícímu v předsmluvní dokumentaci týkající se záruky Powertrain.</w:t>
      </w:r>
      <w:r>
        <w:rPr>
          <w:rFonts w:ascii="Verdana" w:hAnsi="Verdana"/>
          <w:sz w:val="20"/>
        </w:rPr>
        <w:br/>
        <w:t>Tento limit se vztahuje na celou dobu trvání Služby, nikoli na každou jednotlivou poruchu, pokud není v předsmluvní dokumentaci výslovně uvedeno jinak. V žádném případě nesmí celkový závazek společnosti Fleequid® za každé vozidlo překročit částku 25.000,00 EUR (dvacet pět tisíc eur) plus DPH nebo zůstatkovou hodnotu vozidla v době uplatnění nároku, stanovenou podle aktuálních tržních kritérií, podle toho, která z těchto částek je nižší.</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Pokud je při opravě nebo výměně krytého komponentu nutné provést práce i na součástech nebo dílech, které nejsou zahrnuty v Záruce, hradí náklady na tyto práce v plné výši kupující. V takových případech může společnost Fleequid® poskytnout přímo autorizovanému servisu částky týkající se jejího podílu na práci na krytých komponentech, zatímco část nákladů, na které se Záruka nevztahuje, zaplatí kupující přímo autorizovanému servisu. Autorizovaný servis je výslovně oprávněn uplatnit zadržovací právo na vozidlo až do úplného zaplacení dlužných částek kupujícím. V případě neakceptování cenové nabídky v rámci doby její platnosti je společnost Fleequid® oprávněna pozastavit řízení až do nového rozhodnutí kupujícího.</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souhlasí a bere na vědomí, že v nejvyšší zákonem přípustné míře zprošťuje společnost Fleequid® odpovědnosti za jakékoliv prodlení, poruchy či opomenutí při vyřizování žádosti o aktivaci záruky, kromě případů úmyslu nebo hrubé nedbalosti společnosti Fleequid®. Jsou zejména vyloučeny:</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následky vyplývající z pozdního nahlášení škodní události kupujícím;</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škody vzniklé v důsledku zpoždění při šetření, vypracování znaleckého posudku nebo rozhodnutí o krytí;</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jakékoliv nároky na náhradu škody nad rámec plnění Záruky v rozsahu stanoveném těmito ZPZ.</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Žádné sdělení, přijetí reklamace nebo provedení šetření ze strany společnosti Fleequid® nelze vykládat jako uznání, a to ani implicitní, nároku na krytí, které je podmíněno kladným výsledkem postupu stanoveného v těchto ZPZ.</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8845591"/>
      <w:r>
        <w:rPr>
          <w:rFonts w:ascii="Verdana" w:hAnsi="Verdana"/>
          <w:b/>
          <w:smallCaps/>
          <w:sz w:val="20"/>
        </w:rPr>
        <w:t>Plnění, opravy a provozní omezení.</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Záruka Powertrain se vztahuje pouze na kryté komponenty a v žádném případě nezahrnuje například:</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odtah nebo silniční asistenci při poruše vozidla;</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poskytování náhradních vozidel nebo alternativních služeb mobility;</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lastRenderedPageBreak/>
        <w:t>náklady na ubytování, stravování nebo logistiku kupujícího nebo řidičů;</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spotřební materiál, kapaliny, filtry, maziva, pokud to není nezbytné a přímo nesouvisí s autorizovaným zásahem na krytých komponentech;</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činnosti spojené s diagnostikou, kontrolou nebo stanovením ceny, které nebyly předem schváleny společností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jakýkoli zásah, opravu, výměnu nebo diagnostiku týkající se součástí, systémů nebo orgánů, které nejsou zahrnuty do krytých komponentů, včetně, a to výslovně, celého klimatizačního systému a klimatizace v prostoru pro cestující (kompresor klimatizace, kondenzátor, výparník, ventilátory, potrubí, snímače, řídicí jednotky a jakékoli jiné součásti klimatizace).</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Zásahy schválené podle těchto ZPZ se provádějí s použitím originálních nebo rovnocenných náhradních dílů nebo repasovaných náhradních dílů rovnocenné kvality, podle uvážení společnosti Fleequid®. Práce je účtována podle skutečné doby práce a referenčních sazeb uznaných společností Fleequid®. Vylepšení, modernizace nebo technické úpravy vozidla, které nejsou nezbytně nutné pro opravu krytých komponentů, jsou výslovně vyloučeny.</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Všechny součásti vyměněné v rámci záruky Powertrain se stávají majetkem společnosti Fleequid®, která s nimi může volně nakládat, a to i za účelem technické expertízy, repasování nebo likvidace.</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Jakékoli podvodné jednání, falšování dokladů, manipulace s počítadlem najetých kilometrů nebo elektronickými řídicími jednotkami vozidla má za následek okamžité propadnutí záruky Powertrain, aniž by bylo dotčeno právo společnosti Fleequid® na podání žaloby na náhradu dalších škod.</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Kupující umožní společnosti Fleequid® nebo důvěrnému znalci přístup k vozidlu, palubním údajům (včetně OBD a telematických systémů) a dokumentaci o údržbě za účelem provedení nezbytných technických kontrol. Nespolupráce má za následek zánik nároku na záruční krytí.</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Kupující souhlasí a bere na vědomí, že společnost Fleequid® neposkytuje žádnou výslovnou ani předpokládanou záruku na kvalitu, trvanlivost nebo úspěšnost provedených oprav a výměn, ať už v autorizovaných servisech určených nebo schválených společností Fleequid® nebo v dílnách či servisních střediscích vybraných kupujícím a v každém případě schválených společností Fleequid®. Případné záruky týkající se instalovaných součástí a provedených prací je třeba si vyžádat přímo od servisu, který práce provedl. V maximálním rozsahu povoleném zákonem kupující zprostí a ochrání společnost Fleequid® před jakýmikoli nároky, žalobami nebo požadavky na náhradu škody souvisejícími s těmito součástmi nebo opravami.</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8845592"/>
      <w:bookmarkEnd w:id="15"/>
      <w:r>
        <w:rPr>
          <w:rFonts w:ascii="Verdana" w:hAnsi="Verdana"/>
          <w:b/>
          <w:smallCaps/>
          <w:sz w:val="20"/>
        </w:rPr>
        <w:t>Reklamace a soudní spory.</w:t>
      </w:r>
      <w:bookmarkEnd w:id="17"/>
    </w:p>
    <w:p w14:paraId="3E0CEEAD" w14:textId="5DD8016D"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 případě reklamací souvisejících se zárukou Powertrain je kupující povinen dodržet postup stanovený ve článku 13 Všeobecných obchodních podmínek online tržiště Fleequid®, které jsou k dispozici na webových stránkách </w:t>
      </w:r>
      <w:hyperlink r:id="rId13" w:history="1">
        <w:r>
          <w:rPr>
            <w:rStyle w:val="Collegamentoipertestuale"/>
            <w:rFonts w:ascii="Verdana" w:hAnsi="Verdana"/>
            <w:sz w:val="20"/>
          </w:rPr>
          <w:t>www.fleequid.com</w:t>
        </w:r>
      </w:hyperlink>
      <w:r>
        <w:rPr>
          <w:rFonts w:ascii="Verdana" w:hAnsi="Verdana"/>
          <w:sz w:val="20"/>
        </w:rPr>
        <w:t xml:space="preserve">. Rozumí se, že postup řešení </w:t>
      </w:r>
      <w:r>
        <w:rPr>
          <w:rFonts w:ascii="Verdana" w:hAnsi="Verdana"/>
          <w:sz w:val="20"/>
        </w:rPr>
        <w:lastRenderedPageBreak/>
        <w:t xml:space="preserve">reklamací uvedený ve Všeobecných podmínkách je odlišný a nezávislý na </w:t>
      </w:r>
      <w:r>
        <w:rPr>
          <w:rFonts w:ascii="Verdana" w:hAnsi="Verdana"/>
          <w:b/>
          <w:sz w:val="20"/>
        </w:rPr>
        <w:t>nahlášení pojistné události</w:t>
      </w:r>
      <w:r>
        <w:rPr>
          <w:rFonts w:ascii="Verdana" w:hAnsi="Verdana"/>
          <w:sz w:val="20"/>
        </w:rPr>
        <w:t xml:space="preserve"> uvedeném v článku 7 těchto ZPZ.</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Společnost Fleequid® vyřídí reklamaci v souladu s postupy a ve lhůtách stanovených ve Všeobecných podmínkách a sdělí výsledek šetření způsobem stanoveným v těchto podmínkách. Pokud je reklamace uznána, společnost Fleequid® uplatní smluvní nápravné prostředky stanovené v těchto ZPZ a ve Všeobecných podmínkách, v rámci jejich ustanovení a platných právních předpisů.</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Před zahájením jakéhokoli soudního nebo rozhodčího řízení se strany zavazují, že se v dobré víře pokusí spor vyřešit smírnou cestou, a to i s využitím smírčích nástrojů platformy online tržiště Fleequid® nebo jiných nástrojů neformálního vyjednávání.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Pokud je tento pokus neúspěšný do 30 (třiceti) dnů od písemného oznámení sporu, strany se zavazují, že se pokusí o mediaci u Mediačního orgánu Obchodní komory v Comu v souladu s legislativním nařízením 28/2010. Mediace musí být zahájena ve výše uvedené lhůtě a ukončena do 60 (šedesáti) dnů od zahájení řízení, pokud není prodloužena dle zákona.</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Pokud mediace neskončí dohodou do 60 (šedesáti) dnů od zahájení řízení, bude spor s konečnou platností řešen v řádném rozhodčím řízení v souladu s Jednacím řádem Rozhodčí komory v Miláně jediným rozhodcem jmenovaným v souladu s týmž řádem. Místem rozhodčího řízení je Milán, rozhodčím jazykem je italština a rozhodným právem je právo uvedené v těchto ZPZ.</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Tím není dotčeno právo každé strany požádat příslušný soud o předběžná nebo mimořádná opatření, a to i před rozhodčím řízením nebo v jeho průběhu, aniž by to znamenalo vzdání se rozhodčí doložky.</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Ve všech případech, které nejsou výslovně upraveny v tomto článku, se v plném rozsahu odkazuje na postupy, podmínky a ustanovení Všeobecných obchodních podmínek online tržiště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8845593"/>
      <w:r>
        <w:rPr>
          <w:rFonts w:ascii="Verdana" w:hAnsi="Verdana"/>
          <w:b/>
          <w:smallCaps/>
          <w:sz w:val="20"/>
        </w:rPr>
        <w:t>Vyšší moc.</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Pro účely těchto Zvláštních podmínek se za vyšší moc považuje jakákoli událost, okolnost, skutečnost, jednání, opomenutí nebo situace, bez ohledu na její předvídatelnost, která je mimo přiměřenou kontrolu strany, která se jí dovolává, a která zcela nebo zčásti brání, ztěžuje, omezuje nebo zpožďuje plnění smluvních povinností týkajících se záruky Powertrain. Za události vyšší moci se považují například, nikoli však výlučně, přírodní katastrofy jakéhokoli druhu, výjimečné atmosférické jevy, požáry, výbuchy, povodně, zemětřesení; epidemie, pandemie, opatření na ochranu zdraví; války (vyhlášené i nevyhlášené), invaze, teroristické činy, nepokoje, povstání; stávky, výluky nebo jiné pracovní nepokoje, i když se přímo netýkají zaměstnanců strany; embarga, blokády, omezení nebo opatření jakéhokoli orgánu veřejné moci; nedostupnost infrastruktury, energie, paliv, surovin nebo náhradních dílů; přerušení základních služeb (včetně počítačových, komunikačních nebo síťových služeb); kybernetické útoky nebo technologické poruchy; výpadky proudu nebo energetické krize; systémové finanční krize nebo legislativní či </w:t>
      </w:r>
      <w:r>
        <w:rPr>
          <w:rFonts w:ascii="Verdana" w:hAnsi="Verdana"/>
          <w:sz w:val="20"/>
        </w:rPr>
        <w:lastRenderedPageBreak/>
        <w:t>regulační změny, které mají přímý vliv na poskytování Služby; nedostupnost autorizovaných servisů nebo odstávky výroby výrobců, které znemožňují nákup nebo instalaci potřebných komponentů.</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Výskyt události vyšší moci má za následek pozastavení plnění povinností dotčené strany na dobu trvání dané události a na dobu nezbytně nutnou k jejímu ukončení. V takových případech nelze straně, která je postižena vyšší mocí, přičítat žádnou odpovědnost, náhradu škody ani sankci.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Strana, která se hodlá odvolat na vyšší moc, to neprodleně písemně oznámí druhé straně a uvede povahu události, její předpokládané trvání a předvídatelné důsledky pro plnění smlouvy.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Pokud vyšší moc trvá déle než 30 (třicet) po sobě jdoucích dnů, je každá ze stran oprávněna smlouvu vypovědět bez povinnosti odškodnění, a to písemným oznámením druhé straně.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Strany se zavazují v dobré víře spolupracovat na přijetí všech přiměřených opatření ke zmírnění účinků vyšší moci a co nejdříve obnovit plnění svých smluvních závazků.</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8845594"/>
      <w:r>
        <w:rPr>
          <w:rFonts w:ascii="Verdana" w:hAnsi="Verdana"/>
          <w:b/>
          <w:smallCaps/>
          <w:sz w:val="20"/>
        </w:rPr>
        <w:t>Jednostranné změny Zvláštních podmínek.</w:t>
      </w:r>
      <w:bookmarkEnd w:id="20"/>
    </w:p>
    <w:p w14:paraId="50854042" w14:textId="42BB9F18"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V souvislosti se způsoby provádění změn se tyto Zvláštní podmínky záruky Powertrain řídí ustanoveními článku 3) Všeobecných obchodních podmínek online tržiště Fleequid®, které jsou zveřejněny na oficiálních internetových stránkách </w:t>
      </w:r>
      <w:hyperlink r:id="rId14" w:tgtFrame="_new" w:history="1">
        <w:r>
          <w:rPr>
            <w:rStyle w:val="Collegamentoipertestuale"/>
            <w:rFonts w:ascii="Verdana" w:hAnsi="Verdana"/>
            <w:sz w:val="20"/>
          </w:rPr>
          <w:t>www.fleequid.com</w:t>
        </w:r>
      </w:hyperlink>
      <w:r>
        <w:rPr>
          <w:rFonts w:ascii="Verdana" w:hAnsi="Verdana"/>
          <w:sz w:val="20"/>
        </w:rPr>
        <w:t xml:space="preserve"> a jsou volně k dispozici uživatelům.</w:t>
      </w:r>
      <w:r>
        <w:t>.</w:t>
      </w:r>
      <w:r>
        <w:rPr>
          <w:rFonts w:ascii="Verdana" w:hAnsi="Verdana"/>
          <w:sz w:val="20"/>
        </w:rPr>
        <w:t xml:space="preserve"> Společnost Fleequid® si zejména vyhrazuje právo jednostranně je měnit, a to stejným způsobem, ve stejných mezích, ve stejných formách oznámení a stejnými komunikačními prostředky jako v případě Všeobecných podmínek. Tyto změny nabývají účinnosti po uplynutí lhůty uvedené v oznámení, pokud je uživatel výslovně nepřijal dříve nebo pokud v této lhůtě neuplatnil své právo na odstoupení od smlouvy. Rozumí se, že pokud není výslovně písemně stanoveno jinak, předchozí verze těchto Zvláštních podmínek se budou nadále uplatňovat výhradně na vztahy již zahájené k datu změny, v souladu s ustanoveními Všeobecných podmínek. Využívání služeb záruky Powertrain po změně znamená tichý souhlas se Zvláštními podmínkami ve znění provedených změn.</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8845595"/>
      <w:r>
        <w:rPr>
          <w:rFonts w:ascii="Verdana" w:hAnsi="Verdana"/>
          <w:b/>
          <w:smallCaps/>
          <w:sz w:val="20"/>
        </w:rPr>
        <w:t>Rozhodné právo, jazyk a soudní příslušnost.</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Tyto Zvláštní podmínky záruky Powertrain se spolu se Všeobecnými podmínkami online tržiště Fleequid® a všemi souvisejícími smluvními ustanoveními řídí výhradně italským právem. Veškeré platné mezinárodní normy nebo úmluvy budou začleněny pouze v rozsahu, v jakém nejsou v rozporu s italským právem.</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Pro veškeré spory týkající se platnosti, výkladu, provádění nebo ukončení těchto ZPZ, Všeobecných podmínek nebo jiných souvisejících právních úkonů se použije reklamační, vyjednávací, mediační a rozhodčí proces podle článku 11 těchto ZPZ. Pravomoc obecných soudů je proto výslovně vyloučena, s výjimkou přijetí předběžných nebo mimořádných opatření v mezích stanovených v čl. 11.6. V posledním uvedeném případě má výlučnou příslušnost soud v </w:t>
      </w:r>
      <w:r>
        <w:rPr>
          <w:rFonts w:ascii="Verdana" w:hAnsi="Verdana"/>
          <w:sz w:val="20"/>
        </w:rPr>
        <w:lastRenderedPageBreak/>
        <w:t>obci Como s výslovným vyloučením jakékoli jiné konkurenční nebo alternativní příslušnosti, pokud se strany písemně nedohodnou jinak.</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Oficiálním jazykem těchto Zvláštních podmínek záruky Powertrain a smluvního vztahu s ním spojeného je italština. Pokud jsou tyto Zvláštní podmínky přeloženy do jiných jazyků, má přednost italská verze, která je považována za jedinou závaznou verzi pro účely výkladu a uplatňování smlouvy.</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8845596"/>
      <w:r>
        <w:rPr>
          <w:rFonts w:ascii="Verdana" w:hAnsi="Verdana"/>
          <w:b/>
          <w:smallCaps/>
          <w:sz w:val="20"/>
        </w:rPr>
        <w:t>Komunikace.</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Není-li v těchto ZPZ stanoveno jinak, veškerá komunikace mezi společností </w:t>
      </w:r>
      <w:r>
        <w:rPr>
          <w:rFonts w:ascii="Verdana" w:hAnsi="Verdana"/>
          <w:b/>
          <w:sz w:val="20"/>
        </w:rPr>
        <w:t>Fleequid®</w:t>
      </w:r>
      <w:r>
        <w:rPr>
          <w:rFonts w:ascii="Verdana" w:hAnsi="Verdana"/>
          <w:sz w:val="20"/>
        </w:rPr>
        <w:t xml:space="preserve"> a </w:t>
      </w:r>
      <w:r>
        <w:rPr>
          <w:rFonts w:ascii="Verdana" w:hAnsi="Verdana"/>
          <w:b/>
          <w:sz w:val="20"/>
        </w:rPr>
        <w:t>kupujícím</w:t>
      </w:r>
      <w:r>
        <w:rPr>
          <w:rFonts w:ascii="Verdana" w:hAnsi="Verdana"/>
          <w:sz w:val="20"/>
        </w:rPr>
        <w:t xml:space="preserve"> se provádí písemně a zasílá se doporučeně s doručenkou, expresní kurýrní službou nebo e-mailem na následující oficiální adresy společnosti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IČO a DIČ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32D33629"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Oznámení se považují za platná a závazná v okamžiku doručení, pokud jsou zaslána doporučeným dopisem s doručenkou, v okamžiku předání kurýrovi, pokud jsou zaslána expresní kurýrní službou, nebo v okamžiku potvrzení přijetí, pokud jsou zaslána e-mailem společnosti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Oznámení společnosti Fleequid® se zasílají na adresy, včetně běžných e-mailových adres, které kupující uvedl při registraci na online tržiště Fleequid® nebo které byly následně aktualizovány, a považují se za známé a přijaté adresátem v okamžiku odeslání oznámení ze strany společnosti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 xml:space="preserve">Ve smyslu článků 1341 a 1342 italského občanského zákoníku a pro jejich účely kupující výslovně prohlašuje, že si přečetl, porozuměl a akceptoval následující ustanovení Zvláštních podmínek záruky Powertrain: čl. 2.4 (obecné výluky z pojištění pro další případy/okolnosti); čl. 3.2 (seznam objektivních výluk); čl. 3.3 (princip taxativnosti); čl. 4.2 (výluky z pojištění pro závady existující již před počátkem pojištění nebo během karence); čl. 4.3 (pevná doba trvání, bez tichého obnovení a automatické ukončení při dosažení limitů); čl. 4.4 (omezení z důvodu stáří a počtu najetých kilometrů, doložená údržba, jednostranné právo společnosti Fleequid® změnit kategorie způsobilých vozidel); čl. 4.5 (automatické propadnutí záruky v případě převodu vozidla </w:t>
      </w:r>
      <w:r>
        <w:rPr>
          <w:rFonts w:ascii="Verdana" w:hAnsi="Verdana"/>
          <w:sz w:val="20"/>
        </w:rPr>
        <w:lastRenderedPageBreak/>
        <w:t>a podřízení převodu záruky písemnému souhlasu společnosti Fleequid®); čl. 4.6 (počáteční karence a pozastavení krytí); čl. 5.1 (územní výluky v průběhu předsmluvního procesu); čl. 5.2 a 5.3 (propadnutí a nepoužitelnost v zemích, na které se vztahují oznámená omezení); čl. 6.2, 6.3, 6.6 a 6.7 (povinnosti kupujícího); čl. 7.2 a 7.3 (nahlášení pojistné události a její propadnutí); čl. 8.1, 8.2, 8.4 a 8.5 (řešení pojistných událostí, výluky, náklady); čl. 9.1 a 9.2 (omezení odpovědnosti); čl. 9.3 (maximální limit a zůstatková hodnota); čl. 9.4 (mimořádné opravy a zadržovací právo); čl. 9.5 (odškodnění); čl. 9.6 (vyloučení uznání krytí); čl. 10 (plnění, opravy, vyloučení a provozní omezení); čl. 11 (reklamace a spory, mediace, arbitráž); čl. 12 (vyšší moc); čl. 13 (jednostranné změny); čl. 14.2 (rozhodné právo, vyloučení pravomoci obecných soudů s výjimkou zajišťovacích opatření, soudní příslušnost)</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2C16C1"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Verze č.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6C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4790</Words>
  <Characters>27309</Characters>
  <Application>Microsoft Office Word</Application>
  <DocSecurity>0</DocSecurity>
  <Lines>227</Lines>
  <Paragraphs>64</Paragraphs>
  <ScaleCrop>false</ScaleCrop>
  <Company/>
  <LinksUpToDate>false</LinksUpToDate>
  <CharactersWithSpaces>32035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Reviser</cp:lastModifiedBy>
  <cp:revision>22</cp:revision>
  <cp:lastPrinted>2024-11-11T17:48:00Z</cp:lastPrinted>
  <dcterms:created xsi:type="dcterms:W3CDTF">2025-10-03T13:49:00Z</dcterms:created>
  <dcterms:modified xsi:type="dcterms:W3CDTF">2026-01-09T09:06:00Z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