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Specifieke voorwaarden </w:t>
      </w:r>
    </w:p>
    <w:p w14:paraId="7E92C198" w14:textId="7A2D55C1" w:rsidR="00087BF5" w:rsidRPr="00E9150B" w:rsidRDefault="00B27E74" w:rsidP="00087BF5">
      <w:pPr>
        <w:jc w:val="center"/>
        <w:rPr>
          <w:rFonts w:ascii="Verdana" w:hAnsi="Verdana"/>
          <w:b/>
          <w:bCs/>
          <w:smallCaps/>
        </w:rPr>
      </w:pPr>
      <w:r>
        <w:rPr>
          <w:rFonts w:ascii="Verdana" w:hAnsi="Verdana"/>
          <w:b/>
          <w:smallCaps/>
        </w:rPr>
        <w:t>Powertrain Fleequid® Garantieverlening</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Samenvatting</w:t>
          </w:r>
        </w:p>
        <w:p w14:paraId="0DAB6929" w14:textId="77777777" w:rsidR="001D49BE" w:rsidRPr="00080B56" w:rsidRDefault="001D49BE" w:rsidP="001D49BE">
          <w:pPr>
            <w:rPr>
              <w:sz w:val="20"/>
              <w:szCs w:val="20"/>
              <w:lang w:eastAsia="it-IT"/>
            </w:rPr>
          </w:pPr>
        </w:p>
        <w:p w14:paraId="210AB718" w14:textId="32543048" w:rsidR="00B53BD2"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217546" w:history="1">
            <w:r w:rsidR="00B53BD2" w:rsidRPr="00E5674B">
              <w:rPr>
                <w:rStyle w:val="Collegamentoipertestuale"/>
                <w:rFonts w:ascii="Verdana" w:hAnsi="Verdana"/>
                <w:b/>
                <w:bCs/>
                <w:noProof/>
              </w:rPr>
              <w:t>1.</w:t>
            </w:r>
            <w:r w:rsidR="00B53BD2">
              <w:rPr>
                <w:rFonts w:eastAsiaTheme="minorEastAsia"/>
                <w:noProof/>
                <w:kern w:val="0"/>
                <w:lang w:val="it-IT" w:eastAsia="it-IT"/>
                <w14:ligatures w14:val="none"/>
              </w:rPr>
              <w:tab/>
            </w:r>
            <w:r w:rsidR="00B53BD2" w:rsidRPr="00E5674B">
              <w:rPr>
                <w:rStyle w:val="Collegamentoipertestuale"/>
                <w:rFonts w:ascii="Verdana" w:hAnsi="Verdana"/>
                <w:b/>
                <w:smallCaps/>
                <w:noProof/>
              </w:rPr>
              <w:t>Definities</w:t>
            </w:r>
            <w:r w:rsidR="00B53BD2" w:rsidRPr="00E5674B">
              <w:rPr>
                <w:rStyle w:val="Collegamentoipertestuale"/>
                <w:rFonts w:ascii="Verdana" w:hAnsi="Verdana"/>
                <w:noProof/>
              </w:rPr>
              <w:t>.</w:t>
            </w:r>
            <w:r w:rsidR="00B53BD2">
              <w:rPr>
                <w:noProof/>
                <w:webHidden/>
              </w:rPr>
              <w:tab/>
            </w:r>
            <w:r w:rsidR="00B53BD2">
              <w:rPr>
                <w:noProof/>
                <w:webHidden/>
              </w:rPr>
              <w:fldChar w:fldCharType="begin"/>
            </w:r>
            <w:r w:rsidR="00B53BD2">
              <w:rPr>
                <w:noProof/>
                <w:webHidden/>
              </w:rPr>
              <w:instrText xml:space="preserve"> PAGEREF _Toc219217546 \h </w:instrText>
            </w:r>
            <w:r w:rsidR="00B53BD2">
              <w:rPr>
                <w:noProof/>
                <w:webHidden/>
              </w:rPr>
            </w:r>
            <w:r w:rsidR="00B53BD2">
              <w:rPr>
                <w:noProof/>
                <w:webHidden/>
              </w:rPr>
              <w:fldChar w:fldCharType="separate"/>
            </w:r>
            <w:r w:rsidR="00B53BD2">
              <w:rPr>
                <w:noProof/>
                <w:webHidden/>
              </w:rPr>
              <w:t>1</w:t>
            </w:r>
            <w:r w:rsidR="00B53BD2">
              <w:rPr>
                <w:noProof/>
                <w:webHidden/>
              </w:rPr>
              <w:fldChar w:fldCharType="end"/>
            </w:r>
          </w:hyperlink>
        </w:p>
        <w:p w14:paraId="331EE804" w14:textId="76C27AF3" w:rsidR="00B53BD2" w:rsidRDefault="00B53BD2">
          <w:pPr>
            <w:pStyle w:val="Sommario1"/>
            <w:rPr>
              <w:rFonts w:eastAsiaTheme="minorEastAsia"/>
              <w:noProof/>
              <w:kern w:val="0"/>
              <w:lang w:val="it-IT" w:eastAsia="it-IT"/>
              <w14:ligatures w14:val="none"/>
            </w:rPr>
          </w:pPr>
          <w:hyperlink w:anchor="_Toc219217547" w:history="1">
            <w:r w:rsidRPr="00E5674B">
              <w:rPr>
                <w:rStyle w:val="Collegamentoipertestuale"/>
                <w:rFonts w:ascii="Verdana" w:hAnsi="Verdana"/>
                <w:b/>
                <w:bCs/>
                <w:noProof/>
              </w:rPr>
              <w:t>2.</w:t>
            </w:r>
            <w:r>
              <w:rPr>
                <w:rFonts w:eastAsiaTheme="minorEastAsia"/>
                <w:noProof/>
                <w:kern w:val="0"/>
                <w:lang w:val="it-IT" w:eastAsia="it-IT"/>
                <w14:ligatures w14:val="none"/>
              </w:rPr>
              <w:tab/>
            </w:r>
            <w:r w:rsidRPr="00E5674B">
              <w:rPr>
                <w:rStyle w:val="Collegamentoipertestuale"/>
                <w:rFonts w:ascii="Verdana" w:hAnsi="Verdana"/>
                <w:b/>
                <w:smallCaps/>
                <w:noProof/>
              </w:rPr>
              <w:t>Voorwerp van de Dienst</w:t>
            </w:r>
            <w:r w:rsidRPr="00E5674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_Toc219217547 \h </w:instrText>
            </w:r>
            <w:r>
              <w:rPr>
                <w:noProof/>
                <w:webHidden/>
              </w:rPr>
            </w:r>
            <w:r>
              <w:rPr>
                <w:noProof/>
                <w:webHidden/>
              </w:rPr>
              <w:fldChar w:fldCharType="separate"/>
            </w:r>
            <w:r>
              <w:rPr>
                <w:noProof/>
                <w:webHidden/>
              </w:rPr>
              <w:t>3</w:t>
            </w:r>
            <w:r>
              <w:rPr>
                <w:noProof/>
                <w:webHidden/>
              </w:rPr>
              <w:fldChar w:fldCharType="end"/>
            </w:r>
          </w:hyperlink>
        </w:p>
        <w:p w14:paraId="43B7A231" w14:textId="13B651D2" w:rsidR="00B53BD2" w:rsidRDefault="00B53BD2">
          <w:pPr>
            <w:pStyle w:val="Sommario1"/>
            <w:rPr>
              <w:rFonts w:eastAsiaTheme="minorEastAsia"/>
              <w:noProof/>
              <w:kern w:val="0"/>
              <w:lang w:val="it-IT" w:eastAsia="it-IT"/>
              <w14:ligatures w14:val="none"/>
            </w:rPr>
          </w:pPr>
          <w:hyperlink w:anchor="_Toc219217548" w:history="1">
            <w:r w:rsidRPr="00E5674B">
              <w:rPr>
                <w:rStyle w:val="Collegamentoipertestuale"/>
                <w:rFonts w:ascii="Verdana" w:hAnsi="Verdana"/>
                <w:b/>
                <w:bCs/>
                <w:noProof/>
              </w:rPr>
              <w:t>3.</w:t>
            </w:r>
            <w:r>
              <w:rPr>
                <w:rFonts w:eastAsiaTheme="minorEastAsia"/>
                <w:noProof/>
                <w:kern w:val="0"/>
                <w:lang w:val="it-IT" w:eastAsia="it-IT"/>
                <w14:ligatures w14:val="none"/>
              </w:rPr>
              <w:tab/>
            </w:r>
            <w:r w:rsidRPr="00E5674B">
              <w:rPr>
                <w:rStyle w:val="Collegamentoipertestuale"/>
                <w:rFonts w:ascii="Verdana" w:hAnsi="Verdana"/>
                <w:b/>
                <w:smallCaps/>
                <w:noProof/>
              </w:rPr>
              <w:t>Gedekte en uitgesloten onderdelen</w:t>
            </w:r>
            <w:r w:rsidRPr="00E5674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_Toc219217548 \h </w:instrText>
            </w:r>
            <w:r>
              <w:rPr>
                <w:noProof/>
                <w:webHidden/>
              </w:rPr>
            </w:r>
            <w:r>
              <w:rPr>
                <w:noProof/>
                <w:webHidden/>
              </w:rPr>
              <w:fldChar w:fldCharType="separate"/>
            </w:r>
            <w:r>
              <w:rPr>
                <w:noProof/>
                <w:webHidden/>
              </w:rPr>
              <w:t>3</w:t>
            </w:r>
            <w:r>
              <w:rPr>
                <w:noProof/>
                <w:webHidden/>
              </w:rPr>
              <w:fldChar w:fldCharType="end"/>
            </w:r>
          </w:hyperlink>
        </w:p>
        <w:p w14:paraId="76D6093D" w14:textId="6641853C" w:rsidR="00B53BD2" w:rsidRDefault="00B53BD2">
          <w:pPr>
            <w:pStyle w:val="Sommario1"/>
            <w:rPr>
              <w:rFonts w:eastAsiaTheme="minorEastAsia"/>
              <w:noProof/>
              <w:kern w:val="0"/>
              <w:lang w:val="it-IT" w:eastAsia="it-IT"/>
              <w14:ligatures w14:val="none"/>
            </w:rPr>
          </w:pPr>
          <w:hyperlink w:anchor="_Toc219217549" w:history="1">
            <w:r w:rsidRPr="00E5674B">
              <w:rPr>
                <w:rStyle w:val="Collegamentoipertestuale"/>
                <w:rFonts w:ascii="Verdana" w:hAnsi="Verdana"/>
                <w:b/>
                <w:bCs/>
                <w:smallCaps/>
                <w:noProof/>
              </w:rPr>
              <w:t>4.</w:t>
            </w:r>
            <w:r>
              <w:rPr>
                <w:rFonts w:eastAsiaTheme="minorEastAsia"/>
                <w:noProof/>
                <w:kern w:val="0"/>
                <w:lang w:val="it-IT" w:eastAsia="it-IT"/>
                <w14:ligatures w14:val="none"/>
              </w:rPr>
              <w:tab/>
            </w:r>
            <w:r w:rsidRPr="00E5674B">
              <w:rPr>
                <w:rStyle w:val="Collegamentoipertestuale"/>
                <w:rFonts w:ascii="Verdana" w:hAnsi="Verdana"/>
                <w:b/>
                <w:smallCaps/>
                <w:noProof/>
              </w:rPr>
              <w:t>Aanvang, duur en voorwaarden van de gelding.</w:t>
            </w:r>
            <w:r>
              <w:rPr>
                <w:noProof/>
                <w:webHidden/>
              </w:rPr>
              <w:tab/>
            </w:r>
            <w:r>
              <w:rPr>
                <w:noProof/>
                <w:webHidden/>
              </w:rPr>
              <w:fldChar w:fldCharType="begin"/>
            </w:r>
            <w:r>
              <w:rPr>
                <w:noProof/>
                <w:webHidden/>
              </w:rPr>
              <w:instrText xml:space="preserve"> PAGEREF _Toc219217549 \h </w:instrText>
            </w:r>
            <w:r>
              <w:rPr>
                <w:noProof/>
                <w:webHidden/>
              </w:rPr>
            </w:r>
            <w:r>
              <w:rPr>
                <w:noProof/>
                <w:webHidden/>
              </w:rPr>
              <w:fldChar w:fldCharType="separate"/>
            </w:r>
            <w:r>
              <w:rPr>
                <w:noProof/>
                <w:webHidden/>
              </w:rPr>
              <w:t>4</w:t>
            </w:r>
            <w:r>
              <w:rPr>
                <w:noProof/>
                <w:webHidden/>
              </w:rPr>
              <w:fldChar w:fldCharType="end"/>
            </w:r>
          </w:hyperlink>
        </w:p>
        <w:p w14:paraId="0C2D6864" w14:textId="2099845F" w:rsidR="00B53BD2" w:rsidRDefault="00B53BD2">
          <w:pPr>
            <w:pStyle w:val="Sommario1"/>
            <w:rPr>
              <w:rFonts w:eastAsiaTheme="minorEastAsia"/>
              <w:noProof/>
              <w:kern w:val="0"/>
              <w:lang w:val="it-IT" w:eastAsia="it-IT"/>
              <w14:ligatures w14:val="none"/>
            </w:rPr>
          </w:pPr>
          <w:hyperlink w:anchor="_Toc219217550" w:history="1">
            <w:r w:rsidRPr="00E5674B">
              <w:rPr>
                <w:rStyle w:val="Collegamentoipertestuale"/>
                <w:rFonts w:ascii="Verdana" w:hAnsi="Verdana"/>
                <w:b/>
                <w:bCs/>
                <w:noProof/>
              </w:rPr>
              <w:t>5.</w:t>
            </w:r>
            <w:r>
              <w:rPr>
                <w:rFonts w:eastAsiaTheme="minorEastAsia"/>
                <w:noProof/>
                <w:kern w:val="0"/>
                <w:lang w:val="it-IT" w:eastAsia="it-IT"/>
                <w14:ligatures w14:val="none"/>
              </w:rPr>
              <w:tab/>
            </w:r>
            <w:r w:rsidRPr="00E5674B">
              <w:rPr>
                <w:rStyle w:val="Collegamentoipertestuale"/>
                <w:rFonts w:ascii="Verdana" w:hAnsi="Verdana"/>
                <w:b/>
                <w:smallCaps/>
                <w:noProof/>
              </w:rPr>
              <w:t>Territoriale reikwijdte.</w:t>
            </w:r>
            <w:r>
              <w:rPr>
                <w:noProof/>
                <w:webHidden/>
              </w:rPr>
              <w:tab/>
            </w:r>
            <w:r>
              <w:rPr>
                <w:noProof/>
                <w:webHidden/>
              </w:rPr>
              <w:fldChar w:fldCharType="begin"/>
            </w:r>
            <w:r>
              <w:rPr>
                <w:noProof/>
                <w:webHidden/>
              </w:rPr>
              <w:instrText xml:space="preserve"> PAGEREF _Toc219217550 \h </w:instrText>
            </w:r>
            <w:r>
              <w:rPr>
                <w:noProof/>
                <w:webHidden/>
              </w:rPr>
            </w:r>
            <w:r>
              <w:rPr>
                <w:noProof/>
                <w:webHidden/>
              </w:rPr>
              <w:fldChar w:fldCharType="separate"/>
            </w:r>
            <w:r>
              <w:rPr>
                <w:noProof/>
                <w:webHidden/>
              </w:rPr>
              <w:t>6</w:t>
            </w:r>
            <w:r>
              <w:rPr>
                <w:noProof/>
                <w:webHidden/>
              </w:rPr>
              <w:fldChar w:fldCharType="end"/>
            </w:r>
          </w:hyperlink>
        </w:p>
        <w:p w14:paraId="450A884A" w14:textId="07E45C27" w:rsidR="00B53BD2" w:rsidRDefault="00B53BD2">
          <w:pPr>
            <w:pStyle w:val="Sommario1"/>
            <w:rPr>
              <w:rFonts w:eastAsiaTheme="minorEastAsia"/>
              <w:noProof/>
              <w:kern w:val="0"/>
              <w:lang w:val="it-IT" w:eastAsia="it-IT"/>
              <w14:ligatures w14:val="none"/>
            </w:rPr>
          </w:pPr>
          <w:hyperlink w:anchor="_Toc219217551" w:history="1">
            <w:r w:rsidRPr="00E5674B">
              <w:rPr>
                <w:rStyle w:val="Collegamentoipertestuale"/>
                <w:rFonts w:ascii="Verdana" w:hAnsi="Verdana"/>
                <w:b/>
                <w:bCs/>
                <w:smallCaps/>
                <w:noProof/>
              </w:rPr>
              <w:t>6.</w:t>
            </w:r>
            <w:r>
              <w:rPr>
                <w:rFonts w:eastAsiaTheme="minorEastAsia"/>
                <w:noProof/>
                <w:kern w:val="0"/>
                <w:lang w:val="it-IT" w:eastAsia="it-IT"/>
                <w14:ligatures w14:val="none"/>
              </w:rPr>
              <w:tab/>
            </w:r>
            <w:r w:rsidRPr="00E5674B">
              <w:rPr>
                <w:rStyle w:val="Collegamentoipertestuale"/>
                <w:rFonts w:ascii="Verdana" w:hAnsi="Verdana"/>
                <w:b/>
                <w:smallCaps/>
                <w:noProof/>
              </w:rPr>
              <w:t>Verplichtingen van de Koper.</w:t>
            </w:r>
            <w:r>
              <w:rPr>
                <w:noProof/>
                <w:webHidden/>
              </w:rPr>
              <w:tab/>
            </w:r>
            <w:r>
              <w:rPr>
                <w:noProof/>
                <w:webHidden/>
              </w:rPr>
              <w:fldChar w:fldCharType="begin"/>
            </w:r>
            <w:r>
              <w:rPr>
                <w:noProof/>
                <w:webHidden/>
              </w:rPr>
              <w:instrText xml:space="preserve"> PAGEREF _Toc219217551 \h </w:instrText>
            </w:r>
            <w:r>
              <w:rPr>
                <w:noProof/>
                <w:webHidden/>
              </w:rPr>
            </w:r>
            <w:r>
              <w:rPr>
                <w:noProof/>
                <w:webHidden/>
              </w:rPr>
              <w:fldChar w:fldCharType="separate"/>
            </w:r>
            <w:r>
              <w:rPr>
                <w:noProof/>
                <w:webHidden/>
              </w:rPr>
              <w:t>6</w:t>
            </w:r>
            <w:r>
              <w:rPr>
                <w:noProof/>
                <w:webHidden/>
              </w:rPr>
              <w:fldChar w:fldCharType="end"/>
            </w:r>
          </w:hyperlink>
        </w:p>
        <w:p w14:paraId="401B4F0E" w14:textId="0481BEC2" w:rsidR="00B53BD2" w:rsidRDefault="00B53BD2">
          <w:pPr>
            <w:pStyle w:val="Sommario1"/>
            <w:rPr>
              <w:rFonts w:eastAsiaTheme="minorEastAsia"/>
              <w:noProof/>
              <w:kern w:val="0"/>
              <w:lang w:val="it-IT" w:eastAsia="it-IT"/>
              <w14:ligatures w14:val="none"/>
            </w:rPr>
          </w:pPr>
          <w:hyperlink w:anchor="_Toc219217552" w:history="1">
            <w:r w:rsidRPr="00E5674B">
              <w:rPr>
                <w:rStyle w:val="Collegamentoipertestuale"/>
                <w:rFonts w:ascii="Verdana" w:hAnsi="Verdana"/>
                <w:b/>
                <w:bCs/>
                <w:smallCaps/>
                <w:noProof/>
              </w:rPr>
              <w:t>7.</w:t>
            </w:r>
            <w:r>
              <w:rPr>
                <w:rFonts w:eastAsiaTheme="minorEastAsia"/>
                <w:noProof/>
                <w:kern w:val="0"/>
                <w:lang w:val="it-IT" w:eastAsia="it-IT"/>
                <w14:ligatures w14:val="none"/>
              </w:rPr>
              <w:tab/>
            </w:r>
            <w:r w:rsidRPr="00E5674B">
              <w:rPr>
                <w:rStyle w:val="Collegamentoipertestuale"/>
                <w:rFonts w:ascii="Verdana" w:hAnsi="Verdana"/>
                <w:b/>
                <w:smallCaps/>
                <w:noProof/>
              </w:rPr>
              <w:t>Schadeaangifte</w:t>
            </w:r>
            <w:r>
              <w:rPr>
                <w:noProof/>
                <w:webHidden/>
              </w:rPr>
              <w:tab/>
            </w:r>
            <w:r>
              <w:rPr>
                <w:noProof/>
                <w:webHidden/>
              </w:rPr>
              <w:fldChar w:fldCharType="begin"/>
            </w:r>
            <w:r>
              <w:rPr>
                <w:noProof/>
                <w:webHidden/>
              </w:rPr>
              <w:instrText xml:space="preserve"> PAGEREF _Toc219217552 \h </w:instrText>
            </w:r>
            <w:r>
              <w:rPr>
                <w:noProof/>
                <w:webHidden/>
              </w:rPr>
            </w:r>
            <w:r>
              <w:rPr>
                <w:noProof/>
                <w:webHidden/>
              </w:rPr>
              <w:fldChar w:fldCharType="separate"/>
            </w:r>
            <w:r>
              <w:rPr>
                <w:noProof/>
                <w:webHidden/>
              </w:rPr>
              <w:t>7</w:t>
            </w:r>
            <w:r>
              <w:rPr>
                <w:noProof/>
                <w:webHidden/>
              </w:rPr>
              <w:fldChar w:fldCharType="end"/>
            </w:r>
          </w:hyperlink>
        </w:p>
        <w:p w14:paraId="72B4B38F" w14:textId="54DE76DD" w:rsidR="00B53BD2" w:rsidRDefault="00B53BD2">
          <w:pPr>
            <w:pStyle w:val="Sommario1"/>
            <w:rPr>
              <w:rFonts w:eastAsiaTheme="minorEastAsia"/>
              <w:noProof/>
              <w:kern w:val="0"/>
              <w:lang w:val="it-IT" w:eastAsia="it-IT"/>
              <w14:ligatures w14:val="none"/>
            </w:rPr>
          </w:pPr>
          <w:hyperlink w:anchor="_Toc219217553" w:history="1">
            <w:r w:rsidRPr="00E5674B">
              <w:rPr>
                <w:rStyle w:val="Collegamentoipertestuale"/>
                <w:rFonts w:ascii="Verdana" w:hAnsi="Verdana"/>
                <w:b/>
                <w:bCs/>
                <w:smallCaps/>
                <w:noProof/>
              </w:rPr>
              <w:t>8.</w:t>
            </w:r>
            <w:r>
              <w:rPr>
                <w:rFonts w:eastAsiaTheme="minorEastAsia"/>
                <w:noProof/>
                <w:kern w:val="0"/>
                <w:lang w:val="it-IT" w:eastAsia="it-IT"/>
                <w14:ligatures w14:val="none"/>
              </w:rPr>
              <w:tab/>
            </w:r>
            <w:r w:rsidRPr="00E5674B">
              <w:rPr>
                <w:rStyle w:val="Collegamentoipertestuale"/>
                <w:rFonts w:ascii="Verdana" w:hAnsi="Verdana"/>
                <w:b/>
                <w:smallCaps/>
                <w:noProof/>
              </w:rPr>
              <w:t>Behandeling van het schadegeval</w:t>
            </w:r>
            <w:r>
              <w:rPr>
                <w:noProof/>
                <w:webHidden/>
              </w:rPr>
              <w:tab/>
            </w:r>
            <w:r>
              <w:rPr>
                <w:noProof/>
                <w:webHidden/>
              </w:rPr>
              <w:fldChar w:fldCharType="begin"/>
            </w:r>
            <w:r>
              <w:rPr>
                <w:noProof/>
                <w:webHidden/>
              </w:rPr>
              <w:instrText xml:space="preserve"> PAGEREF _Toc219217553 \h </w:instrText>
            </w:r>
            <w:r>
              <w:rPr>
                <w:noProof/>
                <w:webHidden/>
              </w:rPr>
            </w:r>
            <w:r>
              <w:rPr>
                <w:noProof/>
                <w:webHidden/>
              </w:rPr>
              <w:fldChar w:fldCharType="separate"/>
            </w:r>
            <w:r>
              <w:rPr>
                <w:noProof/>
                <w:webHidden/>
              </w:rPr>
              <w:t>8</w:t>
            </w:r>
            <w:r>
              <w:rPr>
                <w:noProof/>
                <w:webHidden/>
              </w:rPr>
              <w:fldChar w:fldCharType="end"/>
            </w:r>
          </w:hyperlink>
        </w:p>
        <w:p w14:paraId="19596F3C" w14:textId="4DBD4C82" w:rsidR="00B53BD2" w:rsidRDefault="00B53BD2">
          <w:pPr>
            <w:pStyle w:val="Sommario1"/>
            <w:rPr>
              <w:rFonts w:eastAsiaTheme="minorEastAsia"/>
              <w:noProof/>
              <w:kern w:val="0"/>
              <w:lang w:val="it-IT" w:eastAsia="it-IT"/>
              <w14:ligatures w14:val="none"/>
            </w:rPr>
          </w:pPr>
          <w:hyperlink w:anchor="_Toc219217554" w:history="1">
            <w:r w:rsidRPr="00E5674B">
              <w:rPr>
                <w:rStyle w:val="Collegamentoipertestuale"/>
                <w:rFonts w:ascii="Verdana" w:hAnsi="Verdana"/>
                <w:b/>
                <w:bCs/>
                <w:smallCaps/>
                <w:noProof/>
              </w:rPr>
              <w:t>9.</w:t>
            </w:r>
            <w:r>
              <w:rPr>
                <w:rFonts w:eastAsiaTheme="minorEastAsia"/>
                <w:noProof/>
                <w:kern w:val="0"/>
                <w:lang w:val="it-IT" w:eastAsia="it-IT"/>
                <w14:ligatures w14:val="none"/>
              </w:rPr>
              <w:tab/>
            </w:r>
            <w:r w:rsidRPr="00E5674B">
              <w:rPr>
                <w:rStyle w:val="Collegamentoipertestuale"/>
                <w:rFonts w:ascii="Verdana" w:hAnsi="Verdana"/>
                <w:b/>
                <w:smallCaps/>
                <w:noProof/>
              </w:rPr>
              <w:t>Dekkingsbeperkingen en aansprakelijkheid.</w:t>
            </w:r>
            <w:r>
              <w:rPr>
                <w:noProof/>
                <w:webHidden/>
              </w:rPr>
              <w:tab/>
            </w:r>
            <w:r>
              <w:rPr>
                <w:noProof/>
                <w:webHidden/>
              </w:rPr>
              <w:fldChar w:fldCharType="begin"/>
            </w:r>
            <w:r>
              <w:rPr>
                <w:noProof/>
                <w:webHidden/>
              </w:rPr>
              <w:instrText xml:space="preserve"> PAGEREF _Toc219217554 \h </w:instrText>
            </w:r>
            <w:r>
              <w:rPr>
                <w:noProof/>
                <w:webHidden/>
              </w:rPr>
            </w:r>
            <w:r>
              <w:rPr>
                <w:noProof/>
                <w:webHidden/>
              </w:rPr>
              <w:fldChar w:fldCharType="separate"/>
            </w:r>
            <w:r>
              <w:rPr>
                <w:noProof/>
                <w:webHidden/>
              </w:rPr>
              <w:t>9</w:t>
            </w:r>
            <w:r>
              <w:rPr>
                <w:noProof/>
                <w:webHidden/>
              </w:rPr>
              <w:fldChar w:fldCharType="end"/>
            </w:r>
          </w:hyperlink>
        </w:p>
        <w:p w14:paraId="170D150F" w14:textId="6795CD22" w:rsidR="00B53BD2" w:rsidRDefault="00B53BD2">
          <w:pPr>
            <w:pStyle w:val="Sommario2"/>
            <w:rPr>
              <w:rFonts w:eastAsiaTheme="minorEastAsia"/>
              <w:noProof/>
              <w:kern w:val="0"/>
              <w:lang w:val="it-IT" w:eastAsia="it-IT"/>
              <w14:ligatures w14:val="none"/>
            </w:rPr>
          </w:pPr>
          <w:hyperlink w:anchor="_Toc219217555" w:history="1">
            <w:r w:rsidRPr="00E5674B">
              <w:rPr>
                <w:rStyle w:val="Collegamentoipertestuale"/>
                <w:rFonts w:ascii="Verdana" w:hAnsi="Verdana"/>
                <w:b/>
                <w:bCs/>
                <w:smallCaps/>
                <w:noProof/>
              </w:rPr>
              <w:t>10.</w:t>
            </w:r>
            <w:r>
              <w:rPr>
                <w:rFonts w:eastAsiaTheme="minorEastAsia"/>
                <w:noProof/>
                <w:kern w:val="0"/>
                <w:lang w:val="it-IT" w:eastAsia="it-IT"/>
                <w14:ligatures w14:val="none"/>
              </w:rPr>
              <w:tab/>
            </w:r>
            <w:r w:rsidRPr="00E5674B">
              <w:rPr>
                <w:rStyle w:val="Collegamentoipertestuale"/>
                <w:rFonts w:ascii="Verdana" w:hAnsi="Verdana"/>
                <w:b/>
                <w:smallCaps/>
                <w:noProof/>
              </w:rPr>
              <w:t>Prestaties, reparaties en operationele beperkingen.</w:t>
            </w:r>
            <w:r>
              <w:rPr>
                <w:noProof/>
                <w:webHidden/>
              </w:rPr>
              <w:tab/>
            </w:r>
            <w:r>
              <w:rPr>
                <w:noProof/>
                <w:webHidden/>
              </w:rPr>
              <w:fldChar w:fldCharType="begin"/>
            </w:r>
            <w:r>
              <w:rPr>
                <w:noProof/>
                <w:webHidden/>
              </w:rPr>
              <w:instrText xml:space="preserve"> PAGEREF _Toc219217555 \h </w:instrText>
            </w:r>
            <w:r>
              <w:rPr>
                <w:noProof/>
                <w:webHidden/>
              </w:rPr>
            </w:r>
            <w:r>
              <w:rPr>
                <w:noProof/>
                <w:webHidden/>
              </w:rPr>
              <w:fldChar w:fldCharType="separate"/>
            </w:r>
            <w:r>
              <w:rPr>
                <w:noProof/>
                <w:webHidden/>
              </w:rPr>
              <w:t>10</w:t>
            </w:r>
            <w:r>
              <w:rPr>
                <w:noProof/>
                <w:webHidden/>
              </w:rPr>
              <w:fldChar w:fldCharType="end"/>
            </w:r>
          </w:hyperlink>
        </w:p>
        <w:p w14:paraId="6BEDA621" w14:textId="51A9302F" w:rsidR="00B53BD2" w:rsidRDefault="00B53BD2">
          <w:pPr>
            <w:pStyle w:val="Sommario2"/>
            <w:rPr>
              <w:rFonts w:eastAsiaTheme="minorEastAsia"/>
              <w:noProof/>
              <w:kern w:val="0"/>
              <w:lang w:val="it-IT" w:eastAsia="it-IT"/>
              <w14:ligatures w14:val="none"/>
            </w:rPr>
          </w:pPr>
          <w:hyperlink w:anchor="_Toc219217556" w:history="1">
            <w:r w:rsidRPr="00E5674B">
              <w:rPr>
                <w:rStyle w:val="Collegamentoipertestuale"/>
                <w:rFonts w:ascii="Verdana" w:hAnsi="Verdana"/>
                <w:b/>
                <w:bCs/>
                <w:smallCaps/>
                <w:noProof/>
              </w:rPr>
              <w:t>11.</w:t>
            </w:r>
            <w:r>
              <w:rPr>
                <w:rFonts w:eastAsiaTheme="minorEastAsia"/>
                <w:noProof/>
                <w:kern w:val="0"/>
                <w:lang w:val="it-IT" w:eastAsia="it-IT"/>
                <w14:ligatures w14:val="none"/>
              </w:rPr>
              <w:tab/>
            </w:r>
            <w:r w:rsidRPr="00E5674B">
              <w:rPr>
                <w:rStyle w:val="Collegamentoipertestuale"/>
                <w:rFonts w:ascii="Verdana" w:hAnsi="Verdana"/>
                <w:b/>
                <w:smallCaps/>
                <w:noProof/>
              </w:rPr>
              <w:t>Klachten en geschillen.</w:t>
            </w:r>
            <w:r>
              <w:rPr>
                <w:noProof/>
                <w:webHidden/>
              </w:rPr>
              <w:tab/>
            </w:r>
            <w:r>
              <w:rPr>
                <w:noProof/>
                <w:webHidden/>
              </w:rPr>
              <w:fldChar w:fldCharType="begin"/>
            </w:r>
            <w:r>
              <w:rPr>
                <w:noProof/>
                <w:webHidden/>
              </w:rPr>
              <w:instrText xml:space="preserve"> PAGEREF _Toc219217556 \h </w:instrText>
            </w:r>
            <w:r>
              <w:rPr>
                <w:noProof/>
                <w:webHidden/>
              </w:rPr>
            </w:r>
            <w:r>
              <w:rPr>
                <w:noProof/>
                <w:webHidden/>
              </w:rPr>
              <w:fldChar w:fldCharType="separate"/>
            </w:r>
            <w:r>
              <w:rPr>
                <w:noProof/>
                <w:webHidden/>
              </w:rPr>
              <w:t>11</w:t>
            </w:r>
            <w:r>
              <w:rPr>
                <w:noProof/>
                <w:webHidden/>
              </w:rPr>
              <w:fldChar w:fldCharType="end"/>
            </w:r>
          </w:hyperlink>
        </w:p>
        <w:p w14:paraId="170B3D59" w14:textId="123CB489" w:rsidR="00B53BD2" w:rsidRDefault="00B53BD2">
          <w:pPr>
            <w:pStyle w:val="Sommario2"/>
            <w:rPr>
              <w:rFonts w:eastAsiaTheme="minorEastAsia"/>
              <w:noProof/>
              <w:kern w:val="0"/>
              <w:lang w:val="it-IT" w:eastAsia="it-IT"/>
              <w14:ligatures w14:val="none"/>
            </w:rPr>
          </w:pPr>
          <w:hyperlink w:anchor="_Toc219217557" w:history="1">
            <w:r w:rsidRPr="00E5674B">
              <w:rPr>
                <w:rStyle w:val="Collegamentoipertestuale"/>
                <w:rFonts w:ascii="Verdana" w:hAnsi="Verdana"/>
                <w:b/>
                <w:bCs/>
                <w:smallCaps/>
                <w:noProof/>
              </w:rPr>
              <w:t>12.</w:t>
            </w:r>
            <w:r>
              <w:rPr>
                <w:rFonts w:eastAsiaTheme="minorEastAsia"/>
                <w:noProof/>
                <w:kern w:val="0"/>
                <w:lang w:val="it-IT" w:eastAsia="it-IT"/>
                <w14:ligatures w14:val="none"/>
              </w:rPr>
              <w:tab/>
            </w:r>
            <w:r w:rsidRPr="00E5674B">
              <w:rPr>
                <w:rStyle w:val="Collegamentoipertestuale"/>
                <w:rFonts w:ascii="Verdana" w:hAnsi="Verdana"/>
                <w:b/>
                <w:smallCaps/>
                <w:noProof/>
              </w:rPr>
              <w:t>Overmacht.</w:t>
            </w:r>
            <w:r>
              <w:rPr>
                <w:noProof/>
                <w:webHidden/>
              </w:rPr>
              <w:tab/>
            </w:r>
            <w:r>
              <w:rPr>
                <w:noProof/>
                <w:webHidden/>
              </w:rPr>
              <w:fldChar w:fldCharType="begin"/>
            </w:r>
            <w:r>
              <w:rPr>
                <w:noProof/>
                <w:webHidden/>
              </w:rPr>
              <w:instrText xml:space="preserve"> PAGEREF _Toc219217557 \h </w:instrText>
            </w:r>
            <w:r>
              <w:rPr>
                <w:noProof/>
                <w:webHidden/>
              </w:rPr>
            </w:r>
            <w:r>
              <w:rPr>
                <w:noProof/>
                <w:webHidden/>
              </w:rPr>
              <w:fldChar w:fldCharType="separate"/>
            </w:r>
            <w:r>
              <w:rPr>
                <w:noProof/>
                <w:webHidden/>
              </w:rPr>
              <w:t>12</w:t>
            </w:r>
            <w:r>
              <w:rPr>
                <w:noProof/>
                <w:webHidden/>
              </w:rPr>
              <w:fldChar w:fldCharType="end"/>
            </w:r>
          </w:hyperlink>
        </w:p>
        <w:p w14:paraId="253D2E77" w14:textId="3BBA6952" w:rsidR="00B53BD2" w:rsidRDefault="00B53BD2">
          <w:pPr>
            <w:pStyle w:val="Sommario1"/>
            <w:rPr>
              <w:rFonts w:eastAsiaTheme="minorEastAsia"/>
              <w:noProof/>
              <w:kern w:val="0"/>
              <w:lang w:val="it-IT" w:eastAsia="it-IT"/>
              <w14:ligatures w14:val="none"/>
            </w:rPr>
          </w:pPr>
          <w:hyperlink w:anchor="_Toc219217558" w:history="1">
            <w:r w:rsidRPr="00E5674B">
              <w:rPr>
                <w:rStyle w:val="Collegamentoipertestuale"/>
                <w:rFonts w:ascii="Verdana" w:hAnsi="Verdana"/>
                <w:b/>
                <w:bCs/>
                <w:noProof/>
              </w:rPr>
              <w:t>13.</w:t>
            </w:r>
            <w:r>
              <w:rPr>
                <w:rFonts w:eastAsiaTheme="minorEastAsia"/>
                <w:noProof/>
                <w:kern w:val="0"/>
                <w:lang w:val="it-IT" w:eastAsia="it-IT"/>
                <w14:ligatures w14:val="none"/>
              </w:rPr>
              <w:tab/>
            </w:r>
            <w:r w:rsidRPr="00E5674B">
              <w:rPr>
                <w:rStyle w:val="Collegamentoipertestuale"/>
                <w:rFonts w:ascii="Verdana" w:hAnsi="Verdana"/>
                <w:b/>
                <w:smallCaps/>
                <w:noProof/>
              </w:rPr>
              <w:t>Eenzijdige wijzigingen van de specifieke voorwaarden.</w:t>
            </w:r>
            <w:r>
              <w:rPr>
                <w:noProof/>
                <w:webHidden/>
              </w:rPr>
              <w:tab/>
            </w:r>
            <w:r>
              <w:rPr>
                <w:noProof/>
                <w:webHidden/>
              </w:rPr>
              <w:fldChar w:fldCharType="begin"/>
            </w:r>
            <w:r>
              <w:rPr>
                <w:noProof/>
                <w:webHidden/>
              </w:rPr>
              <w:instrText xml:space="preserve"> PAGEREF _Toc219217558 \h </w:instrText>
            </w:r>
            <w:r>
              <w:rPr>
                <w:noProof/>
                <w:webHidden/>
              </w:rPr>
            </w:r>
            <w:r>
              <w:rPr>
                <w:noProof/>
                <w:webHidden/>
              </w:rPr>
              <w:fldChar w:fldCharType="separate"/>
            </w:r>
            <w:r>
              <w:rPr>
                <w:noProof/>
                <w:webHidden/>
              </w:rPr>
              <w:t>13</w:t>
            </w:r>
            <w:r>
              <w:rPr>
                <w:noProof/>
                <w:webHidden/>
              </w:rPr>
              <w:fldChar w:fldCharType="end"/>
            </w:r>
          </w:hyperlink>
        </w:p>
        <w:p w14:paraId="372C485F" w14:textId="5B28710C" w:rsidR="00B53BD2" w:rsidRDefault="00B53BD2">
          <w:pPr>
            <w:pStyle w:val="Sommario1"/>
            <w:rPr>
              <w:rFonts w:eastAsiaTheme="minorEastAsia"/>
              <w:noProof/>
              <w:kern w:val="0"/>
              <w:lang w:val="it-IT" w:eastAsia="it-IT"/>
              <w14:ligatures w14:val="none"/>
            </w:rPr>
          </w:pPr>
          <w:hyperlink w:anchor="_Toc219217559" w:history="1">
            <w:r w:rsidRPr="00E5674B">
              <w:rPr>
                <w:rStyle w:val="Collegamentoipertestuale"/>
                <w:rFonts w:ascii="Verdana" w:hAnsi="Verdana"/>
                <w:b/>
                <w:bCs/>
                <w:smallCaps/>
                <w:noProof/>
              </w:rPr>
              <w:t>14.</w:t>
            </w:r>
            <w:r>
              <w:rPr>
                <w:rFonts w:eastAsiaTheme="minorEastAsia"/>
                <w:noProof/>
                <w:kern w:val="0"/>
                <w:lang w:val="it-IT" w:eastAsia="it-IT"/>
                <w14:ligatures w14:val="none"/>
              </w:rPr>
              <w:tab/>
            </w:r>
            <w:r w:rsidRPr="00E5674B">
              <w:rPr>
                <w:rStyle w:val="Collegamentoipertestuale"/>
                <w:rFonts w:ascii="Verdana" w:hAnsi="Verdana"/>
                <w:b/>
                <w:smallCaps/>
                <w:noProof/>
              </w:rPr>
              <w:t>Toepasselijk recht, taal en bevoegde rechter</w:t>
            </w:r>
            <w:r>
              <w:rPr>
                <w:noProof/>
                <w:webHidden/>
              </w:rPr>
              <w:tab/>
            </w:r>
            <w:r>
              <w:rPr>
                <w:noProof/>
                <w:webHidden/>
              </w:rPr>
              <w:fldChar w:fldCharType="begin"/>
            </w:r>
            <w:r>
              <w:rPr>
                <w:noProof/>
                <w:webHidden/>
              </w:rPr>
              <w:instrText xml:space="preserve"> PAGEREF _Toc219217559 \h </w:instrText>
            </w:r>
            <w:r>
              <w:rPr>
                <w:noProof/>
                <w:webHidden/>
              </w:rPr>
            </w:r>
            <w:r>
              <w:rPr>
                <w:noProof/>
                <w:webHidden/>
              </w:rPr>
              <w:fldChar w:fldCharType="separate"/>
            </w:r>
            <w:r>
              <w:rPr>
                <w:noProof/>
                <w:webHidden/>
              </w:rPr>
              <w:t>13</w:t>
            </w:r>
            <w:r>
              <w:rPr>
                <w:noProof/>
                <w:webHidden/>
              </w:rPr>
              <w:fldChar w:fldCharType="end"/>
            </w:r>
          </w:hyperlink>
        </w:p>
        <w:p w14:paraId="38E146BE" w14:textId="25790D61" w:rsidR="00B53BD2" w:rsidRDefault="00B53BD2">
          <w:pPr>
            <w:pStyle w:val="Sommario2"/>
            <w:rPr>
              <w:rFonts w:eastAsiaTheme="minorEastAsia"/>
              <w:noProof/>
              <w:kern w:val="0"/>
              <w:lang w:val="it-IT" w:eastAsia="it-IT"/>
              <w14:ligatures w14:val="none"/>
            </w:rPr>
          </w:pPr>
          <w:hyperlink w:anchor="_Toc219217560" w:history="1">
            <w:r w:rsidRPr="00E5674B">
              <w:rPr>
                <w:rStyle w:val="Collegamentoipertestuale"/>
                <w:rFonts w:ascii="Verdana" w:hAnsi="Verdana"/>
                <w:b/>
                <w:bCs/>
                <w:smallCaps/>
                <w:noProof/>
              </w:rPr>
              <w:t>15.</w:t>
            </w:r>
            <w:r>
              <w:rPr>
                <w:rFonts w:eastAsiaTheme="minorEastAsia"/>
                <w:noProof/>
                <w:kern w:val="0"/>
                <w:lang w:val="it-IT" w:eastAsia="it-IT"/>
                <w14:ligatures w14:val="none"/>
              </w:rPr>
              <w:tab/>
            </w:r>
            <w:r w:rsidRPr="00E5674B">
              <w:rPr>
                <w:rStyle w:val="Collegamentoipertestuale"/>
                <w:rFonts w:ascii="Verdana" w:hAnsi="Verdana"/>
                <w:b/>
                <w:smallCaps/>
                <w:noProof/>
              </w:rPr>
              <w:t>Communicatie.</w:t>
            </w:r>
            <w:r>
              <w:rPr>
                <w:noProof/>
                <w:webHidden/>
              </w:rPr>
              <w:tab/>
            </w:r>
            <w:r>
              <w:rPr>
                <w:noProof/>
                <w:webHidden/>
              </w:rPr>
              <w:fldChar w:fldCharType="begin"/>
            </w:r>
            <w:r>
              <w:rPr>
                <w:noProof/>
                <w:webHidden/>
              </w:rPr>
              <w:instrText xml:space="preserve"> PAGEREF _Toc219217560 \h </w:instrText>
            </w:r>
            <w:r>
              <w:rPr>
                <w:noProof/>
                <w:webHidden/>
              </w:rPr>
            </w:r>
            <w:r>
              <w:rPr>
                <w:noProof/>
                <w:webHidden/>
              </w:rPr>
              <w:fldChar w:fldCharType="separate"/>
            </w:r>
            <w:r>
              <w:rPr>
                <w:noProof/>
                <w:webHidden/>
              </w:rPr>
              <w:t>14</w:t>
            </w:r>
            <w:r>
              <w:rPr>
                <w:noProof/>
                <w:webHidden/>
              </w:rPr>
              <w:fldChar w:fldCharType="end"/>
            </w:r>
          </w:hyperlink>
        </w:p>
        <w:p w14:paraId="544723A2" w14:textId="3563C5E2"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217546"/>
      <w:r>
        <w:rPr>
          <w:rFonts w:ascii="Verdana" w:hAnsi="Verdana"/>
          <w:b/>
          <w:smallCaps/>
          <w:sz w:val="20"/>
        </w:rPr>
        <w:t>Definities</w:t>
      </w:r>
      <w:r>
        <w:rPr>
          <w:rFonts w:ascii="Verdana" w:hAnsi="Verdana"/>
          <w:sz w:val="20"/>
        </w:rPr>
        <w:t>.</w:t>
      </w:r>
      <w:bookmarkEnd w:id="1"/>
    </w:p>
    <w:p w14:paraId="05C1936D" w14:textId="3002FFE8" w:rsidR="00881A72" w:rsidRPr="00E9150B" w:rsidRDefault="00E93843" w:rsidP="00087BF5">
      <w:pPr>
        <w:pStyle w:val="Paragrafoelenco"/>
        <w:spacing w:line="360" w:lineRule="auto"/>
        <w:ind w:left="0"/>
        <w:jc w:val="both"/>
        <w:rPr>
          <w:rFonts w:ascii="Verdana" w:hAnsi="Verdana"/>
          <w:sz w:val="20"/>
          <w:szCs w:val="20"/>
        </w:rPr>
      </w:pPr>
      <w:r>
        <w:t>Onverminderd de overige definities opgenomen in de “Algemene voorwaarden van de Fleequid® Marketplace” (de “Algemene voorwaarden”), die beschikbaar zijn in de daarvoor bestemde sectie (</w:t>
      </w:r>
      <w:hyperlink r:id="rId11" w:tgtFrame="_blank" w:history="1">
        <w:r>
          <w:rPr>
            <w:rStyle w:val="Collegamentoipertestuale"/>
            <w:rFonts w:ascii="Verdana" w:hAnsi="Verdana"/>
            <w:sz w:val="20"/>
          </w:rPr>
          <w:t>https://fleequid.com/it/ terms-and-conditions</w:t>
        </w:r>
      </w:hyperlink>
      <w:r>
        <w:t xml:space="preserve">), welke de Fleequid® Marketplace beheersen en hier als </w:t>
      </w:r>
      <w:r>
        <w:lastRenderedPageBreak/>
        <w:t>integraal worden beschouwd, gelden voor de toepassing van deze Specifieke Voorwaarden van de Fleequid® Powertrain-garantieverlening (“CSG”) de volgende definities:</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"Koper"</w:t>
      </w:r>
      <w:r>
        <w:rPr>
          <w:rFonts w:ascii="Verdana" w:hAnsi="Verdana"/>
          <w:sz w:val="20"/>
        </w:rPr>
        <w:t>: de persoon die, door zich een Voertuig op de Fleequid® Marketplace toe te wijzen, in het kader van zijn bedrijfs- of beroepsactiviteit, de activering van de Powertrain garantieverlening aanvraagt en verkrijgt. De Dienst is niet bestemd voor consumenten in de zin van Wetgevend Decreet nr. 206/2005 (Italiaans Consumentenwetboek).</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Wachttijd"</w:t>
      </w:r>
      <w:r>
        <w:rPr>
          <w:rFonts w:ascii="Verdana" w:hAnsi="Verdana"/>
          <w:sz w:val="20"/>
        </w:rPr>
        <w:t>: de initiële periode die aanvangt op de datum van activering van de Powertrain-garantieverlening, ongeacht of deze gelijktijdig met of na  de verkoop, gedurende welke de Garantie niet van kracht is en geen dekking biedt voor aan het Voertuig.</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"Erkend Centrum"</w:t>
      </w:r>
      <w:r>
        <w:rPr>
          <w:rFonts w:ascii="Verdana" w:hAnsi="Verdana"/>
          <w:sz w:val="20"/>
        </w:rPr>
        <w:t>: de werkplaats of het servicecentrum dat door Fleequid® is aangewezen of voorafgaand door Fleequid® is goedgekeurd voor de uitvoering van reparaties en werkzaamheden die onder de Powertrain-garantieverlening vallen.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"Gedekte Onderdelen"</w:t>
      </w:r>
      <w:r>
        <w:rPr>
          <w:rFonts w:ascii="Verdana" w:hAnsi="Verdana"/>
          <w:sz w:val="20"/>
        </w:rPr>
        <w:t>: de belangrijkste onderdelen van de motor- en versnellingsbak van het Voertuig waarop de Garantie van toepassing is, zoals nader gespecificeerd  in deze CSG.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"Uitgesloten Onderdelen"</w:t>
      </w:r>
      <w:r>
        <w:rPr>
          <w:rFonts w:ascii="Verdana" w:hAnsi="Verdana"/>
          <w:sz w:val="20"/>
        </w:rPr>
        <w:t>: de onderdelen en accessoires van het Voertuig die niet tot de Gedekte Onderdelen behoren en derhalve van de Garantie zijn uitgesloten, zoals nader gespecificeerd in deze CSG.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w:t>
      </w:r>
      <w:r>
        <w:rPr>
          <w:rFonts w:ascii="Verdana" w:hAnsi="Verdana"/>
          <w:b/>
          <w:i/>
          <w:sz w:val="20"/>
        </w:rPr>
        <w:t>Specifieke voorwaarden van de Powertrain-garantieverlening</w:t>
      </w:r>
      <w:r>
        <w:rPr>
          <w:rFonts w:ascii="Verdana" w:hAnsi="Verdana"/>
          <w:sz w:val="20"/>
        </w:rPr>
        <w:t>" of "</w:t>
      </w:r>
      <w:r>
        <w:rPr>
          <w:rFonts w:ascii="Verdana" w:hAnsi="Verdana"/>
          <w:b/>
          <w:i/>
          <w:sz w:val="20"/>
        </w:rPr>
        <w:t>CSG</w:t>
      </w:r>
      <w:r>
        <w:rPr>
          <w:rFonts w:ascii="Verdana" w:hAnsi="Verdana"/>
          <w:sz w:val="20"/>
        </w:rPr>
        <w:t>":  deze Specifieke voorwaarden die de voorwaarden en modaliteiten regelen van de Powertrain-garantieverlening (motor en versnellingsbak) die door Fleequid® wordt aangeboden. De rangorde tussen deze CSG, eventuele andere Specifieke Voorwaarden en/of Bijzondere Veilingvoorwaarden en/of individuele overeenkomsten, enerzijds, en de Algemene Voorwaarden van de Fleequid® Marketplace, anderzijds, wordt beheerst door laatstgenoemde.</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heeft de betekenis die daaraan wordt toegekend in de Algemene Voorwaarden van de Fleequid® Marketplace, en omvat, voor de toepassing van deze CSG, de Vennootschap Adorea S.r.l. of elke andere door haar aangewezen rechtspersoon die optreedt als aanbieder van de Powertrain-garantieverlening.</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"Vertrouwen deskundige"</w:t>
      </w:r>
      <w:r>
        <w:rPr>
          <w:rFonts w:ascii="Verdana" w:hAnsi="Verdana"/>
          <w:sz w:val="20"/>
        </w:rPr>
        <w:t>: de door Fleequid® aangestelde technicus die belast is met het vaststellen van de oorzaak van het gebrek en met de verificatie van de voorwaarden voor de toepasselijkheid  van de Garantie te .</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"Powertrain-garantieverlening"</w:t>
      </w:r>
      <w:r>
        <w:rPr>
          <w:rFonts w:ascii="Verdana" w:hAnsi="Verdana"/>
          <w:sz w:val="20"/>
        </w:rPr>
        <w:t>: de optionele, niet-verzekeringsgebonden commerciële garantie waarbij Fleequid® tegen betaling, rechtstreeks de verplichting op zich neemt om dekking te bieden voor gebreken en storingen aan de belangrijkste onderdelen van de motor- en versnellingsbak van het Voertuig dat op de Marketplace wordt toegewezen, binnen de grenzen, onder de voorwaarden en met inachtneming van de uitsluitingen zoals vastgesteld in deze CSG.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lastRenderedPageBreak/>
        <w:t>"Voertuig"</w:t>
      </w:r>
      <w:r>
        <w:rPr>
          <w:rFonts w:ascii="Verdana" w:hAnsi="Verdana"/>
          <w:sz w:val="20"/>
        </w:rPr>
        <w:t>: het Voertuig, zoals gedefinieerd in de Algemene Voorwaarden van de Fleequid® Marketplace, waarvoor de Koper de activering van de Powertrain--gratieverlening heeft aangevraagd en verkregen.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217547"/>
      <w:r>
        <w:rPr>
          <w:rFonts w:ascii="Verdana" w:hAnsi="Verdana"/>
          <w:b/>
          <w:smallCaps/>
          <w:sz w:val="20"/>
        </w:rPr>
        <w:t>Voorwerp van de Dienst</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Deze Specifieke Voorwaarden regelen de </w:t>
      </w:r>
      <w:r>
        <w:rPr>
          <w:rFonts w:ascii="Verdana" w:hAnsi="Verdana"/>
          <w:b/>
          <w:sz w:val="20"/>
        </w:rPr>
        <w:t>Powertrain-garantieverlening</w:t>
      </w:r>
      <w:r>
        <w:rPr>
          <w:rFonts w:ascii="Verdana" w:hAnsi="Verdana"/>
          <w:sz w:val="20"/>
        </w:rPr>
        <w:t xml:space="preserve"> die door Fleequid® wordt aangeboden aan Kopers die daarom verzoeken en die de daarvoor verschuldigde vergoeding naar behoren hebben voldaan.</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Powertrain-garantieverlening heeft het karakter van een optionele </w:t>
      </w:r>
      <w:r>
        <w:rPr>
          <w:rFonts w:ascii="Verdana" w:hAnsi="Verdana"/>
          <w:b/>
          <w:sz w:val="20"/>
        </w:rPr>
        <w:t>commerciële garantie</w:t>
      </w:r>
      <w:r>
        <w:rPr>
          <w:rFonts w:ascii="Verdana" w:hAnsi="Verdana"/>
          <w:sz w:val="20"/>
        </w:rPr>
        <w:t xml:space="preserve"> en vormt op geen enkele wijze een verzekeringsproduct. Het risico met betrekking tot de uitvoering van de Garantie wordt rechtstreeks door Fleequid® gedragen.</w:t>
      </w:r>
      <w:r>
        <w:t xml:space="preserve"> </w:t>
      </w:r>
      <w:r>
        <w:rPr>
          <w:rFonts w:ascii="Verdana" w:hAnsi="Verdana"/>
          <w:sz w:val="20"/>
        </w:rPr>
        <w:t>Fleequid® is noch een verzekeringsmaatschappij, noch een verzekeringstussenpersoon en is niet onderworpen aan het toezicht van IVASS, noch aan de regelgeving van de Italiaanse Code van de particuliere verzekeringen.</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Garantie is uitsluitend van toepassing op de </w:t>
      </w:r>
      <w:r>
        <w:rPr>
          <w:rFonts w:ascii="Verdana" w:hAnsi="Verdana"/>
          <w:b/>
          <w:sz w:val="20"/>
        </w:rPr>
        <w:t>Gedekte Onderdelen</w:t>
      </w:r>
      <w:r>
        <w:rPr>
          <w:rFonts w:ascii="Verdana" w:hAnsi="Verdana"/>
          <w:sz w:val="20"/>
        </w:rPr>
        <w:t xml:space="preserve"> van het Voertuig en beperkt zich tot gebreken die ontstaan tijdens de geldigheidsduur van de Dienst, een en ander binnen de grenzen, onder de voorwaarden en met inachtneming van uitsluitingen zoals vastgesteld in deze CSG.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Derhalve blijven alle </w:t>
      </w:r>
      <w:r>
        <w:rPr>
          <w:rFonts w:ascii="Verdana" w:hAnsi="Verdana"/>
          <w:b/>
          <w:sz w:val="20"/>
        </w:rPr>
        <w:t>Uitgesloten Onderdelen</w:t>
      </w:r>
      <w:r>
        <w:rPr>
          <w:rFonts w:ascii="Verdana" w:hAnsi="Verdana"/>
          <w:sz w:val="20"/>
        </w:rPr>
        <w:t xml:space="preserve"> alsmede de in de volgende artikelen genoemde gevallen en omstandigheden, van de garantie uitgesloten</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De verhouding tussen deze CSG en de Algemene Voorwaarden wordt geregeld door artikel 3.3 van de </w:t>
      </w:r>
      <w:r>
        <w:rPr>
          <w:rFonts w:ascii="Verdana" w:hAnsi="Verdana"/>
          <w:i/>
          <w:sz w:val="20"/>
        </w:rPr>
        <w:t>Algemene Voorwaarden van de Fleequid® Marketplace</w:t>
      </w:r>
      <w:r>
        <w:rPr>
          <w:rFonts w:ascii="Verdana" w:hAnsi="Verdana"/>
          <w:sz w:val="20"/>
        </w:rPr>
        <w:t>: deze CSG hebben voorrang op de Algemene Voorwaarden in geval van strijdigheid, uitsluitend voor zover het de regeling van de Powertrain-garantieverlening betreft.</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217548"/>
      <w:r>
        <w:rPr>
          <w:rFonts w:ascii="Verdana" w:hAnsi="Verdana"/>
          <w:b/>
          <w:smallCaps/>
          <w:sz w:val="20"/>
        </w:rPr>
        <w:t>Gedekte en uitgesloten onderdelen</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Gedekte onderdelen - </w:t>
      </w:r>
      <w:r>
        <w:rPr>
          <w:rFonts w:ascii="Verdana" w:hAnsi="Verdana"/>
          <w:sz w:val="20"/>
        </w:rPr>
        <w:t xml:space="preserve">De Powertrain- garantieverlening is uitsluitend van toepassing op de belangrijkste mechanische onderdelen van de </w:t>
      </w:r>
      <w:r>
        <w:rPr>
          <w:rFonts w:ascii="Verdana" w:hAnsi="Verdana"/>
          <w:b/>
          <w:sz w:val="20"/>
        </w:rPr>
        <w:t>motor</w:t>
      </w:r>
      <w:r>
        <w:rPr>
          <w:rFonts w:ascii="Verdana" w:hAnsi="Verdana"/>
          <w:sz w:val="20"/>
        </w:rPr>
        <w:t xml:space="preserve"> en  de</w:t>
      </w:r>
      <w:r>
        <w:rPr>
          <w:rFonts w:ascii="Verdana" w:hAnsi="Verdana"/>
          <w:b/>
          <w:sz w:val="20"/>
        </w:rPr>
        <w:t>versnellingsbak</w:t>
      </w:r>
      <w:r>
        <w:rPr>
          <w:rFonts w:ascii="Verdana" w:hAnsi="Verdana"/>
          <w:sz w:val="20"/>
        </w:rPr>
        <w:t xml:space="preserve"> van het Voertuig, te weten:</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voor de </w:t>
      </w:r>
      <w:r>
        <w:rPr>
          <w:rFonts w:ascii="Verdana" w:hAnsi="Verdana"/>
          <w:b/>
          <w:sz w:val="20"/>
        </w:rPr>
        <w:t>motor</w:t>
      </w:r>
      <w:r>
        <w:rPr>
          <w:rFonts w:ascii="Verdana" w:hAnsi="Verdana"/>
          <w:sz w:val="20"/>
        </w:rPr>
        <w:t>: het motorblok, de cilinderkop, de krukas, de zuigers, de drijfstangen, de kleppen, de nokkenassen en andere onderdelen die strikt functioneel zijn voor de werking van de motor;</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voor de </w:t>
      </w:r>
      <w:r>
        <w:rPr>
          <w:rFonts w:ascii="Verdana" w:hAnsi="Verdana"/>
          <w:b/>
          <w:sz w:val="20"/>
        </w:rPr>
        <w:t>versnellingsbak</w:t>
      </w:r>
      <w:r>
        <w:rPr>
          <w:rFonts w:ascii="Verdana" w:hAnsi="Verdana"/>
          <w:sz w:val="20"/>
        </w:rPr>
        <w:t>: de versnellingsbakbehuizing, de tandwielen, de assen, de lagers, het differentieel alsmede andere onderdelen die strikt functioneel zijn voor de werking van de handgeschakelde of automatische versnellingsbak.</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Uitgesloten onderdelen - </w:t>
      </w:r>
      <w:r>
        <w:rPr>
          <w:rFonts w:ascii="Verdana" w:hAnsi="Verdana"/>
          <w:sz w:val="20"/>
        </w:rPr>
        <w:t>Van de dekking van de Powertrain-garantieverlening zijn uitgesloten, bij wijze van voorbeeld en zonder dat deze opsomming limitatief is:</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onderdelen die onderhevig zijn aan normale slijtage onderhevig (zoals onder meer de koppeling, frictieschijven, riemen, filters, pakkingen, slangen, leidingen, vloeistoffen en overige verbruiksartikelen);</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elektrische en elektronische systemen en accessoires die niet strikt functioneel zijn voor de werking van de motor of de versnellingsbak (zoals onder meer de dynamo, de startmotor, kabelbomen, regeleenheden anders dan die van de motor of versnellingsbak);</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uitlaat- en emissiebehandelingssystemen (zoals onder meer katalysatoren, roetfilters, EGR-systemen, AdBlue-systemen, lambdasondes);</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onderdelen die geen integraal onderdeel maken van de motor of de versnellingsbak (zoals onder meer radiatoren, waterpompen, hulppompen, de aircocompressor, elastische motor- en transmissiesteunen en het vliegwiel);</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het volledige klimaat- en airconditioningsysteem van het interieur, met inbegrip van – bij wijze van voorbeeld en zonder dat de opsomming limitatief is – de aircocompressor, de condensor, de verdamper, de elektrische ventilatoren en ventilatoren, leidingen en koppelingen , sensoren, expansiekleppen, regeleenheden en modules voor de aansturing van de airconditioning;</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schade die voortvloeit uit aanrijdingen, ongelukken, brand, diefstal, natuurrampen, onoordeelkundig gebruik of ongeoorloofde ingrepen;</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gebreken die reeds bestonden op het moment van aflevering van het Voertuig, dan wel in elk geval zijn ontstaan vóór de datum van activering van de Dienst, met inbegrip van gebreken die zich hebben voorgedaan tijdens de Wachttijd.</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Beginsel van limitativiteit</w:t>
      </w:r>
      <w:r>
        <w:rPr>
          <w:rFonts w:ascii="Verdana" w:hAnsi="Verdana"/>
          <w:sz w:val="20"/>
        </w:rPr>
        <w:t xml:space="preserve"> - Met de activering van de Powertrain-garantieverlening, aanvaardt en erkent de Koper dat de dekking uitsluitend van toepassing is op de Gedekte Onderdelen zoals hierboven opgesomd en dat alle  onderdelen, gevallen of omstandigheden die niet uitdrukkelijk zijn inbegrepen, geacht worden van de garantie te zijn uitgesloten..</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217549"/>
      <w:r>
        <w:rPr>
          <w:rFonts w:ascii="Verdana" w:hAnsi="Verdana"/>
          <w:b/>
          <w:smallCaps/>
          <w:sz w:val="20"/>
        </w:rPr>
        <w:t>Aanvang, duur en voorwaarden van de gelding.</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Powertrain-garantieverlening vangt aan op de datum van aflevering van het Voertuig aan de Koper, zoals blijkt uit de verkoop- en vervoersdocumenten. Indien de Powertrain-garantieverlening na de verkoop van het Voertuig wordt aangeschaft, vangt zij aan op de datum die door Fleequid® is vermeld in de contractuele activeringsdocumentatie van de Dienst, mits:</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het Voertuig opnieuw door Fleequid® is geïnspecteerd, dan wel Fleequid®  formeel afstand heeft gedaan van een inspectie;</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de vergoeding voor de Dienst door de Koper volledig is voldaan.</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aanvaardt en erkent dat de Powertrain-garantieverlening geen gebreken dekt die reeds bestonden of zich hebben geopenbaard vóór de aflevering van het Voertuig, noch gebreken die zijn ontstaan vóór de aanvangsdatum van de Dienst of tijdens de Wachttijd..</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Powertrain-garantieverlening heeft een vooraf vastgestelde looptijd, die  door de Koper bij het aangaan van de overeenkomst kan worden gekozene uit de volgende opties:</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lastRenderedPageBreak/>
        <w:t>3 (drie) maanden of 15.000 (vijftienduizend)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(zes) maanden of 30.000 (dertigduizend)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(negen) maanden of 45.000 (vijfenveertigduizend)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(twaalf) maanden of 60.000 (zestigduizend)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De Dienst wordt niet stilzwijgend verlengd en eindigt bij het bereiken van het eerste van de volgende momenten: het verstrijken van de overeengekomen looptijd of het bereiken van de gekozen kilometerlimiet.</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Powertrain-garantieverlening kan uitsluitend worden geactiveerd voor Voertuigen die op de aanvangsdatum van de Dienst (Artikel 4.1)  aan de volgende vereisten voldoen:</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Een leeftijd van maximaal (vijftien) jaar te rekenen vanaf de datum van eerste inschrijving;</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Een gedocumenteerde kilometerstand en onderhoudsgeschiedenis, overeenkomstig de volgende tabel:</w:t>
      </w:r>
    </w:p>
    <w:tbl>
      <w:tblPr>
        <w:tblStyle w:val="Grigliatabella"/>
        <w:tblW w:w="0" w:type="auto"/>
        <w:tblLook w:val="04A0" w:firstRow="1" w:lastRow="0" w:firstColumn="1" w:lastColumn="0" w:noHBand="0" w:noVBand="1"/>
      </w:tblPr>
      <w:tblGrid>
        <w:gridCol w:w="2233"/>
        <w:gridCol w:w="2394"/>
        <w:gridCol w:w="5001"/>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Voertuigcategorie</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Standaard kilometerlimiet</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Toelaatbaarheid boven de limiet</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Bus Klasse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Toelaatbaar indien motor en versnellingsbak in de laatste 250.000 km zijn gereviseerd (met officiële documentatie)</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Bus Klasse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Toelaatbaar indien motor en versnellingsbak in de laatste 250.000 km zijn gereviseerd (met officiële documentatie)</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Klasse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Toelaatbaar indien motor en versnellingsbak in de laatste 100.000 km zijn gereviseerd (met officiële documentatie)</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klasse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Toelaatbaar indien motor en versnellingsbak in de laatste 100.000 km zijn gereviseerd (met officiële documentatie)</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Schoolbus</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Toelaatbaar indien motor en versnellingsbak in de laatste 100.000 km zijn gereviseerd (met officiële documentatie)</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Momenteel is de Powertrain-garantieverlening uitsluitend voorbehouden aan bussen en minibussen.</w:t>
      </w:r>
      <w:r>
        <w:rPr>
          <w:rFonts w:ascii="Verdana" w:hAnsi="Verdana"/>
          <w:sz w:val="20"/>
        </w:rPr>
        <w:br/>
        <w:t>Fleequid® behoudt zich het recht voor om de categorieën van Voertuigen die in voor de Garantie in aanmerking komen, uit te breiden, bij te werken of te wijzigen, mits dit uitdrukkelijk wordt vermeld in de precontractuele documentatie of in specifieke bijlagen bij deze CSG, welke aan de Koper ter beschikking wordt gesteld bij het aangaan van de overeenkomst.</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 geval van vervreemding of overdracht van het Voertuig aan een derde vervalt de Powertrain-garantieverlening van rechtswege zonder recht op vergoeding. Een eventuele </w:t>
      </w:r>
      <w:r>
        <w:rPr>
          <w:rFonts w:ascii="Verdana" w:hAnsi="Verdana"/>
          <w:sz w:val="20"/>
        </w:rPr>
        <w:lastRenderedPageBreak/>
        <w:t>overdracht van de Garantie aan de nieuwe eigenaar is uitsluitend mogelijk na  voorafgaande schriftelijke goedkeuring van Fleequid® en is afhankelijk van de betaling van de daarvoor verschuldigde vergoedingen door de oorspronkelijke Koper of opvolgende verkrijger. Onverminderd het voorgaande blijft de Powertrain-garantieverlening in ieder geval beëindigd indien de Koper de in deze CSG opgenomen verplichtingen niet naleeft.</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Indien de Powertrain-garantieverlening na de verkoop van het Voertuig wordt aangeschaft (art. 4.1, tweede alinea), wordt de dekking pas van kracht na het verstrijken van een Wachttijd van 30 (dertig) dagen  vanaf de aanvangsdatum van de Dienst, dan wel na het afleggen van de eerste 1.000 (duizend) kilometer door het Voertuig na die datum, afhankelijk van welke gebeurtenis zich het laatst voordoet. Tijdens deze Wachttijd zijn eventuele gebreken niet gedekt. Er geldt geen Wachttijdindien de Dienst gelijktijdig met de aankoop  van het Voertuig wordt aangeschaft binnen het verkoopproces op de Fleequid® Marketplace, vóór de aflevering van het Voertuig.</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217550"/>
      <w:r>
        <w:rPr>
          <w:rFonts w:ascii="Verdana" w:hAnsi="Verdana"/>
          <w:b/>
          <w:smallCaps/>
          <w:sz w:val="20"/>
        </w:rPr>
        <w:t>Territoriale reikwijdte.</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Powertrain-garantieverlening is geldig en van kracht voor Voertuigen die in elk land worden gebruikt en gerepareerd, behoudens een eventuele afwijkende beperking of uitsluiting door Fleequid® uitdrukkelijk anders  aan de Koper is meegedeeld in de precontractuele documentatie of in de activeringscontractuele documentatie van de Dienst.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Garantie-ingrepen dienen te worden uitgevoerd bij Erkende Centra die  door Fleequid® zijn afgewezen of voorafgaand door Fleequid® zijn goedgekeurd. Elke reparatie die buiten deze Erkende Centra wordt uitgevoerd, leidt tot het verval van het recht op dekking, behoudens voorafgaande schriftelijke goedkeuring van Fleequid®.</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De Koper aanvaardt en erkent dat, indien  het Voertuig wordt overgebracht naar of gebruikt in landen waarvoor Fleequid® specifieke beperkingen heeft meegedeeld, de Powertrain-garantieverlening niet van kracht is gedurende de volledige periode van verblijf in die landen..</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217551"/>
      <w:bookmarkEnd w:id="8"/>
      <w:r>
        <w:rPr>
          <w:rFonts w:ascii="Verdana" w:hAnsi="Verdana"/>
          <w:b/>
          <w:smallCaps/>
          <w:sz w:val="20"/>
        </w:rPr>
        <w:t>Verplichtingen van de Koper.</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het reguliere en buitengewone onderhoud aan het Voertuig zelf uit te voeren of te laten uitvoeren, overeenkomstig  de voorschriften van de fabrikant en de toepasselijke wet- en regelgeving, en daarbij deugdelijk bewijs te bewaren  (zoals facturen, onderhoudsboekjes, ontvangstbewijzen, e.d.) dat op verzoek van Fleequid® kan worden overlegd.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Fleequid® binnen uiterlijk 5 (vijf) werkdagen na het ontstaan daarvan in kennis te stellen van ieder gebrek, door het indienen van een daartoe bestemd verzoek tot interventie overeenkomstig op de door Fleequid® vastgestelde procedure, onder overlegging van de  vereiste documentatie (waaronder een beschrijving van het gebrek, de kilometerstand, foto's, een kopie van het onderhoudsboekje)</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 Koper is niet gerechtigd zelf, noch door derden, reparaties of werkzaamheden aan Gedekte Onderdelen uit te voeren of te laten uitvoeren zonder voorafgaande schriftelijke toestemming van Fleequid®. Elke ongeoorloofde ingrepen leiden tot het verval  van het recht op dekking voor de desbetreffende gebreken.</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samen te werken met de door Fleequid® aangestelde Vertrouwensdeskundige ten behoeve van de vereiste verificaties en dient  toegang tot het Voertuig te verlenen voor het uitvoeren van de controles.</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het Voertuig te gebruiken overeenkomstig de bestemming ervan, de toepasselijke wet- en regelgeving en de instructies van de fabrikant, en zich te onthouden van overbelasting, ongeoorloofde ingrepen, onoordeelkundig gebruik of enig ander gebruik dat niet verenigbaar is met normale professionele zorgvuldigheid (beginsel fair-use).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geval van waarschuwingslampjes, akoestische signalen, duidelijke functioneringsafwijkingen of enige andere omstandigheid die redelijkerwijs doet vermoeden dat  dreigende schade aan de Gedekte Onderdelen kan ontstaan is, is de Koper gehouden het gebruik van het Voertuig onmiddellijk te staken en onverwijld de tussenkomst van Fleequid® te verzoeken. Het voortzetten van het gebruik van het Voertuig onder  dergelijke omstandigheden leidt tot het verval van de dekking voor verdere of verergerde schade die uit dergelijk handelen voortvloeit.</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aanvaardt en erkent dat het niet naleven van de verplichtingen uit dit Artikel leidt tot het geheel of gedeeltelijk verval van het recht op dekking onder de Powertrain-garantieverlening.</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217552"/>
      <w:r>
        <w:rPr>
          <w:rFonts w:ascii="Verdana" w:hAnsi="Verdana"/>
          <w:b/>
          <w:smallCaps/>
          <w:sz w:val="20"/>
        </w:rPr>
        <w:t>Schadeaangifte</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Deze procedure heeft tot doel Fleequid® in staat te stellen storingen gedekte gebreken  onder de Powertrain-garantieverlening tijdig en doeltreffend te beheren, verergering van schade te voorkomen en te waarborgen dat de werkzaamheden uitsluitend worden uitgevoerd bij Erkende Centra.</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Koper is gehouden Fleequid® schriftelijk in kennis te stellen van het ontstaan van een gebrek,  door middel van een daartoe strekkend verzoek dat uitsluitend wordt ingediend  via de communicatiekanalen vermeld in artikel 7.3. De melding dient uiterlijk binnen 5 (vijf) werkdagen na het ontstaan van het gebrek te worden gedaan. Het niet in acht nemen van deze termijn leidt tot het automatische verval van het recht op dekking voor het gemelde voorval.</w:t>
      </w:r>
    </w:p>
    <w:p w14:paraId="6881D941" w14:textId="7E202D8F"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t xml:space="preserve">De schadeaangifte dient uitsluitend te worden verzonden naar het volgende daartoe bestemde e-mailadres: </w:t>
      </w:r>
      <w:hyperlink r:id="rId12" w:history="1">
        <w:r>
          <w:rPr>
            <w:rStyle w:val="Collegamentoipertestuale"/>
            <w:rFonts w:ascii="Verdana" w:hAnsi="Verdana"/>
            <w:b/>
            <w:sz w:val="20"/>
          </w:rPr>
          <w:t>warranty@fleequid.com</w:t>
        </w:r>
      </w:hyperlink>
      <w:r>
        <w:t>.</w:t>
      </w:r>
      <w:r>
        <w:rPr>
          <w:rFonts w:ascii="Verdana" w:hAnsi="Verdana"/>
          <w:sz w:val="20"/>
        </w:rPr>
        <w:t xml:space="preserve"> Meldingen die via andere communicatiekanalen worden verzonden, zijn niet geldig en hebben derhalve geen rechtsgevolg voor de garantie, ook niet indien bewijs van ontvangst door Fleequid® kan worden overgelegd (zoals via. telefoon, instant messaging, PEC, gewone post of andere e-mailadressen).</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melding dient ten minste de volgende gegevens bevatten:</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lastRenderedPageBreak/>
        <w:t>Identificatiegegevens van de Koper en het Voertuig (kenteken, chassisnummer/VIN, gereden kilometerstand);</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Een beschrijving van het gebrek  en de datum waarop dit zich heeft voorgedaan;</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De locatie waar het Voertuig zich bevindt;</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Fotografische documentatie, voor zover beschikbaar;</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Een kopie van de onderhoudsdocumentatie en eerdere uitgevoerde werkzaamheden, indien daarom wordt verzocht.</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de melding opent Fleequid® het schadegeval, benoemt zij een Vertrouwensdeskundige  voor de technische verificaties en verleent zij vervolgens schriftelijke toestemming voor eventuele werkzaamheden bij een Erkend Centrum. Iedere ingreep die wordt uitgevoerd zonder de voorafgaande schriftelijke toestemming van Fleequid® leidt tot het verval van het recht op dekking.</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217553"/>
      <w:r>
        <w:rPr>
          <w:rFonts w:ascii="Verdana" w:hAnsi="Verdana"/>
          <w:b/>
          <w:smallCaps/>
          <w:sz w:val="20"/>
        </w:rPr>
        <w:t>Behandeling van het schadegeval</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een conforme schadeaangifte overeenkomstig artikel 7, opent Fleequid® het dossier en kan zij, naar eigen exclusief oordeel, een Vertrouwensdeskundige aanwijzende belast is met het vaststellen van de oorzaken van het gebrek en met de verificatie van de voorwaarden voor de toepasselijkheid van de Powertrain-garantieverlening.</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Koper is gehouden om:</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het Voertuig ter beschikking te stellen van de door Fleequid® aangestelde Vertrouwensdeskundige en deze in staat te stellen alle noodzakelijke verificaties uit te voeren;</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zich te onthouden van het op eigen initiatief uitvoeren o laten uitvoeren van enig technisch onderzoek, enige demontage of enige ingreep die het vaststellen van de oorzaak van de schade onmogelijk maakt of bemoeilijkt.</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De schending van deze verplichtingen leidt tot het automatische verval van  het recht op dekking voor het gemelde voorval.</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stelt de Koper binnen 10 (tien) werkdagen na ontvangst van het verslag van de Vertrouwensdeskundige, indien deze is benoemd, dan wel na afronding van de interne beoordeling, in kennis van de uitkomst van de procedure..</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uitkomst van de behandeling van het schadegeval kan bestaan uit:</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de toestemming en uitvoering van de reparatie of vervanging van de Gedekte Onderdelen bij een Erkend Centrum, waarbij de kosten voor rekening zijn van Fleequid®, komen binnen de grenzen van deze CSG;</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 xml:space="preserve">als restoptie, indien Fleequid® dit opportuun acht, kan de Koper worden gemachtigd om  de herstelling te laten uitvoeren bij een door hem gekozen vertrouwenscentrum, met latere terugbetaling uitsluitend van de daadwerkelijke gemaakte en gedocumenteerde kosten, na verificatie van de naleving van deze CSG, en mits overlegging met Fleequid® </w:t>
      </w:r>
      <w:r>
        <w:rPr>
          <w:rFonts w:ascii="Verdana" w:hAnsi="Verdana"/>
          <w:sz w:val="20"/>
        </w:rPr>
        <w:lastRenderedPageBreak/>
        <w:t>van de originele facturen en de betalingsbewijzen De betaling door Fleequid® vindt plaats binnen 30 (dertig) werkdagen na een positieve uitkomst van de verificatie;</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De afwijzing van de melding, indien niet is voldaan aan de voorwaarden voor de toepasselijkheid van de Powertrain-garantieverlening.</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Elke herstelling is onderworpen aan de voorafgaande schriftelijke toestemming van Fleequid®. Bij gebreke van een dergelijke toestemming komen de kosten volledig voor rekening van de Koper.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217554"/>
      <w:r>
        <w:rPr>
          <w:rFonts w:ascii="Verdana" w:hAnsi="Verdana"/>
          <w:b/>
          <w:smallCaps/>
          <w:sz w:val="20"/>
        </w:rPr>
        <w:t>Dekkingsbeperkingen en aansprakelijkheid.</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De Powertrain-garantieverlening heeft uitsluitend betrekking op de herstelling of vervanging van Gedekte Onderdelen, binnen de grenzen, voorwaarden en modaliteiten zoals bepaald in deze CSG. Fleequid® aanvaardt uitsluitend het economisch risico dat voortvloeit uit het vermogensverlies verbonden aan de noodzaak om dergelijke onderdelen te herstellen of te vervangen, met uitsluiting van iedere verdere verplichting tot schadeloosstelling, terugbetaling of compensatie.</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het bijzonder is iedere aansprakelijkheid van Fleequid® uitdrukkelijk uitgesloten voor:</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directe of indirecte schade die voortvloeit uit een defect aan de Gedekte Onderdelen (met inbegrip van, onder meer, technische stilstand, niet-gebruik van het Voertuig, verlies van omzet of contracten, alsmede reputatie- of klantenverlies);</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schade aan personen, zaken of dieren als gevolg van een defect aan, dan wel de herstelling van,  de Gedekte Onderdelen;</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schade aan componenten, systemen of onderdelen die niet uitdrukkelijk onder de dekking vallen, waaronder begrepen het volledige klimaat- en airconditioningsysteem van het Voertuig (aircocompressor, condensor, verdamper, leidingen, ventilatoren, sensoren, regeleenheden en alle overige aircocomponenten);</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gevolgen van opschorting, vertraging, gebrekkige werking of onderbreking  van de Dienstverlening, tenzij deze het gevolg zijn van opzet of grove nalatigheid van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Het maximale kostenplafond dat van toepassing is op elk Voertuig wordt vastgesteld en aan de Koper meegedeeld in de precontractuele documentatie met betrekking tot de Powertrain-garantieverlening.</w:t>
      </w:r>
      <w:r>
        <w:rPr>
          <w:rFonts w:ascii="Verdana" w:hAnsi="Verdana"/>
          <w:sz w:val="20"/>
        </w:rPr>
        <w:br/>
        <w:t>Dit kostenplafond geldt voor  de volledige duur van de Dienstverlening en niet per afzonderlijkschadegeval, tenzij in de precontractuele documentatie uitdrukkelijk anders is bepaald. In elk geval zal de totale verplichting van Fleequid® per Voertuig, nimmer hoger zijn dan het laagste van de volgende bedragen: €25.000,00 (vijfentwintigduizend/00) exclusief BTW, of de restwaarde van het Voertuig op het moment van het schadegeval, vastgesteld overeenkomstig de op dat moment geldende marktcriteria.</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Indien voor de reparatie of vervanging van een Gedekt Onderdeel tevens werkzaamheden noodzakelijk zijn aan componenten of onderdelen die niet onder de Garantie vallen, blijven de daaraan verbonden de kosten volledig voor rekening van de Koper. In dergelijke gevallen kan </w:t>
      </w:r>
      <w:r>
        <w:rPr>
          <w:rFonts w:ascii="Verdana" w:hAnsi="Verdana"/>
          <w:sz w:val="20"/>
        </w:rPr>
        <w:lastRenderedPageBreak/>
        <w:t>Fleequid® het bedrag dat overeenkomt met haar aandeel in de werkzaamheden aan de Gedekte Onderdelen rechtstreeks ter beschikking stellen van het Erkend Centrum, terwijl het deel van de kosten dat niet door de Garantie wordt gedekt rechtstreeks door de Koper aan het Erkend Centrum dient te worden betaald. Het Erkend Centrum is uitdrukkelijk gerechtigd het retentierecht op het Voertuig uit te oefenen totdat de door  de Koper verschuldigde bedragen volledig zijn voldaan. Bij gebreke van aanvaarding van de offerte binnen de geldigheidstermijn is Fleequid® gerechtigd de dossierbehandeling op te schorten totdat de Koper een nadere beslissing heeft genomen.</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aanvaardt en erkent dat hij, voor zover wettelijk toegestaan, Fleequid® vrijwaart en schadeloosstelt tegen iedere aansprakelijkheid voor vertragingen, defecten of nalatigheden bij de behandeling van de van het verzoek tot activering van de Garantie, tenzij deze het gevolg zijn van opzet of grove nalatigheid van Fleequid®. In het bijzonder zijn uitgesloten:</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de gevolgen die voortvloeien uit het niet tijdig indienen van een schadeaangifte door de Koper;</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schade die voortvloeit uit  vertragingen in de behandeling, de expertise of de beslissing omtrent de dekking;</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iedere verdere aanspraak op schadevergoeding buiten de Garantieverlening, en dit binnen de grenzen en voorwaarden zoals vastgesteld in deze CSG.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Geen enkele mededeling, inontvangstneming van de schadeaangifte of onderzoeks- of beoordelingshandeling door Fleequid® kan worden opgevat als een (ook impliciete) erkenning van het recht op dekking, welk recht onderworpen blijft aan de positieve uitkomst van de procedure zoals voorzien in deze CSG.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217555"/>
      <w:r>
        <w:rPr>
          <w:rFonts w:ascii="Verdana" w:hAnsi="Verdana"/>
          <w:b/>
          <w:smallCaps/>
          <w:sz w:val="20"/>
        </w:rPr>
        <w:t>Prestaties, reparaties en operationele beperkingen.</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Powertrain-garantieverlening heeft uitsluitend betrekking op Gedekte Onderdelen en omvat in geen geval, louter bij wijze van voorbeeld en niet limitatief, het volgende:</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sleep- of pechhulp voor het Voertuig;</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de terbeschikkingstelling van vervangende voertuigen of alternatieve mobiliteitsdiensten;</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verblijfs-, maaltijd- of logistieke kosten van de Koper of bestuurders;</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verbruiksartikelen, vloeistoffen, filters en smeermiddelen, tenzij deze noodzakelijk zijn en rechtstreeks verband houdt met een foor Fleequid® geautoriseerde interventie aan de Gedekte Onderdelen;</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Diagnose-, inspectie- of offerteopmaak die niet vooraf door Fleequid® zijn goedgekeurd.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iedere interventie, reparatie, vervanging of diagnose met betrekking tot componenten, systemen of onderdelen die niet zijn opgenomen onder de Gedekte Onderdelen, waaronder - uitdrukkelijk - het volledige klimaat- en airconditioningsysteem van het Voertuig (aircocompressor, condensor, verdamper, ventilatoren, leidingen, sensoren, regeleenheden en alle overige aircocomponenten).</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De krachtens deze CSG toegestane interventies worden uitgevoerd met originele of gelijkwaardige onderdelen, dan wel met gereviseerde onderdelen van gelijkwaardige kwaliteit, naar keuze van Fleequid®. Arbeidskosten worden berekend overeenkomstig de door Fleequid® erkende normtijden en referentietarieven. Verbeteringen, upgrades of technische wijzigingen aan het Voertuig die niet strikt noodzakelijk zijn voor de reparatie van de Gedekte Onderdelen, zijn uitdrukkelijk uitgesloten.</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Alle onderdelen die in het kader van de Powertrain-garantieverlening worden vervangen, eigendom van Fleequid®, die daar vrijelijk over kan beschikken, onder meer ten behoeve van technische expertise, regeneratie of verwijdering.</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Elk frauduleus handelen, documentvervalsing  of manipulatie van de kilometerteller of van de elektronische regeleenheden van het Voertuig leidt tot onmiddellijk verval van de Powertrain-garantieverlening, onverminderd het recht van Fleequid® om vergoeding van verdere schade te vorderen.</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Koper is gehouden Fleequid® of de Vertrouwensdeskundige toegang te verlenen tot het Voertuig, de boordgegevens (waaronder begrepen OBD- en telematicasystemen) en de onderhoudsdocumenten, ten behoeve van de noodzakelijke technische controles. Het niet (volledig) meewerken heeft verval van het recht op dekking tot gevolg.</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Koper aanvaardt en erkent dat Fleequid® geen enkele garantie, uitdrukkelijk noch stilzwijgend, verleent met betrekking tot de kwaliteit, duurzaamheid of het resultaat van de uitgevoerde herstellingen en vervangingen, ongeacht of deze uitgevoerd worden in Erkende Centra die door Fleequid® zijn aangewezen of goedgekeurd , dan wel bij werkplaatsen of servicecentra die door de Koper zijn gekozen en in alle gevallen door Fleequid® zijn goedgekeurd. Eventuele garanties met betrekking tot de geïnstalleerde onderdelen en de uitgevoerde werkzaamheden dienen rechtstreeks te worden ingeroepen bij de werkplaats die de interventie heeft uitgevoerd. Voor zover wettelijk toegestaan, vrijwaart en stelt de Koper Fleequid® schadeloos tegen iedere aanspraak, vordering of schadeclaim die verband houdt met dergelijke onderdelen of werkzaamheden.</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217556"/>
      <w:bookmarkEnd w:id="15"/>
      <w:r>
        <w:rPr>
          <w:rFonts w:ascii="Verdana" w:hAnsi="Verdana"/>
          <w:b/>
          <w:smallCaps/>
          <w:sz w:val="20"/>
        </w:rPr>
        <w:t>Klachten en geschillen.</w:t>
      </w:r>
      <w:bookmarkEnd w:id="17"/>
    </w:p>
    <w:p w14:paraId="3E0CEEAD" w14:textId="3380D5B0" w:rsidR="00F97588" w:rsidRDefault="003A7F47">
      <w:pPr>
        <w:pStyle w:val="Paragrafoelenco"/>
        <w:numPr>
          <w:ilvl w:val="1"/>
          <w:numId w:val="1"/>
        </w:numPr>
        <w:spacing w:line="360" w:lineRule="auto"/>
        <w:ind w:left="0" w:firstLine="0"/>
        <w:jc w:val="both"/>
        <w:rPr>
          <w:rFonts w:ascii="Verdana" w:hAnsi="Verdana"/>
          <w:sz w:val="20"/>
          <w:szCs w:val="20"/>
        </w:rPr>
      </w:pPr>
      <w:r>
        <w:t xml:space="preserve">Voor klachten in verband met de Powertrain-garantieverlening, is de Koper gehouden de procedure volledig te volgen zoals uiteengezet in artikel 13 van de Algemene Voorwaarden van de Fleequid® Marketplace, die kunnen worden geraadpleegd op  </w:t>
      </w:r>
      <w:hyperlink r:id="rId13" w:history="1">
        <w:r>
          <w:rPr>
            <w:rStyle w:val="Collegamentoipertestuale"/>
            <w:rFonts w:ascii="Verdana" w:hAnsi="Verdana"/>
            <w:sz w:val="20"/>
          </w:rPr>
          <w:t>www.fleequid.com</w:t>
        </w:r>
      </w:hyperlink>
      <w:r>
        <w:t>.</w:t>
      </w:r>
      <w:r>
        <w:rPr>
          <w:rFonts w:ascii="Verdana" w:hAnsi="Verdana"/>
          <w:sz w:val="20"/>
        </w:rPr>
        <w:t xml:space="preserve"> Het staat vast dat de klachtenregeling zoals voorzien in de Algemene Voorwaarden afzonderlijk en autonoom is ten opzichte van de </w:t>
      </w:r>
      <w:r>
        <w:rPr>
          <w:rFonts w:ascii="Verdana" w:hAnsi="Verdana"/>
          <w:b/>
          <w:sz w:val="20"/>
        </w:rPr>
        <w:t>Schadeaangifte</w:t>
      </w:r>
      <w:r>
        <w:rPr>
          <w:rFonts w:ascii="Verdana" w:hAnsi="Verdana"/>
          <w:sz w:val="20"/>
        </w:rPr>
        <w:t xml:space="preserve"> zoals bedoeld in artikel 7 van deze CSG.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behandelt klachten overeenkomstig de procedures en termijnen zoals vastgesteld in de Algemene Voorwaarden en stelt de Koper in kennis van de uitkomst van de behandeling op de daarin voorziene wijze . Indien de klacht wordt gehonoreerd, zal Fleequid® de contractuele rechtsmiddelen toepassen zoals voorzien in deze CSG en de Algemene Voorwaarden, binnen de daarin gestelde grenzen en overeenkomstig de toepasselijke wetgeving.</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Alvorens gerechtelijke of arbitraire stappen te ondernemen, verplichten de Partijen zich ertoe te goeder trouw te trachten het geschil in der minne te regelen, onder meer door gebruik te maken van de bemiddelings- en conciliatie instrumenten die door het Fleequid® Marketplace ter beschikking worden gesteld, dan wel van andere informele onderhandelingsinstrumenten.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Indien deze poging niet binnen 30 (dertig) dagen na de schriftelijke kennisgeving van het geschil tot een positief resultaat leidt, verplichten de Partijen zich tot een poging tot bemiddeling te ondernemen bij het Bemiddelingsorgaan van de Kamer van Koophandel van Como, overeenkomstig Wetsdecreet nr. 28/2010. De bemiddeling dient binnen de voorgenoemde termijn te worden aangegeven en en binnen 60 (zestig) dagen na de aanvang van de procedure worden afgerond, behoudens wettelijke verlengingen.</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Indien de bemiddeling niet binnen 60 (zestig) dagen na de aanvang van de procedure tot een overeenkomst leidt, wordt het geschil definitief beslecht door  arbitrage, overeenkomstig het Reglement van de Kamer van Arbitrage van Milaan, door een enkele arbiter, benoemd conform datzelfde Reglement. De zetel van arbitrage is Milaan, de taal van de procedure is het Italiaans en het toepasselijk recht is het recht zoals vastgesteld in deze CSG.</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Onverminderd het voorgaande behoudt iedere Partij het recht zich te wenden tot de bevoegde rechtbank teneinde voorlopige of spoedeisende maatregelen  te verzoeken, ook vóór of tijdens de arbitrageprocedure, zonder dat dit kan worden aangemerkt als een afstand van de arbitrageclausule.</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Voor al hetgeen niet uitdrukkelijk in dit artikel is geregeld, wordt volledig verwezen naar de procedures, termijnen en modaliteiten zoals vastgesteld in de Algemene Voorwaarden van de Fleequid® Marketplace.</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217557"/>
      <w:r>
        <w:rPr>
          <w:rFonts w:ascii="Verdana" w:hAnsi="Verdana"/>
          <w:b/>
          <w:smallCaps/>
          <w:sz w:val="20"/>
        </w:rPr>
        <w:t>Overmacht.</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Voor de toepassing van deze Specifieke Voorwaarden wordt als overmacht aangemerkt  elke gebeurtenis, omstandigheid, feit, handeling, nalaten of situatie, ongeacht de voorzienbaarheid daarvan, die buiten de redelijke controle valt van de Partij die zich daarop beroept en die de nakoming van de contractuele verplichtingen met betrekking tot de Powertrain-garantieverlenging geheel of gedeeltelijk verhindert, belemmert, beperkt of vertraagt. Louter bij wijze van voorbeeld en niet limitatief worden als overmacht aangemerkt: natuurrampen van welke aard dan ook, uitzonderlijke weeromstandigheden, branden, explosies, overstromingen en aardbevingen; epidemieën, pandemieën en maatregelen ter bescherming van de volksgezondheid; oorlogen (al dan niet verklaard), invasies, terroristische aanslagen, rellen, opstanden; stakingen, lock-outs of andere vormen van arbeidsconflicten, ook indien het personeel van de betrokken Partij daarbij niet rechtstreeks is betrokken; embargo's, blokkades, beperkingen of maatregelen van welke overheidsinstantie dan ook; onbeschikbaarheid van infrastructuur, energie, brandstoffen, grondstoffen of reserveonderdelen; onderbrekingen van essentiële diensten (met inbegrip van IT-, communicatie- of netwerkdiensten); cyberaanvallen of technologische storingen; stroomuitval of energiecrises; systemische financiële crises of </w:t>
      </w:r>
      <w:r>
        <w:rPr>
          <w:rFonts w:ascii="Verdana" w:hAnsi="Verdana"/>
          <w:sz w:val="20"/>
        </w:rPr>
        <w:lastRenderedPageBreak/>
        <w:t>wijzigingen in wet- of regelgeving die rechtstreeks van invloed zijn op de Powertrain-garantieverlening ; onbeschikbaarheid van Erkende Centra of productiestilstand bij fabrikanten waardoor het onmogelijk wordt de benodigde onderdelen te verkrijgen of te installeren.</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Het intreden van een geval van overmacht leidt tot opschorting van de verplichtingen van de betrokken Partij, gedurende de volledige duur van de overmachtssituatie en voor de periode die strikt noodzakelijk is voor de beëindiging daarvan. In dergelijke gevallen kan geen aansprakelijkheid, schadevergoeding of boete worden toegerekend aan de Partij die door de overmachtssituatie wordt getroffen.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De Partij die zich op overmacht wenst te beroepen, stelt de andere Partij daarvan onverwijld schriftelijk in kennis, onder vermelding van de aard van de gebeurtenis, de vermoedelijke duur daarvan en de te verwachten gevolgen voor de uitvoering van het contract.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Indien de overmachtssituatie langer dan 30 (dertig) opeenvolgende dagen voortduurt, heeft ieder van de Partijen het recht om de overeenkomst te ontbinden, zonder enige verplichting tot schadevergoeding, door middel van schriftelijke kennisgeving aan de andere Partij.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Partijen verbinden zich ertoe te goeder trouw samen te werken om alle redelijke maatregelen te treffen ter beperking van de gevolgen van de overmachtssituatie en om de nakoming  van hun contractuele verplichtingen zo snel mogelijk te hervatten.</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217558"/>
      <w:r>
        <w:rPr>
          <w:rFonts w:ascii="Verdana" w:hAnsi="Verdana"/>
          <w:b/>
          <w:smallCaps/>
          <w:sz w:val="20"/>
        </w:rPr>
        <w:t>Eenzijdige wijzigingen van de specifieke voorwaarden.</w:t>
      </w:r>
      <w:bookmarkEnd w:id="20"/>
    </w:p>
    <w:p w14:paraId="50854042" w14:textId="70929BD3"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Deze Specifieke Voorwaarden van de Powertrain-garantieverlening zijn, voor wat betreft de wijze van wijziging, integraal onderworpen aan hetgeen bepaald in artikel 3) van de Algemene Voorwaarden van de Fleequid® Marketplace, gepubliceerd op de officiële website </w:t>
      </w:r>
      <w:hyperlink r:id="rId14" w:tgtFrame="_new" w:history="1">
        <w:r>
          <w:rPr>
            <w:rStyle w:val="Collegamentoipertestuale"/>
            <w:rFonts w:ascii="Verdana" w:hAnsi="Verdana"/>
            <w:sz w:val="20"/>
          </w:rPr>
          <w:t>www.fleequid.com</w:t>
        </w:r>
      </w:hyperlink>
      <w:r>
        <w:rPr>
          <w:rFonts w:ascii="Verdana" w:hAnsi="Verdana"/>
          <w:sz w:val="20"/>
        </w:rPr>
        <w:t xml:space="preserve"> en vrij raadpleegbaar voor Gebruikers. In het bijzonder behoudt Fleequid® zich het recht voor deze eenzijdig te wijzigen, op dezelfde wijze, binnen dezelfde grenzen, met inachtneming van dezelfde voorafgaande kennisgevingstermijnen en via dezelfde communicatiemiddelen als die welke zijn voorzien voor de Algemene Voorwaarden. Dergelijke wijzigingen treden in werking na het verstrijken van de in de kennisgeving vermelde termijn, tenzij de Gebruiker deze uitdrukkelijk eerder heeft aanvaard of binnen die termijn gebruik heeft gemaakt van zijn recht van opzegging. Behoudens uitdrukkelijke schriftelijke afwijking blijven de eerder geldende versies van deze Specifieke Voorwaarden uitsluitend van toepassing op rechtsverhoudingen die reeds bestonden op het moment van wijziging, overeenkomstig de Algemene Voorwaarden. Het voortgezet gebruik van de Powertrain-garantieverlening na wijziging geldt als stilzwijgende aanvaarding  van de aldus gewijzigde Specifieke Voorwaarden.</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217559"/>
      <w:r>
        <w:rPr>
          <w:rFonts w:ascii="Verdana" w:hAnsi="Verdana"/>
          <w:b/>
          <w:smallCaps/>
          <w:sz w:val="20"/>
        </w:rPr>
        <w:t>Toepasselijk recht, taal en bevoegde rechter</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Op deze Specifieke Voorwaarden van de Powertrain-garantieverlening, alsmede op de Algemene Voorwaarden van de Fleequid® Marketplace en alle daarmee samenhangende contractuele bepalingen, is uitsluitend het Italiaanse recht van toepassing. Eventuele </w:t>
      </w:r>
      <w:r>
        <w:rPr>
          <w:rFonts w:ascii="Verdana" w:hAnsi="Verdana"/>
          <w:sz w:val="20"/>
        </w:rPr>
        <w:lastRenderedPageBreak/>
        <w:t>toepasselijke internationale normen of verdragen zijn slechts van toepassing voor zover zij niet in strijd zijn met de Italiaanse wetgeving.</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Voor elk geschil met betrekking tot de geldigheid, interpretatie, uitvoering of ontbinding van deze CSG, de Algemene Voorwaarden of enige andere daarmee samenhangende rechtshandeling, is de klachten-, onderhandelings-, bemiddelings- en arbitrageprocedure van Art. 11 van deze CSG van toepassing. De bevoegdheid van de gewone rechter is derhalve uitdrukkelijk uitgesloten, behoudens voor het verzoeken van voorlopige of spoedeisende maatregelen binnen de grenzen van Art. 11.6. In het laatstgenoemde geval is uitsluitend bevoegd de rechtbank van Como, met uitdrukkelijke uitsluiting van ieder ander concurrerend of alternatief forum, tenzij de Partijen schriftelijk anders zijn overeengekomen.</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officiële taal van deze Specifieke Voorwaarden van de Powertrain-garantieverlening alsmede de daarmee samenhangende contractuele rechtsverhoudingen is het Italiaans. Indien deze Specifieke Voorwaarden in andere talen worden vertaald, heeft Italiaanse versie  voorrang en geldt deze als de enige bindende versie voor de interpretatie en toepassing van de overeenkomst.</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217560"/>
      <w:r>
        <w:rPr>
          <w:rFonts w:ascii="Verdana" w:hAnsi="Verdana"/>
          <w:b/>
          <w:smallCaps/>
          <w:sz w:val="20"/>
        </w:rPr>
        <w:t>Communicatie.</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Tenzij in deze CSG anders is bepaald, dienen alle kennisgevingen en communicatie tussen </w:t>
      </w:r>
      <w:r>
        <w:rPr>
          <w:rFonts w:ascii="Verdana" w:hAnsi="Verdana"/>
          <w:b/>
          <w:sz w:val="20"/>
        </w:rPr>
        <w:t>Fleequid®</w:t>
      </w:r>
      <w:r>
        <w:rPr>
          <w:rFonts w:ascii="Verdana" w:hAnsi="Verdana"/>
          <w:sz w:val="20"/>
        </w:rPr>
        <w:t xml:space="preserve"> en de</w:t>
      </w:r>
      <w:r>
        <w:rPr>
          <w:rFonts w:ascii="Verdana" w:hAnsi="Verdana"/>
          <w:b/>
          <w:sz w:val="20"/>
        </w:rPr>
        <w:t>Koper</w:t>
      </w:r>
      <w:r>
        <w:rPr>
          <w:rFonts w:ascii="Verdana" w:hAnsi="Verdana"/>
          <w:sz w:val="20"/>
        </w:rPr>
        <w:t xml:space="preserve"> schriftelijk te geschieden en te worden verzonden per aangetekende post met ontvangstbewijs, per expreskoerier of per e-mail, naar de volgende officiële contactgegevens van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Cf. en btw-nummer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4370D428"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Kennisgevingen worden geacht  geldig en bindend te zijn op het moment van aflevering indien zij per aangetekende post met ontvangstbewijs worden verzonden, op het moment van overhandiging aan de koerier indien zij per expreskoerier worden verzonden, dan wel op het moment van ontvangstbevestiging indien zij per e-mail naar Fleequid® worden verzonden.</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Kennisgevingen van Fleequid® worden verzonden naar de contactgegevens, waaronder gewone e-mailadressen, die door de Koper bij de registratie op de Fleequid® Marketplace zijn opgegeven of nadien  zijn bijgewerkt, en worden geacht  de geadresseerde te hebben bereikt en hem bekend te zijn op het moment van verzending door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lastRenderedPageBreak/>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 xml:space="preserve">Overeenkomstig en voor de toepassing van de artikelen 1341 en 1342 van het Italiaanse Burgerlijk Wetboek verklaart de Koper uitdrukkelijk de onderstaande clausules </w:t>
      </w:r>
      <w:r>
        <w:t xml:space="preserve"> </w:t>
      </w:r>
      <w:r>
        <w:rPr>
          <w:rFonts w:ascii="Verdana" w:hAnsi="Verdana"/>
          <w:sz w:val="20"/>
        </w:rPr>
        <w:t>van de Specifieke Voorwaarden van de Powertrain Garantieverlening</w:t>
      </w:r>
      <w:r>
        <w:t xml:space="preserve"> te hebben gelezen, begrepen en aanvaard:</w:t>
      </w:r>
      <w:r>
        <w:rPr>
          <w:rFonts w:ascii="Verdana" w:hAnsi="Verdana"/>
          <w:sz w:val="20"/>
        </w:rPr>
        <w:t xml:space="preserve"> Art. 2.4 (algemene uitsluitingen van de dekking voor aanvullende gevallen/omstandigheden); Art. 3.2 (lijst van objectieve uitsluitingen); Art. 3.3 (beginsel van limitatieve opsomming); Art. 4.2 (uitsluitingen van de dekking voor reeds bestaande gebreken, gebreken die zijn ontstaan vóór de ingangsdatum en tijdens de wachttijd); Art. 4.3 (vaste looptijd, geen stilzwijgende verlenging en automatische beëindiging bij het bereiken van de vastgestelde limieten); Art. 4.4 (leeftijds- en kilometerlimieten, verplichting tot gedocumenteerd onderhoud, eenzijdig bevoegdheid van Fleequid® tot wijziging van de categorieën van toegelaten voertuigen); Art. 4.5 (automatisch verval bij overdracht van het Voertuig en onderwerping van de overdracht van de Garantie aan de voorafgaande schriftelijke goedkeuring van Fleequid®); Art. 4.6 (initiële wachttijd en opschorting van de dekking); Art. 5.1 (territoriale uitsluitingen in de precontractuele procedures);  Art. 5.2 en 5.3 (verval en niet-toepasselijkheid van de dekking in landen waarvoor gecommuniceerde beperkingen gelden); Arts. 6.2, 6.3, 6.6 en 6.7 (Verplichtingen van de Koper); Arts. 7.2 en 7.3 (Schadeaangifte en verval van rechten); Arts. 8.1, 8.2, 8.4 en 8.5 (Schadeafhandeling, Uitsluitingen, Kosten); Arts.  9.1 en 9.2 (beperkingen en aansprakelijkheid); Art. 9.3 (kostenplafond en restwaarde); Art. 9.4 (extra reparaties en retentierecht); Art. 9.5. (Vrijwaring); Art. 9.6 (uitsluiting van erkenning van recht op dekking); Art. 10 (prestaties, reparaties, uitsluitingen en operationele beperkingen); Art. 11 (klachten en geschillen, bemiddeling en arbitrage); Art. 12 (Overmacht); Art. 13 (Eenzijdige wijzigingen); Art. 14.2 (Toepasselijk recht, uitsluiting van de bevoegdheid van de gewone rechter, behoudens voorlopige of spoedeisende maatregelen en bevoegde rechtbank)</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B53BD2"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Versienr.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53BD2"/>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6005</Words>
  <Characters>34231</Characters>
  <Application>Microsoft Office Word</Application>
  <DocSecurity>0</DocSecurity>
  <Lines>285</Lines>
  <Paragraphs>80</Paragraphs>
  <ScaleCrop>false</ScaleCrop>
  <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