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62514" w14:textId="40FAF1BF" w:rsidR="00CB5C06" w:rsidRDefault="00B27E74" w:rsidP="00087BF5">
      <w:pPr>
        <w:jc w:val="center"/>
        <w:rPr>
          <w:rFonts w:ascii="Verdana" w:hAnsi="Verdana"/>
          <w:b/>
          <w:bCs/>
          <w:smallCaps/>
        </w:rPr>
      </w:pPr>
      <w:r>
        <w:rPr>
          <w:rFonts w:ascii="Verdana" w:hAnsi="Verdana"/>
          <w:b/>
          <w:smallCaps/>
        </w:rPr>
        <w:t xml:space="preserve">Warunki Szczegółowe </w:t>
      </w:r>
    </w:p>
    <w:p w14:paraId="7E92C198" w14:textId="7A2D55C1" w:rsidR="00087BF5" w:rsidRPr="00E9150B" w:rsidRDefault="00B27E74" w:rsidP="00087BF5">
      <w:pPr>
        <w:jc w:val="center"/>
        <w:rPr>
          <w:rFonts w:ascii="Verdana" w:hAnsi="Verdana"/>
          <w:b/>
          <w:bCs/>
          <w:smallCaps/>
        </w:rPr>
      </w:pPr>
      <w:r>
        <w:rPr>
          <w:rFonts w:ascii="Verdana" w:hAnsi="Verdana"/>
          <w:b/>
          <w:smallCaps/>
        </w:rPr>
        <w:t xml:space="preserve">Usługa Gwarancji Powertrain Fleequid® </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phedeliste"/>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En-ttedetabledesmatires"/>
            <w:rPr>
              <w:rFonts w:ascii="Verdana" w:hAnsi="Verdana"/>
              <w:i/>
              <w:iCs/>
              <w:color w:val="auto"/>
              <w:sz w:val="20"/>
              <w:szCs w:val="20"/>
            </w:rPr>
          </w:pPr>
          <w:r>
            <w:rPr>
              <w:rFonts w:ascii="Verdana" w:hAnsi="Verdana"/>
              <w:i/>
              <w:color w:val="auto"/>
              <w:sz w:val="20"/>
            </w:rPr>
            <w:t xml:space="preserve">Spis treści </w:t>
          </w:r>
        </w:p>
        <w:p w14:paraId="0DAB6929" w14:textId="77777777" w:rsidR="001D49BE" w:rsidRPr="00080B56" w:rsidRDefault="001D49BE" w:rsidP="001D49BE">
          <w:pPr>
            <w:rPr>
              <w:sz w:val="20"/>
              <w:szCs w:val="20"/>
              <w:lang w:eastAsia="it-IT"/>
            </w:rPr>
          </w:pPr>
        </w:p>
        <w:p w14:paraId="5A3B158D" w14:textId="37305C22" w:rsidR="00863BAB" w:rsidRDefault="00476BC8">
          <w:pPr>
            <w:pStyle w:val="TM1"/>
            <w:rPr>
              <w:rFonts w:eastAsiaTheme="minorEastAsia"/>
              <w:noProof/>
              <w:sz w:val="24"/>
              <w:szCs w:val="24"/>
              <w:lang w:val="fr-FR" w:eastAsia="fr-FR"/>
            </w:rPr>
          </w:pPr>
          <w:r w:rsidRPr="00080B56">
            <w:fldChar w:fldCharType="begin"/>
          </w:r>
          <w:r w:rsidRPr="00080B56">
            <w:instrText xml:space="preserve"> TOC \o "1-3" \h \z \u </w:instrText>
          </w:r>
          <w:r w:rsidRPr="00080B56">
            <w:fldChar w:fldCharType="separate"/>
          </w:r>
          <w:hyperlink w:anchor="_Toc218958671" w:history="1">
            <w:r w:rsidR="00863BAB" w:rsidRPr="00DE44BE">
              <w:rPr>
                <w:rStyle w:val="Lienhypertexte"/>
                <w:rFonts w:ascii="Verdana" w:hAnsi="Verdana"/>
                <w:b/>
                <w:bCs/>
                <w:noProof/>
              </w:rPr>
              <w:t>1.</w:t>
            </w:r>
            <w:r w:rsidR="00863BAB">
              <w:rPr>
                <w:rFonts w:eastAsiaTheme="minorEastAsia"/>
                <w:noProof/>
                <w:sz w:val="24"/>
                <w:szCs w:val="24"/>
                <w:lang w:val="fr-FR" w:eastAsia="fr-FR"/>
              </w:rPr>
              <w:tab/>
            </w:r>
            <w:r w:rsidR="00863BAB" w:rsidRPr="00DE44BE">
              <w:rPr>
                <w:rStyle w:val="Lienhypertexte"/>
                <w:rFonts w:ascii="Verdana" w:hAnsi="Verdana"/>
                <w:b/>
                <w:smallCaps/>
                <w:noProof/>
              </w:rPr>
              <w:t>Definicje</w:t>
            </w:r>
            <w:r w:rsidR="00863BAB" w:rsidRPr="00DE44BE">
              <w:rPr>
                <w:rStyle w:val="Lienhypertexte"/>
                <w:rFonts w:ascii="Verdana" w:hAnsi="Verdana"/>
                <w:noProof/>
              </w:rPr>
              <w:t>.</w:t>
            </w:r>
            <w:r w:rsidR="00863BAB">
              <w:rPr>
                <w:noProof/>
                <w:webHidden/>
              </w:rPr>
              <w:tab/>
            </w:r>
            <w:r w:rsidR="00863BAB">
              <w:rPr>
                <w:noProof/>
                <w:webHidden/>
              </w:rPr>
              <w:fldChar w:fldCharType="begin"/>
            </w:r>
            <w:r w:rsidR="00863BAB">
              <w:rPr>
                <w:noProof/>
                <w:webHidden/>
              </w:rPr>
              <w:instrText xml:space="preserve"> PAGEREF _Toc218958671 \h </w:instrText>
            </w:r>
            <w:r w:rsidR="00863BAB">
              <w:rPr>
                <w:noProof/>
                <w:webHidden/>
              </w:rPr>
            </w:r>
            <w:r w:rsidR="00863BAB">
              <w:rPr>
                <w:noProof/>
                <w:webHidden/>
              </w:rPr>
              <w:fldChar w:fldCharType="separate"/>
            </w:r>
            <w:r w:rsidR="00863BAB">
              <w:rPr>
                <w:noProof/>
                <w:webHidden/>
              </w:rPr>
              <w:t>1</w:t>
            </w:r>
            <w:r w:rsidR="00863BAB">
              <w:rPr>
                <w:noProof/>
                <w:webHidden/>
              </w:rPr>
              <w:fldChar w:fldCharType="end"/>
            </w:r>
          </w:hyperlink>
        </w:p>
        <w:p w14:paraId="27B6AC19" w14:textId="47525082" w:rsidR="00863BAB" w:rsidRDefault="00863BAB">
          <w:pPr>
            <w:pStyle w:val="TM1"/>
            <w:rPr>
              <w:rFonts w:eastAsiaTheme="minorEastAsia"/>
              <w:noProof/>
              <w:sz w:val="24"/>
              <w:szCs w:val="24"/>
              <w:lang w:val="fr-FR" w:eastAsia="fr-FR"/>
            </w:rPr>
          </w:pPr>
          <w:hyperlink w:anchor="_Toc218958672" w:history="1">
            <w:r w:rsidRPr="00DE44BE">
              <w:rPr>
                <w:rStyle w:val="Lienhypertexte"/>
                <w:rFonts w:ascii="Verdana" w:hAnsi="Verdana"/>
                <w:b/>
                <w:bCs/>
                <w:noProof/>
              </w:rPr>
              <w:t>2.</w:t>
            </w:r>
            <w:r>
              <w:rPr>
                <w:rFonts w:eastAsiaTheme="minorEastAsia"/>
                <w:noProof/>
                <w:sz w:val="24"/>
                <w:szCs w:val="24"/>
                <w:lang w:val="fr-FR" w:eastAsia="fr-FR"/>
              </w:rPr>
              <w:tab/>
            </w:r>
            <w:r w:rsidRPr="00DE44BE">
              <w:rPr>
                <w:rStyle w:val="Lienhypertexte"/>
                <w:rFonts w:ascii="Verdana" w:hAnsi="Verdana"/>
                <w:b/>
                <w:smallCaps/>
                <w:noProof/>
              </w:rPr>
              <w:t>Przedmiot Usługi</w:t>
            </w:r>
            <w:r w:rsidRPr="00DE44BE">
              <w:rPr>
                <w:rStyle w:val="Lienhypertexte"/>
                <w:rFonts w:ascii="Verdana" w:hAnsi="Verdana"/>
                <w:noProof/>
              </w:rPr>
              <w:t>.</w:t>
            </w:r>
            <w:r>
              <w:rPr>
                <w:noProof/>
                <w:webHidden/>
              </w:rPr>
              <w:tab/>
            </w:r>
            <w:r>
              <w:rPr>
                <w:noProof/>
                <w:webHidden/>
              </w:rPr>
              <w:fldChar w:fldCharType="begin"/>
            </w:r>
            <w:r>
              <w:rPr>
                <w:noProof/>
                <w:webHidden/>
              </w:rPr>
              <w:instrText xml:space="preserve"> PAGEREF _Toc218958672 \h </w:instrText>
            </w:r>
            <w:r>
              <w:rPr>
                <w:noProof/>
                <w:webHidden/>
              </w:rPr>
            </w:r>
            <w:r>
              <w:rPr>
                <w:noProof/>
                <w:webHidden/>
              </w:rPr>
              <w:fldChar w:fldCharType="separate"/>
            </w:r>
            <w:r>
              <w:rPr>
                <w:noProof/>
                <w:webHidden/>
              </w:rPr>
              <w:t>2</w:t>
            </w:r>
            <w:r>
              <w:rPr>
                <w:noProof/>
                <w:webHidden/>
              </w:rPr>
              <w:fldChar w:fldCharType="end"/>
            </w:r>
          </w:hyperlink>
        </w:p>
        <w:p w14:paraId="25F507CF" w14:textId="363CD8F0" w:rsidR="00863BAB" w:rsidRDefault="00863BAB">
          <w:pPr>
            <w:pStyle w:val="TM1"/>
            <w:rPr>
              <w:rFonts w:eastAsiaTheme="minorEastAsia"/>
              <w:noProof/>
              <w:sz w:val="24"/>
              <w:szCs w:val="24"/>
              <w:lang w:val="fr-FR" w:eastAsia="fr-FR"/>
            </w:rPr>
          </w:pPr>
          <w:hyperlink w:anchor="_Toc218958673" w:history="1">
            <w:r w:rsidRPr="00DE44BE">
              <w:rPr>
                <w:rStyle w:val="Lienhypertexte"/>
                <w:rFonts w:ascii="Verdana" w:hAnsi="Verdana"/>
                <w:b/>
                <w:bCs/>
                <w:noProof/>
              </w:rPr>
              <w:t>3.</w:t>
            </w:r>
            <w:r>
              <w:rPr>
                <w:rFonts w:eastAsiaTheme="minorEastAsia"/>
                <w:noProof/>
                <w:sz w:val="24"/>
                <w:szCs w:val="24"/>
                <w:lang w:val="fr-FR" w:eastAsia="fr-FR"/>
              </w:rPr>
              <w:tab/>
            </w:r>
            <w:r w:rsidRPr="00DE44BE">
              <w:rPr>
                <w:rStyle w:val="Lienhypertexte"/>
                <w:rFonts w:ascii="Verdana" w:hAnsi="Verdana"/>
                <w:b/>
                <w:smallCaps/>
                <w:noProof/>
              </w:rPr>
              <w:t>Komponenty Objęte i Wyłączone</w:t>
            </w:r>
            <w:r w:rsidRPr="00DE44BE">
              <w:rPr>
                <w:rStyle w:val="Lienhypertexte"/>
                <w:rFonts w:ascii="Verdana" w:hAnsi="Verdana"/>
                <w:noProof/>
              </w:rPr>
              <w:t>.</w:t>
            </w:r>
            <w:r>
              <w:rPr>
                <w:noProof/>
                <w:webHidden/>
              </w:rPr>
              <w:tab/>
            </w:r>
            <w:r>
              <w:rPr>
                <w:noProof/>
                <w:webHidden/>
              </w:rPr>
              <w:fldChar w:fldCharType="begin"/>
            </w:r>
            <w:r>
              <w:rPr>
                <w:noProof/>
                <w:webHidden/>
              </w:rPr>
              <w:instrText xml:space="preserve"> PAGEREF _Toc218958673 \h </w:instrText>
            </w:r>
            <w:r>
              <w:rPr>
                <w:noProof/>
                <w:webHidden/>
              </w:rPr>
            </w:r>
            <w:r>
              <w:rPr>
                <w:noProof/>
                <w:webHidden/>
              </w:rPr>
              <w:fldChar w:fldCharType="separate"/>
            </w:r>
            <w:r>
              <w:rPr>
                <w:noProof/>
                <w:webHidden/>
              </w:rPr>
              <w:t>3</w:t>
            </w:r>
            <w:r>
              <w:rPr>
                <w:noProof/>
                <w:webHidden/>
              </w:rPr>
              <w:fldChar w:fldCharType="end"/>
            </w:r>
          </w:hyperlink>
        </w:p>
        <w:p w14:paraId="44396A0A" w14:textId="606A0D1D" w:rsidR="00863BAB" w:rsidRDefault="00863BAB">
          <w:pPr>
            <w:pStyle w:val="TM1"/>
            <w:rPr>
              <w:rFonts w:eastAsiaTheme="minorEastAsia"/>
              <w:noProof/>
              <w:sz w:val="24"/>
              <w:szCs w:val="24"/>
              <w:lang w:val="fr-FR" w:eastAsia="fr-FR"/>
            </w:rPr>
          </w:pPr>
          <w:hyperlink w:anchor="_Toc218958674" w:history="1">
            <w:r w:rsidRPr="00DE44BE">
              <w:rPr>
                <w:rStyle w:val="Lienhypertexte"/>
                <w:rFonts w:ascii="Verdana" w:hAnsi="Verdana"/>
                <w:b/>
                <w:bCs/>
                <w:smallCaps/>
                <w:noProof/>
              </w:rPr>
              <w:t>4.</w:t>
            </w:r>
            <w:r>
              <w:rPr>
                <w:rFonts w:eastAsiaTheme="minorEastAsia"/>
                <w:noProof/>
                <w:sz w:val="24"/>
                <w:szCs w:val="24"/>
                <w:lang w:val="fr-FR" w:eastAsia="fr-FR"/>
              </w:rPr>
              <w:tab/>
            </w:r>
            <w:r w:rsidRPr="00DE44BE">
              <w:rPr>
                <w:rStyle w:val="Lienhypertexte"/>
                <w:rFonts w:ascii="Verdana" w:hAnsi="Verdana"/>
                <w:b/>
                <w:smallCaps/>
                <w:noProof/>
              </w:rPr>
              <w:t>Początek, Okres Ważności i Warunki Skuteczności.</w:t>
            </w:r>
            <w:r>
              <w:rPr>
                <w:noProof/>
                <w:webHidden/>
              </w:rPr>
              <w:tab/>
            </w:r>
            <w:r>
              <w:rPr>
                <w:noProof/>
                <w:webHidden/>
              </w:rPr>
              <w:fldChar w:fldCharType="begin"/>
            </w:r>
            <w:r>
              <w:rPr>
                <w:noProof/>
                <w:webHidden/>
              </w:rPr>
              <w:instrText xml:space="preserve"> PAGEREF _Toc218958674 \h </w:instrText>
            </w:r>
            <w:r>
              <w:rPr>
                <w:noProof/>
                <w:webHidden/>
              </w:rPr>
            </w:r>
            <w:r>
              <w:rPr>
                <w:noProof/>
                <w:webHidden/>
              </w:rPr>
              <w:fldChar w:fldCharType="separate"/>
            </w:r>
            <w:r>
              <w:rPr>
                <w:noProof/>
                <w:webHidden/>
              </w:rPr>
              <w:t>4</w:t>
            </w:r>
            <w:r>
              <w:rPr>
                <w:noProof/>
                <w:webHidden/>
              </w:rPr>
              <w:fldChar w:fldCharType="end"/>
            </w:r>
          </w:hyperlink>
        </w:p>
        <w:p w14:paraId="69A5D34D" w14:textId="34329F0B" w:rsidR="00863BAB" w:rsidRDefault="00863BAB">
          <w:pPr>
            <w:pStyle w:val="TM1"/>
            <w:rPr>
              <w:rFonts w:eastAsiaTheme="minorEastAsia"/>
              <w:noProof/>
              <w:sz w:val="24"/>
              <w:szCs w:val="24"/>
              <w:lang w:val="fr-FR" w:eastAsia="fr-FR"/>
            </w:rPr>
          </w:pPr>
          <w:hyperlink w:anchor="_Toc218958675" w:history="1">
            <w:r w:rsidRPr="00DE44BE">
              <w:rPr>
                <w:rStyle w:val="Lienhypertexte"/>
                <w:rFonts w:ascii="Verdana" w:hAnsi="Verdana"/>
                <w:b/>
                <w:bCs/>
                <w:noProof/>
              </w:rPr>
              <w:t>5.</w:t>
            </w:r>
            <w:r>
              <w:rPr>
                <w:rFonts w:eastAsiaTheme="minorEastAsia"/>
                <w:noProof/>
                <w:sz w:val="24"/>
                <w:szCs w:val="24"/>
                <w:lang w:val="fr-FR" w:eastAsia="fr-FR"/>
              </w:rPr>
              <w:tab/>
            </w:r>
            <w:r w:rsidRPr="00DE44BE">
              <w:rPr>
                <w:rStyle w:val="Lienhypertexte"/>
                <w:rFonts w:ascii="Verdana" w:hAnsi="Verdana"/>
                <w:b/>
                <w:smallCaps/>
                <w:noProof/>
              </w:rPr>
              <w:t>Zakres terytorialny.</w:t>
            </w:r>
            <w:r>
              <w:rPr>
                <w:noProof/>
                <w:webHidden/>
              </w:rPr>
              <w:tab/>
            </w:r>
            <w:r>
              <w:rPr>
                <w:noProof/>
                <w:webHidden/>
              </w:rPr>
              <w:fldChar w:fldCharType="begin"/>
            </w:r>
            <w:r>
              <w:rPr>
                <w:noProof/>
                <w:webHidden/>
              </w:rPr>
              <w:instrText xml:space="preserve"> PAGEREF _Toc218958675 \h </w:instrText>
            </w:r>
            <w:r>
              <w:rPr>
                <w:noProof/>
                <w:webHidden/>
              </w:rPr>
            </w:r>
            <w:r>
              <w:rPr>
                <w:noProof/>
                <w:webHidden/>
              </w:rPr>
              <w:fldChar w:fldCharType="separate"/>
            </w:r>
            <w:r>
              <w:rPr>
                <w:noProof/>
                <w:webHidden/>
              </w:rPr>
              <w:t>5</w:t>
            </w:r>
            <w:r>
              <w:rPr>
                <w:noProof/>
                <w:webHidden/>
              </w:rPr>
              <w:fldChar w:fldCharType="end"/>
            </w:r>
          </w:hyperlink>
        </w:p>
        <w:p w14:paraId="19A830BA" w14:textId="0ED506CD" w:rsidR="00863BAB" w:rsidRDefault="00863BAB">
          <w:pPr>
            <w:pStyle w:val="TM1"/>
            <w:rPr>
              <w:rFonts w:eastAsiaTheme="minorEastAsia"/>
              <w:noProof/>
              <w:sz w:val="24"/>
              <w:szCs w:val="24"/>
              <w:lang w:val="fr-FR" w:eastAsia="fr-FR"/>
            </w:rPr>
          </w:pPr>
          <w:hyperlink w:anchor="_Toc218958676" w:history="1">
            <w:r w:rsidRPr="00DE44BE">
              <w:rPr>
                <w:rStyle w:val="Lienhypertexte"/>
                <w:rFonts w:ascii="Verdana" w:hAnsi="Verdana"/>
                <w:b/>
                <w:bCs/>
                <w:smallCaps/>
                <w:noProof/>
              </w:rPr>
              <w:t>6.</w:t>
            </w:r>
            <w:r>
              <w:rPr>
                <w:rFonts w:eastAsiaTheme="minorEastAsia"/>
                <w:noProof/>
                <w:sz w:val="24"/>
                <w:szCs w:val="24"/>
                <w:lang w:val="fr-FR" w:eastAsia="fr-FR"/>
              </w:rPr>
              <w:tab/>
            </w:r>
            <w:r w:rsidRPr="00DE44BE">
              <w:rPr>
                <w:rStyle w:val="Lienhypertexte"/>
                <w:rFonts w:ascii="Verdana" w:hAnsi="Verdana"/>
                <w:b/>
                <w:smallCaps/>
                <w:noProof/>
              </w:rPr>
              <w:t>Zobowiązania Kupującego.</w:t>
            </w:r>
            <w:r>
              <w:rPr>
                <w:noProof/>
                <w:webHidden/>
              </w:rPr>
              <w:tab/>
            </w:r>
            <w:r>
              <w:rPr>
                <w:noProof/>
                <w:webHidden/>
              </w:rPr>
              <w:fldChar w:fldCharType="begin"/>
            </w:r>
            <w:r>
              <w:rPr>
                <w:noProof/>
                <w:webHidden/>
              </w:rPr>
              <w:instrText xml:space="preserve"> PAGEREF _Toc218958676 \h </w:instrText>
            </w:r>
            <w:r>
              <w:rPr>
                <w:noProof/>
                <w:webHidden/>
              </w:rPr>
            </w:r>
            <w:r>
              <w:rPr>
                <w:noProof/>
                <w:webHidden/>
              </w:rPr>
              <w:fldChar w:fldCharType="separate"/>
            </w:r>
            <w:r>
              <w:rPr>
                <w:noProof/>
                <w:webHidden/>
              </w:rPr>
              <w:t>6</w:t>
            </w:r>
            <w:r>
              <w:rPr>
                <w:noProof/>
                <w:webHidden/>
              </w:rPr>
              <w:fldChar w:fldCharType="end"/>
            </w:r>
          </w:hyperlink>
        </w:p>
        <w:p w14:paraId="64621DCB" w14:textId="529F78E5" w:rsidR="00863BAB" w:rsidRDefault="00863BAB">
          <w:pPr>
            <w:pStyle w:val="TM1"/>
            <w:rPr>
              <w:rFonts w:eastAsiaTheme="minorEastAsia"/>
              <w:noProof/>
              <w:sz w:val="24"/>
              <w:szCs w:val="24"/>
              <w:lang w:val="fr-FR" w:eastAsia="fr-FR"/>
            </w:rPr>
          </w:pPr>
          <w:hyperlink w:anchor="_Toc218958677" w:history="1">
            <w:r w:rsidRPr="00DE44BE">
              <w:rPr>
                <w:rStyle w:val="Lienhypertexte"/>
                <w:rFonts w:ascii="Verdana" w:hAnsi="Verdana"/>
                <w:b/>
                <w:bCs/>
                <w:smallCaps/>
                <w:noProof/>
              </w:rPr>
              <w:t>7.</w:t>
            </w:r>
            <w:r>
              <w:rPr>
                <w:rFonts w:eastAsiaTheme="minorEastAsia"/>
                <w:noProof/>
                <w:sz w:val="24"/>
                <w:szCs w:val="24"/>
                <w:lang w:val="fr-FR" w:eastAsia="fr-FR"/>
              </w:rPr>
              <w:tab/>
            </w:r>
            <w:r w:rsidRPr="00DE44BE">
              <w:rPr>
                <w:rStyle w:val="Lienhypertexte"/>
                <w:rFonts w:ascii="Verdana" w:hAnsi="Verdana"/>
                <w:b/>
                <w:smallCaps/>
                <w:noProof/>
              </w:rPr>
              <w:t>Zgłoszenie szkody.</w:t>
            </w:r>
            <w:r>
              <w:rPr>
                <w:noProof/>
                <w:webHidden/>
              </w:rPr>
              <w:tab/>
            </w:r>
            <w:r>
              <w:rPr>
                <w:noProof/>
                <w:webHidden/>
              </w:rPr>
              <w:fldChar w:fldCharType="begin"/>
            </w:r>
            <w:r>
              <w:rPr>
                <w:noProof/>
                <w:webHidden/>
              </w:rPr>
              <w:instrText xml:space="preserve"> PAGEREF _Toc218958677 \h </w:instrText>
            </w:r>
            <w:r>
              <w:rPr>
                <w:noProof/>
                <w:webHidden/>
              </w:rPr>
            </w:r>
            <w:r>
              <w:rPr>
                <w:noProof/>
                <w:webHidden/>
              </w:rPr>
              <w:fldChar w:fldCharType="separate"/>
            </w:r>
            <w:r>
              <w:rPr>
                <w:noProof/>
                <w:webHidden/>
              </w:rPr>
              <w:t>6</w:t>
            </w:r>
            <w:r>
              <w:rPr>
                <w:noProof/>
                <w:webHidden/>
              </w:rPr>
              <w:fldChar w:fldCharType="end"/>
            </w:r>
          </w:hyperlink>
        </w:p>
        <w:p w14:paraId="231DE6DD" w14:textId="1E6B5B10" w:rsidR="00863BAB" w:rsidRDefault="00863BAB">
          <w:pPr>
            <w:pStyle w:val="TM1"/>
            <w:rPr>
              <w:rFonts w:eastAsiaTheme="minorEastAsia"/>
              <w:noProof/>
              <w:sz w:val="24"/>
              <w:szCs w:val="24"/>
              <w:lang w:val="fr-FR" w:eastAsia="fr-FR"/>
            </w:rPr>
          </w:pPr>
          <w:hyperlink w:anchor="_Toc218958678" w:history="1">
            <w:r w:rsidRPr="00DE44BE">
              <w:rPr>
                <w:rStyle w:val="Lienhypertexte"/>
                <w:rFonts w:ascii="Verdana" w:hAnsi="Verdana"/>
                <w:b/>
                <w:bCs/>
                <w:smallCaps/>
                <w:noProof/>
              </w:rPr>
              <w:t>8.</w:t>
            </w:r>
            <w:r>
              <w:rPr>
                <w:rFonts w:eastAsiaTheme="minorEastAsia"/>
                <w:noProof/>
                <w:sz w:val="24"/>
                <w:szCs w:val="24"/>
                <w:lang w:val="fr-FR" w:eastAsia="fr-FR"/>
              </w:rPr>
              <w:tab/>
            </w:r>
            <w:r w:rsidRPr="00DE44BE">
              <w:rPr>
                <w:rStyle w:val="Lienhypertexte"/>
                <w:rFonts w:ascii="Verdana" w:hAnsi="Verdana"/>
                <w:b/>
                <w:smallCaps/>
                <w:noProof/>
              </w:rPr>
              <w:t>Rozpatrywanie szkody.</w:t>
            </w:r>
            <w:r>
              <w:rPr>
                <w:noProof/>
                <w:webHidden/>
              </w:rPr>
              <w:tab/>
            </w:r>
            <w:r>
              <w:rPr>
                <w:noProof/>
                <w:webHidden/>
              </w:rPr>
              <w:fldChar w:fldCharType="begin"/>
            </w:r>
            <w:r>
              <w:rPr>
                <w:noProof/>
                <w:webHidden/>
              </w:rPr>
              <w:instrText xml:space="preserve"> PAGEREF _Toc218958678 \h </w:instrText>
            </w:r>
            <w:r>
              <w:rPr>
                <w:noProof/>
                <w:webHidden/>
              </w:rPr>
            </w:r>
            <w:r>
              <w:rPr>
                <w:noProof/>
                <w:webHidden/>
              </w:rPr>
              <w:fldChar w:fldCharType="separate"/>
            </w:r>
            <w:r>
              <w:rPr>
                <w:noProof/>
                <w:webHidden/>
              </w:rPr>
              <w:t>7</w:t>
            </w:r>
            <w:r>
              <w:rPr>
                <w:noProof/>
                <w:webHidden/>
              </w:rPr>
              <w:fldChar w:fldCharType="end"/>
            </w:r>
          </w:hyperlink>
        </w:p>
        <w:p w14:paraId="4D2E7843" w14:textId="39F98B91" w:rsidR="00863BAB" w:rsidRDefault="00863BAB">
          <w:pPr>
            <w:pStyle w:val="TM1"/>
            <w:rPr>
              <w:rFonts w:eastAsiaTheme="minorEastAsia"/>
              <w:noProof/>
              <w:sz w:val="24"/>
              <w:szCs w:val="24"/>
              <w:lang w:val="fr-FR" w:eastAsia="fr-FR"/>
            </w:rPr>
          </w:pPr>
          <w:hyperlink w:anchor="_Toc218958679" w:history="1">
            <w:r w:rsidRPr="00DE44BE">
              <w:rPr>
                <w:rStyle w:val="Lienhypertexte"/>
                <w:rFonts w:ascii="Verdana" w:hAnsi="Verdana"/>
                <w:b/>
                <w:bCs/>
                <w:smallCaps/>
                <w:noProof/>
              </w:rPr>
              <w:t>9.</w:t>
            </w:r>
            <w:r>
              <w:rPr>
                <w:rFonts w:eastAsiaTheme="minorEastAsia"/>
                <w:noProof/>
                <w:sz w:val="24"/>
                <w:szCs w:val="24"/>
                <w:lang w:val="fr-FR" w:eastAsia="fr-FR"/>
              </w:rPr>
              <w:tab/>
            </w:r>
            <w:r w:rsidRPr="00DE44BE">
              <w:rPr>
                <w:rStyle w:val="Lienhypertexte"/>
                <w:rFonts w:ascii="Verdana" w:hAnsi="Verdana"/>
                <w:b/>
                <w:smallCaps/>
                <w:noProof/>
              </w:rPr>
              <w:t>Limity pokrycia i odpowiedzialności.</w:t>
            </w:r>
            <w:r>
              <w:rPr>
                <w:noProof/>
                <w:webHidden/>
              </w:rPr>
              <w:tab/>
            </w:r>
            <w:r>
              <w:rPr>
                <w:noProof/>
                <w:webHidden/>
              </w:rPr>
              <w:fldChar w:fldCharType="begin"/>
            </w:r>
            <w:r>
              <w:rPr>
                <w:noProof/>
                <w:webHidden/>
              </w:rPr>
              <w:instrText xml:space="preserve"> PAGEREF _Toc218958679 \h </w:instrText>
            </w:r>
            <w:r>
              <w:rPr>
                <w:noProof/>
                <w:webHidden/>
              </w:rPr>
            </w:r>
            <w:r>
              <w:rPr>
                <w:noProof/>
                <w:webHidden/>
              </w:rPr>
              <w:fldChar w:fldCharType="separate"/>
            </w:r>
            <w:r>
              <w:rPr>
                <w:noProof/>
                <w:webHidden/>
              </w:rPr>
              <w:t>8</w:t>
            </w:r>
            <w:r>
              <w:rPr>
                <w:noProof/>
                <w:webHidden/>
              </w:rPr>
              <w:fldChar w:fldCharType="end"/>
            </w:r>
          </w:hyperlink>
        </w:p>
        <w:p w14:paraId="0AC8833A" w14:textId="0FBC6F0A" w:rsidR="00863BAB" w:rsidRDefault="00863BAB">
          <w:pPr>
            <w:pStyle w:val="TM2"/>
            <w:rPr>
              <w:rFonts w:eastAsiaTheme="minorEastAsia"/>
              <w:noProof/>
              <w:sz w:val="24"/>
              <w:szCs w:val="24"/>
              <w:lang w:val="fr-FR" w:eastAsia="fr-FR"/>
            </w:rPr>
          </w:pPr>
          <w:hyperlink w:anchor="_Toc218958680" w:history="1">
            <w:r w:rsidRPr="00DE44BE">
              <w:rPr>
                <w:rStyle w:val="Lienhypertexte"/>
                <w:rFonts w:ascii="Verdana" w:hAnsi="Verdana"/>
                <w:b/>
                <w:bCs/>
                <w:smallCaps/>
                <w:noProof/>
              </w:rPr>
              <w:t>10.</w:t>
            </w:r>
            <w:r>
              <w:rPr>
                <w:rFonts w:eastAsiaTheme="minorEastAsia"/>
                <w:noProof/>
                <w:sz w:val="24"/>
                <w:szCs w:val="24"/>
                <w:lang w:val="fr-FR" w:eastAsia="fr-FR"/>
              </w:rPr>
              <w:tab/>
            </w:r>
            <w:r w:rsidRPr="00DE44BE">
              <w:rPr>
                <w:rStyle w:val="Lienhypertexte"/>
                <w:rFonts w:ascii="Verdana" w:hAnsi="Verdana"/>
                <w:b/>
                <w:smallCaps/>
                <w:noProof/>
              </w:rPr>
              <w:t>Świadczenia, Naprawy i Ograniczenia Operacyjne.</w:t>
            </w:r>
            <w:r>
              <w:rPr>
                <w:noProof/>
                <w:webHidden/>
              </w:rPr>
              <w:tab/>
            </w:r>
            <w:r>
              <w:rPr>
                <w:noProof/>
                <w:webHidden/>
              </w:rPr>
              <w:fldChar w:fldCharType="begin"/>
            </w:r>
            <w:r>
              <w:rPr>
                <w:noProof/>
                <w:webHidden/>
              </w:rPr>
              <w:instrText xml:space="preserve"> PAGEREF _Toc218958680 \h </w:instrText>
            </w:r>
            <w:r>
              <w:rPr>
                <w:noProof/>
                <w:webHidden/>
              </w:rPr>
            </w:r>
            <w:r>
              <w:rPr>
                <w:noProof/>
                <w:webHidden/>
              </w:rPr>
              <w:fldChar w:fldCharType="separate"/>
            </w:r>
            <w:r>
              <w:rPr>
                <w:noProof/>
                <w:webHidden/>
              </w:rPr>
              <w:t>9</w:t>
            </w:r>
            <w:r>
              <w:rPr>
                <w:noProof/>
                <w:webHidden/>
              </w:rPr>
              <w:fldChar w:fldCharType="end"/>
            </w:r>
          </w:hyperlink>
        </w:p>
        <w:p w14:paraId="495EF63A" w14:textId="56DF58C1" w:rsidR="00863BAB" w:rsidRDefault="00863BAB">
          <w:pPr>
            <w:pStyle w:val="TM2"/>
            <w:rPr>
              <w:rFonts w:eastAsiaTheme="minorEastAsia"/>
              <w:noProof/>
              <w:sz w:val="24"/>
              <w:szCs w:val="24"/>
              <w:lang w:val="fr-FR" w:eastAsia="fr-FR"/>
            </w:rPr>
          </w:pPr>
          <w:hyperlink w:anchor="_Toc218958681" w:history="1">
            <w:r w:rsidRPr="00DE44BE">
              <w:rPr>
                <w:rStyle w:val="Lienhypertexte"/>
                <w:rFonts w:ascii="Verdana" w:hAnsi="Verdana"/>
                <w:b/>
                <w:bCs/>
                <w:smallCaps/>
                <w:noProof/>
              </w:rPr>
              <w:t>11.</w:t>
            </w:r>
            <w:r>
              <w:rPr>
                <w:rFonts w:eastAsiaTheme="minorEastAsia"/>
                <w:noProof/>
                <w:sz w:val="24"/>
                <w:szCs w:val="24"/>
                <w:lang w:val="fr-FR" w:eastAsia="fr-FR"/>
              </w:rPr>
              <w:tab/>
            </w:r>
            <w:r w:rsidRPr="00DE44BE">
              <w:rPr>
                <w:rStyle w:val="Lienhypertexte"/>
                <w:rFonts w:ascii="Verdana" w:hAnsi="Verdana"/>
                <w:b/>
                <w:smallCaps/>
                <w:noProof/>
              </w:rPr>
              <w:t>Reklamacje i spory.</w:t>
            </w:r>
            <w:r>
              <w:rPr>
                <w:noProof/>
                <w:webHidden/>
              </w:rPr>
              <w:tab/>
            </w:r>
            <w:r>
              <w:rPr>
                <w:noProof/>
                <w:webHidden/>
              </w:rPr>
              <w:fldChar w:fldCharType="begin"/>
            </w:r>
            <w:r>
              <w:rPr>
                <w:noProof/>
                <w:webHidden/>
              </w:rPr>
              <w:instrText xml:space="preserve"> PAGEREF _Toc218958681 \h </w:instrText>
            </w:r>
            <w:r>
              <w:rPr>
                <w:noProof/>
                <w:webHidden/>
              </w:rPr>
            </w:r>
            <w:r>
              <w:rPr>
                <w:noProof/>
                <w:webHidden/>
              </w:rPr>
              <w:fldChar w:fldCharType="separate"/>
            </w:r>
            <w:r>
              <w:rPr>
                <w:noProof/>
                <w:webHidden/>
              </w:rPr>
              <w:t>10</w:t>
            </w:r>
            <w:r>
              <w:rPr>
                <w:noProof/>
                <w:webHidden/>
              </w:rPr>
              <w:fldChar w:fldCharType="end"/>
            </w:r>
          </w:hyperlink>
        </w:p>
        <w:p w14:paraId="5B18E4B6" w14:textId="6ECA817B" w:rsidR="00863BAB" w:rsidRDefault="00863BAB">
          <w:pPr>
            <w:pStyle w:val="TM2"/>
            <w:rPr>
              <w:rFonts w:eastAsiaTheme="minorEastAsia"/>
              <w:noProof/>
              <w:sz w:val="24"/>
              <w:szCs w:val="24"/>
              <w:lang w:val="fr-FR" w:eastAsia="fr-FR"/>
            </w:rPr>
          </w:pPr>
          <w:hyperlink w:anchor="_Toc218958682" w:history="1">
            <w:r w:rsidRPr="00DE44BE">
              <w:rPr>
                <w:rStyle w:val="Lienhypertexte"/>
                <w:rFonts w:ascii="Verdana" w:hAnsi="Verdana"/>
                <w:b/>
                <w:bCs/>
                <w:smallCaps/>
                <w:noProof/>
              </w:rPr>
              <w:t>12.</w:t>
            </w:r>
            <w:r>
              <w:rPr>
                <w:rFonts w:eastAsiaTheme="minorEastAsia"/>
                <w:noProof/>
                <w:sz w:val="24"/>
                <w:szCs w:val="24"/>
                <w:lang w:val="fr-FR" w:eastAsia="fr-FR"/>
              </w:rPr>
              <w:tab/>
            </w:r>
            <w:r w:rsidRPr="00DE44BE">
              <w:rPr>
                <w:rStyle w:val="Lienhypertexte"/>
                <w:rFonts w:ascii="Verdana" w:hAnsi="Verdana"/>
                <w:b/>
                <w:smallCaps/>
                <w:noProof/>
              </w:rPr>
              <w:t>Siła wyższa.</w:t>
            </w:r>
            <w:r>
              <w:rPr>
                <w:noProof/>
                <w:webHidden/>
              </w:rPr>
              <w:tab/>
            </w:r>
            <w:r>
              <w:rPr>
                <w:noProof/>
                <w:webHidden/>
              </w:rPr>
              <w:fldChar w:fldCharType="begin"/>
            </w:r>
            <w:r>
              <w:rPr>
                <w:noProof/>
                <w:webHidden/>
              </w:rPr>
              <w:instrText xml:space="preserve"> PAGEREF _Toc218958682 \h </w:instrText>
            </w:r>
            <w:r>
              <w:rPr>
                <w:noProof/>
                <w:webHidden/>
              </w:rPr>
            </w:r>
            <w:r>
              <w:rPr>
                <w:noProof/>
                <w:webHidden/>
              </w:rPr>
              <w:fldChar w:fldCharType="separate"/>
            </w:r>
            <w:r>
              <w:rPr>
                <w:noProof/>
                <w:webHidden/>
              </w:rPr>
              <w:t>11</w:t>
            </w:r>
            <w:r>
              <w:rPr>
                <w:noProof/>
                <w:webHidden/>
              </w:rPr>
              <w:fldChar w:fldCharType="end"/>
            </w:r>
          </w:hyperlink>
        </w:p>
        <w:p w14:paraId="650B0B8F" w14:textId="5C2760D9" w:rsidR="00863BAB" w:rsidRDefault="00863BAB">
          <w:pPr>
            <w:pStyle w:val="TM1"/>
            <w:rPr>
              <w:rFonts w:eastAsiaTheme="minorEastAsia"/>
              <w:noProof/>
              <w:sz w:val="24"/>
              <w:szCs w:val="24"/>
              <w:lang w:val="fr-FR" w:eastAsia="fr-FR"/>
            </w:rPr>
          </w:pPr>
          <w:hyperlink w:anchor="_Toc218958683" w:history="1">
            <w:r w:rsidRPr="00DE44BE">
              <w:rPr>
                <w:rStyle w:val="Lienhypertexte"/>
                <w:rFonts w:ascii="Verdana" w:hAnsi="Verdana"/>
                <w:b/>
                <w:bCs/>
                <w:noProof/>
              </w:rPr>
              <w:t>13.</w:t>
            </w:r>
            <w:r>
              <w:rPr>
                <w:rFonts w:eastAsiaTheme="minorEastAsia"/>
                <w:noProof/>
                <w:sz w:val="24"/>
                <w:szCs w:val="24"/>
                <w:lang w:val="fr-FR" w:eastAsia="fr-FR"/>
              </w:rPr>
              <w:tab/>
            </w:r>
            <w:r w:rsidRPr="00DE44BE">
              <w:rPr>
                <w:rStyle w:val="Lienhypertexte"/>
                <w:rFonts w:ascii="Verdana" w:hAnsi="Verdana"/>
                <w:b/>
                <w:smallCaps/>
                <w:noProof/>
              </w:rPr>
              <w:t>Jednostronne zmiany Warunków Szczegółowych.</w:t>
            </w:r>
            <w:r>
              <w:rPr>
                <w:noProof/>
                <w:webHidden/>
              </w:rPr>
              <w:tab/>
            </w:r>
            <w:r>
              <w:rPr>
                <w:noProof/>
                <w:webHidden/>
              </w:rPr>
              <w:fldChar w:fldCharType="begin"/>
            </w:r>
            <w:r>
              <w:rPr>
                <w:noProof/>
                <w:webHidden/>
              </w:rPr>
              <w:instrText xml:space="preserve"> PAGEREF _Toc218958683 \h </w:instrText>
            </w:r>
            <w:r>
              <w:rPr>
                <w:noProof/>
                <w:webHidden/>
              </w:rPr>
            </w:r>
            <w:r>
              <w:rPr>
                <w:noProof/>
                <w:webHidden/>
              </w:rPr>
              <w:fldChar w:fldCharType="separate"/>
            </w:r>
            <w:r>
              <w:rPr>
                <w:noProof/>
                <w:webHidden/>
              </w:rPr>
              <w:t>12</w:t>
            </w:r>
            <w:r>
              <w:rPr>
                <w:noProof/>
                <w:webHidden/>
              </w:rPr>
              <w:fldChar w:fldCharType="end"/>
            </w:r>
          </w:hyperlink>
        </w:p>
        <w:p w14:paraId="73C746EF" w14:textId="483146AD" w:rsidR="00863BAB" w:rsidRDefault="00863BAB">
          <w:pPr>
            <w:pStyle w:val="TM1"/>
            <w:rPr>
              <w:rFonts w:eastAsiaTheme="minorEastAsia"/>
              <w:noProof/>
              <w:sz w:val="24"/>
              <w:szCs w:val="24"/>
              <w:lang w:val="fr-FR" w:eastAsia="fr-FR"/>
            </w:rPr>
          </w:pPr>
          <w:hyperlink w:anchor="_Toc218958684" w:history="1">
            <w:r w:rsidRPr="00DE44BE">
              <w:rPr>
                <w:rStyle w:val="Lienhypertexte"/>
                <w:rFonts w:ascii="Verdana" w:hAnsi="Verdana"/>
                <w:b/>
                <w:bCs/>
                <w:smallCaps/>
                <w:noProof/>
              </w:rPr>
              <w:t>14.</w:t>
            </w:r>
            <w:r>
              <w:rPr>
                <w:rFonts w:eastAsiaTheme="minorEastAsia"/>
                <w:noProof/>
                <w:sz w:val="24"/>
                <w:szCs w:val="24"/>
                <w:lang w:val="fr-FR" w:eastAsia="fr-FR"/>
              </w:rPr>
              <w:tab/>
            </w:r>
            <w:r w:rsidRPr="00DE44BE">
              <w:rPr>
                <w:rStyle w:val="Lienhypertexte"/>
                <w:rFonts w:ascii="Verdana" w:hAnsi="Verdana"/>
                <w:b/>
                <w:smallCaps/>
                <w:noProof/>
              </w:rPr>
              <w:t>Prawo właściwe, Język i właściwy Sąd.</w:t>
            </w:r>
            <w:r>
              <w:rPr>
                <w:noProof/>
                <w:webHidden/>
              </w:rPr>
              <w:tab/>
            </w:r>
            <w:r>
              <w:rPr>
                <w:noProof/>
                <w:webHidden/>
              </w:rPr>
              <w:fldChar w:fldCharType="begin"/>
            </w:r>
            <w:r>
              <w:rPr>
                <w:noProof/>
                <w:webHidden/>
              </w:rPr>
              <w:instrText xml:space="preserve"> PAGEREF _Toc218958684 \h </w:instrText>
            </w:r>
            <w:r>
              <w:rPr>
                <w:noProof/>
                <w:webHidden/>
              </w:rPr>
            </w:r>
            <w:r>
              <w:rPr>
                <w:noProof/>
                <w:webHidden/>
              </w:rPr>
              <w:fldChar w:fldCharType="separate"/>
            </w:r>
            <w:r>
              <w:rPr>
                <w:noProof/>
                <w:webHidden/>
              </w:rPr>
              <w:t>12</w:t>
            </w:r>
            <w:r>
              <w:rPr>
                <w:noProof/>
                <w:webHidden/>
              </w:rPr>
              <w:fldChar w:fldCharType="end"/>
            </w:r>
          </w:hyperlink>
        </w:p>
        <w:p w14:paraId="3EF944CC" w14:textId="02751BD2" w:rsidR="00863BAB" w:rsidRDefault="00863BAB">
          <w:pPr>
            <w:pStyle w:val="TM2"/>
            <w:rPr>
              <w:rFonts w:eastAsiaTheme="minorEastAsia"/>
              <w:noProof/>
              <w:sz w:val="24"/>
              <w:szCs w:val="24"/>
              <w:lang w:val="fr-FR" w:eastAsia="fr-FR"/>
            </w:rPr>
          </w:pPr>
          <w:hyperlink w:anchor="_Toc218958685" w:history="1">
            <w:r w:rsidRPr="00DE44BE">
              <w:rPr>
                <w:rStyle w:val="Lienhypertexte"/>
                <w:rFonts w:ascii="Verdana" w:hAnsi="Verdana"/>
                <w:b/>
                <w:bCs/>
                <w:smallCaps/>
                <w:noProof/>
              </w:rPr>
              <w:t>15.</w:t>
            </w:r>
            <w:r>
              <w:rPr>
                <w:rFonts w:eastAsiaTheme="minorEastAsia"/>
                <w:noProof/>
                <w:sz w:val="24"/>
                <w:szCs w:val="24"/>
                <w:lang w:val="fr-FR" w:eastAsia="fr-FR"/>
              </w:rPr>
              <w:tab/>
            </w:r>
            <w:r w:rsidRPr="00DE44BE">
              <w:rPr>
                <w:rStyle w:val="Lienhypertexte"/>
                <w:rFonts w:ascii="Verdana" w:hAnsi="Verdana"/>
                <w:b/>
                <w:smallCaps/>
                <w:noProof/>
              </w:rPr>
              <w:t>Korespondencja.</w:t>
            </w:r>
            <w:r>
              <w:rPr>
                <w:noProof/>
                <w:webHidden/>
              </w:rPr>
              <w:tab/>
            </w:r>
            <w:r>
              <w:rPr>
                <w:noProof/>
                <w:webHidden/>
              </w:rPr>
              <w:fldChar w:fldCharType="begin"/>
            </w:r>
            <w:r>
              <w:rPr>
                <w:noProof/>
                <w:webHidden/>
              </w:rPr>
              <w:instrText xml:space="preserve"> PAGEREF _Toc218958685 \h </w:instrText>
            </w:r>
            <w:r>
              <w:rPr>
                <w:noProof/>
                <w:webHidden/>
              </w:rPr>
            </w:r>
            <w:r>
              <w:rPr>
                <w:noProof/>
                <w:webHidden/>
              </w:rPr>
              <w:fldChar w:fldCharType="separate"/>
            </w:r>
            <w:r>
              <w:rPr>
                <w:noProof/>
                <w:webHidden/>
              </w:rPr>
              <w:t>13</w:t>
            </w:r>
            <w:r>
              <w:rPr>
                <w:noProof/>
                <w:webHidden/>
              </w:rPr>
              <w:fldChar w:fldCharType="end"/>
            </w:r>
          </w:hyperlink>
        </w:p>
        <w:p w14:paraId="544723A2" w14:textId="7BD11741" w:rsidR="00401B7F" w:rsidRPr="00791EED" w:rsidRDefault="00476BC8" w:rsidP="00791EED">
          <w:r w:rsidRPr="00080B56">
            <w:rPr>
              <w:rFonts w:ascii="Verdana" w:hAnsi="Verdana"/>
              <w:b/>
              <w:bCs/>
              <w:sz w:val="20"/>
              <w:szCs w:val="20"/>
            </w:rPr>
            <w:fldChar w:fldCharType="end"/>
          </w:r>
        </w:p>
      </w:sdtContent>
    </w:sdt>
    <w:p w14:paraId="18FC04ED" w14:textId="77777777" w:rsidR="00B673A0" w:rsidRPr="00E9150B" w:rsidRDefault="00B673A0" w:rsidP="00087BF5">
      <w:pPr>
        <w:pStyle w:val="Paragraphedeliste"/>
        <w:spacing w:line="360" w:lineRule="auto"/>
        <w:ind w:left="0"/>
        <w:jc w:val="both"/>
        <w:rPr>
          <w:rFonts w:ascii="Verdana" w:hAnsi="Verdana"/>
          <w:sz w:val="20"/>
          <w:szCs w:val="20"/>
        </w:rPr>
      </w:pPr>
    </w:p>
    <w:p w14:paraId="33494E5A" w14:textId="77777777" w:rsidR="00087BF5" w:rsidRPr="00E9150B" w:rsidRDefault="00087BF5" w:rsidP="00476BC8">
      <w:pPr>
        <w:pStyle w:val="Paragraphedeliste"/>
        <w:numPr>
          <w:ilvl w:val="0"/>
          <w:numId w:val="1"/>
        </w:numPr>
        <w:spacing w:line="360" w:lineRule="auto"/>
        <w:ind w:left="0" w:firstLine="0"/>
        <w:jc w:val="both"/>
        <w:outlineLvl w:val="0"/>
        <w:rPr>
          <w:rFonts w:ascii="Verdana" w:hAnsi="Verdana"/>
          <w:sz w:val="20"/>
          <w:szCs w:val="20"/>
        </w:rPr>
      </w:pPr>
      <w:bookmarkStart w:id="1" w:name="_Toc218958671"/>
      <w:r>
        <w:rPr>
          <w:rFonts w:ascii="Verdana" w:hAnsi="Verdana"/>
          <w:b/>
          <w:smallCaps/>
          <w:sz w:val="20"/>
        </w:rPr>
        <w:t>Definicje</w:t>
      </w:r>
      <w:r>
        <w:rPr>
          <w:rFonts w:ascii="Verdana" w:hAnsi="Verdana"/>
          <w:sz w:val="20"/>
        </w:rPr>
        <w:t>.</w:t>
      </w:r>
      <w:bookmarkEnd w:id="1"/>
    </w:p>
    <w:p w14:paraId="05C1936D" w14:textId="114DB94F" w:rsidR="00881A72" w:rsidRPr="00E9150B" w:rsidRDefault="00E93843" w:rsidP="00087BF5">
      <w:pPr>
        <w:pStyle w:val="Paragraphedeliste"/>
        <w:spacing w:line="360" w:lineRule="auto"/>
        <w:ind w:left="0"/>
        <w:jc w:val="both"/>
        <w:rPr>
          <w:rFonts w:ascii="Verdana" w:hAnsi="Verdana"/>
          <w:sz w:val="20"/>
          <w:szCs w:val="20"/>
        </w:rPr>
      </w:pPr>
      <w:r>
        <w:t>Oprócz innych definicji zawartych w „</w:t>
      </w:r>
      <w:r>
        <w:rPr>
          <w:i/>
        </w:rPr>
        <w:t>Ogólnych Warunkach Platformy Fleequid®</w:t>
      </w:r>
      <w:r>
        <w:t>” (zwanych dalej „Warunkami Ogólnymi”), dostępnych w odpowiedniej sekcji (</w:t>
      </w:r>
      <w:hyperlink r:id="rId11" w:tgtFrame="_blank" w:history="1">
        <w:r>
          <w:rPr>
            <w:rStyle w:val="Lienhypertexte"/>
            <w:rFonts w:ascii="Verdana" w:hAnsi="Verdana"/>
            <w:sz w:val="20"/>
          </w:rPr>
          <w:t>https://fleequid.com/it/ terms-and-conditions</w:t>
        </w:r>
      </w:hyperlink>
      <w:r>
        <w:t xml:space="preserve">), które regulują funkcjonowanie Marketplace Fleequid® i które uważa się za integralnie </w:t>
      </w:r>
      <w:r>
        <w:lastRenderedPageBreak/>
        <w:t xml:space="preserve">przywołane i przytoczone w ramach niniejszych </w:t>
      </w:r>
      <w:r>
        <w:rPr>
          <w:b/>
        </w:rPr>
        <w:t>Szczegółowych Warunków Usługi Gwarancji Powertrain Fleequid®</w:t>
      </w:r>
      <w:r>
        <w:t xml:space="preserve"> („SWG”) obowiązują następujące definicje:</w:t>
      </w:r>
    </w:p>
    <w:bookmarkEnd w:id="0"/>
    <w:p w14:paraId="5733DC96" w14:textId="574C433C" w:rsidR="00866866" w:rsidRDefault="0086686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"Kupujący"</w:t>
      </w:r>
      <w:r>
        <w:rPr>
          <w:rFonts w:ascii="Verdana" w:hAnsi="Verdana"/>
          <w:sz w:val="20"/>
        </w:rPr>
        <w:t>: osoba, która uzyskując Pojazd na platformie Marketplace Fleequid®, w ramach swojej działalności gospodarczej lub zawodowej, żąda i uzyskuje aktywację usługi Gwarancji Powertrain. Usługa nie jest przeznaczona dla konsumentów w rozumieniu  D. Lsg 206/2005 (Prawa Konsumenta).</w:t>
      </w:r>
    </w:p>
    <w:p w14:paraId="29A6EC96" w14:textId="515D66E0" w:rsidR="00E93843" w:rsidRPr="00DC431C" w:rsidRDefault="00E93843"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w:t>
      </w:r>
      <w:r>
        <w:rPr>
          <w:rFonts w:ascii="Verdana" w:hAnsi="Verdana"/>
          <w:b/>
          <w:i/>
          <w:sz w:val="20"/>
        </w:rPr>
        <w:t>Okres karencji"</w:t>
      </w:r>
      <w:r>
        <w:rPr>
          <w:rFonts w:ascii="Verdana" w:hAnsi="Verdana"/>
          <w:sz w:val="20"/>
        </w:rPr>
        <w:t>: początkowy okres, liczony od daty aktywacji Usługi Gwarancji Powertrain, niezależnie od tego, czy nastąpiła ona wraz ze sprzedażą, czy później, w trakcie którego Gwarancja nie jest aktywna i nie obejmuje usterek, które wystąpiły w Pojeździe.</w:t>
      </w:r>
    </w:p>
    <w:p w14:paraId="69800CEB" w14:textId="1FB9A7E4" w:rsidR="00866866"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„Centrum Autoryzowane"</w:t>
      </w:r>
      <w:r>
        <w:rPr>
          <w:rFonts w:ascii="Verdana" w:hAnsi="Verdana"/>
          <w:sz w:val="20"/>
        </w:rPr>
        <w:t>: warsztat lub centrum obsługi wskazane lub upoważnione wcześniej przez Fleequid® do wykonywania napraw i czynności objętych Usługą Gwarancji Powertrain.</w:t>
      </w:r>
    </w:p>
    <w:p w14:paraId="2BFED1DD" w14:textId="1FAA50B4" w:rsidR="00E93843"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„Komponenty Objęte"</w:t>
      </w:r>
      <w:r>
        <w:rPr>
          <w:rFonts w:ascii="Verdana" w:hAnsi="Verdana"/>
          <w:sz w:val="20"/>
        </w:rPr>
        <w:t>: główne elementy silnika i skrzyni biegów Pojazdu objęte Gwarancją, wyszczególnione w niniejszych SWG.</w:t>
      </w:r>
    </w:p>
    <w:p w14:paraId="4C09800D" w14:textId="10EC38AF" w:rsidR="00FB1F0B" w:rsidRPr="00866866"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„Komponenty Wyłączone"</w:t>
      </w:r>
      <w:r>
        <w:rPr>
          <w:rFonts w:ascii="Verdana" w:hAnsi="Verdana"/>
          <w:sz w:val="20"/>
        </w:rPr>
        <w:t>: części, elementy i akcesoria Pojazdu, nie należące do Komponentów Objętych i tym samym nie objęte Gwarancją, zgodnie z opisem w niniejszych SWG.</w:t>
      </w:r>
    </w:p>
    <w:p w14:paraId="16E2049C" w14:textId="2C5766D8" w:rsidR="00881A72" w:rsidRDefault="00881A72"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i/>
          <w:sz w:val="20"/>
        </w:rPr>
        <w:t>„</w:t>
      </w:r>
      <w:r>
        <w:rPr>
          <w:rFonts w:ascii="Verdana" w:hAnsi="Verdana"/>
          <w:b/>
          <w:i/>
          <w:sz w:val="20"/>
        </w:rPr>
        <w:t>Szczegółowe Warunki Usługi Gwarancji Powertrain</w:t>
      </w:r>
      <w:r>
        <w:rPr>
          <w:rFonts w:ascii="Verdana" w:hAnsi="Verdana"/>
          <w:sz w:val="20"/>
        </w:rPr>
        <w:t>” (</w:t>
      </w:r>
      <w:r>
        <w:rPr>
          <w:rFonts w:ascii="Verdana" w:hAnsi="Verdana"/>
          <w:b/>
          <w:i/>
          <w:sz w:val="20"/>
        </w:rPr>
        <w:t>SWG</w:t>
      </w:r>
      <w:r>
        <w:rPr>
          <w:rFonts w:ascii="Verdana" w:hAnsi="Verdana"/>
          <w:sz w:val="20"/>
        </w:rPr>
        <w:t>): regulują zasady i tryb świadczenia Usługi Gwarancji Powertrain (Silnik i Skrzynia Biegów) oferowanej przez Fleequid®. Hierarchia ważności między niniejszymi SWG, ewentualnymi innymi Szczegółowymi Warunkami i/lub Szczególnymi Warunkami Aukcji i/lub umowami a Ogólnymi Warunkami Marketplace Fleequid® jest określona przez te ostatnie.</w:t>
      </w:r>
    </w:p>
    <w:p w14:paraId="6D0152CB" w14:textId="7D27F85B" w:rsidR="002C1141" w:rsidRPr="002C1141" w:rsidRDefault="002C1141"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w:t>
      </w:r>
      <w:r>
        <w:rPr>
          <w:rFonts w:ascii="Verdana" w:hAnsi="Verdana"/>
          <w:sz w:val="20"/>
        </w:rPr>
        <w:t>: ma znaczenie nadane przez Ogólne Warunki Marketplace Fleequid® i obejmuje, na potrzeby niniejszych SWG, spółkę Adorea S.r.l. lub inną jednostkę prawną wyznaczoną przez nią jako podmiot świadczący Usługę Gwarancji Powertrain.</w:t>
      </w:r>
    </w:p>
    <w:p w14:paraId="02BD8007" w14:textId="2A5A8086" w:rsidR="00866866" w:rsidRDefault="00866866"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„Zaufany Ekspert"</w:t>
      </w:r>
      <w:r>
        <w:rPr>
          <w:rFonts w:ascii="Verdana" w:hAnsi="Verdana"/>
          <w:sz w:val="20"/>
        </w:rPr>
        <w:t>: technik wyznaczony przez Fleequid® w celu ustalenia przyczyny usterki oraz weryfikacji warunków zastosowania Gwarancji.</w:t>
      </w:r>
    </w:p>
    <w:p w14:paraId="6AFE03C1" w14:textId="0F1677C2" w:rsidR="0045115F" w:rsidRDefault="0045115F"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„Usługa Gwarancji Powertrain"</w:t>
      </w:r>
      <w:r>
        <w:rPr>
          <w:rFonts w:ascii="Verdana" w:hAnsi="Verdana"/>
          <w:sz w:val="20"/>
        </w:rPr>
        <w:t xml:space="preserve">: opcjonalna gwarancja handlowa, niebędąca ubezpieczeniem, w której Fleequid® zobowiązuje się bezpośrednio, za odpowiednią opłatą, do pokrycia awarii i usterek głównych elementów silnika i skrzyni biegów pojazdu przyznanego na Marketplace Fleequid®, w granicach, na warunkach i z wyłączeniami określonymi w niniejszych SWG. </w:t>
      </w:r>
    </w:p>
    <w:p w14:paraId="266E6F3D" w14:textId="55EB66BE" w:rsidR="00791EED" w:rsidRDefault="00E93843" w:rsidP="00791EED">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„Pojazd”</w:t>
      </w:r>
      <w:r>
        <w:rPr>
          <w:rFonts w:ascii="Verdana" w:hAnsi="Verdana"/>
          <w:sz w:val="20"/>
        </w:rPr>
        <w:t>: Pojazd, zgodnie z definicją zawartą w Ogólnych Warunkach Marketplace Fleequid®, dla którego Kupujący złożył wniosek i uzyskał aktywację Usługi Gwarancji Powertrain.</w:t>
      </w:r>
      <w:bookmarkStart w:id="2" w:name="_Hlk162160073"/>
    </w:p>
    <w:p w14:paraId="76F09F45" w14:textId="77777777" w:rsidR="00DC431C" w:rsidRPr="00DC431C" w:rsidRDefault="00DC431C" w:rsidP="00DC431C">
      <w:pPr>
        <w:spacing w:line="360" w:lineRule="auto"/>
        <w:contextualSpacing/>
        <w:jc w:val="both"/>
        <w:rPr>
          <w:rFonts w:ascii="Verdana" w:eastAsia="Verdana" w:hAnsi="Verdana" w:cs="Verdana"/>
          <w:sz w:val="20"/>
          <w:szCs w:val="20"/>
        </w:rPr>
      </w:pPr>
    </w:p>
    <w:p w14:paraId="25B04680" w14:textId="7CF2FBC9" w:rsidR="0064620C" w:rsidRPr="00E9150B" w:rsidRDefault="00BE37C3" w:rsidP="00476BC8">
      <w:pPr>
        <w:pStyle w:val="Paragraphedeliste"/>
        <w:numPr>
          <w:ilvl w:val="0"/>
          <w:numId w:val="1"/>
        </w:numPr>
        <w:spacing w:line="360" w:lineRule="auto"/>
        <w:ind w:left="0" w:firstLine="0"/>
        <w:jc w:val="both"/>
        <w:outlineLvl w:val="0"/>
        <w:rPr>
          <w:rFonts w:ascii="Verdana" w:hAnsi="Verdana"/>
          <w:sz w:val="20"/>
          <w:szCs w:val="20"/>
        </w:rPr>
      </w:pPr>
      <w:bookmarkStart w:id="3" w:name="_Toc218958672"/>
      <w:r>
        <w:rPr>
          <w:rFonts w:ascii="Verdana" w:hAnsi="Verdana"/>
          <w:b/>
          <w:smallCaps/>
          <w:sz w:val="20"/>
        </w:rPr>
        <w:t>Przedmiot Usługi</w:t>
      </w:r>
      <w:r>
        <w:rPr>
          <w:rFonts w:ascii="Verdana" w:hAnsi="Verdana"/>
          <w:sz w:val="20"/>
        </w:rPr>
        <w:t>.</w:t>
      </w:r>
      <w:bookmarkEnd w:id="3"/>
    </w:p>
    <w:bookmarkEnd w:id="2"/>
    <w:p w14:paraId="2A06BE52" w14:textId="35DBFCFE" w:rsidR="00BE37C3" w:rsidRDefault="003C0E43" w:rsidP="00DE5275">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 xml:space="preserve">Niniejsze Warunki Szczegółowe regulują </w:t>
      </w:r>
      <w:r>
        <w:rPr>
          <w:rFonts w:ascii="Verdana" w:hAnsi="Verdana"/>
          <w:b/>
          <w:sz w:val="20"/>
        </w:rPr>
        <w:t>Usługę Gwarancji Powertrain</w:t>
      </w:r>
      <w:r>
        <w:rPr>
          <w:rFonts w:ascii="Verdana" w:hAnsi="Verdana"/>
          <w:sz w:val="20"/>
        </w:rPr>
        <w:t xml:space="preserve"> oferowaną przez Fleequid® Kupującym, którzy złożyli wniosek i regularnie uiścili należną opłatę.</w:t>
      </w:r>
    </w:p>
    <w:p w14:paraId="7FC389E0" w14:textId="7C99D808" w:rsidR="00BE37C3" w:rsidRDefault="003C0E43" w:rsidP="00DE5275">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Usługa Gwarancji Powertrain ma charakter opcjonalnej </w:t>
      </w:r>
      <w:r>
        <w:rPr>
          <w:rFonts w:ascii="Verdana" w:hAnsi="Verdana"/>
          <w:b/>
          <w:sz w:val="20"/>
        </w:rPr>
        <w:t>gwarancji handlowej</w:t>
      </w:r>
      <w:r>
        <w:rPr>
          <w:rFonts w:ascii="Verdana" w:hAnsi="Verdana"/>
          <w:sz w:val="20"/>
        </w:rPr>
        <w:t xml:space="preserve"> i w żadnym wypadku nie stanowi produktu ubezpieczeniowego. Ryzyko związane ze świadczeniem Gwarancji ponosi bezpośrednio Fleequid®.</w:t>
      </w:r>
      <w:r>
        <w:t xml:space="preserve"> </w:t>
      </w:r>
      <w:r>
        <w:rPr>
          <w:rFonts w:ascii="Verdana" w:hAnsi="Verdana"/>
          <w:sz w:val="20"/>
        </w:rPr>
        <w:t xml:space="preserve">Fleequid® nie jest przedsiębiorstwem ani pośrednikiem ubezpieczeniowym i nie podlega nadzorowi KNF ani przepisom polskiego Prawa Ubezpieczeniowego. </w:t>
      </w:r>
    </w:p>
    <w:p w14:paraId="6CBD9754" w14:textId="611983F5" w:rsidR="003C0E43" w:rsidRDefault="003C0E43" w:rsidP="00DE5275">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 xml:space="preserve">Gwarancja dotyczy wyłącznie </w:t>
      </w:r>
      <w:r>
        <w:rPr>
          <w:rFonts w:ascii="Verdana" w:hAnsi="Verdana"/>
          <w:b/>
          <w:sz w:val="20"/>
        </w:rPr>
        <w:t>Komponentów Objętych</w:t>
      </w:r>
      <w:r>
        <w:rPr>
          <w:rFonts w:ascii="Verdana" w:hAnsi="Verdana"/>
          <w:sz w:val="20"/>
        </w:rPr>
        <w:t xml:space="preserve"> Pojazdu, ograniczając się do awarii i usterek, które wystąpiły w okresie ważności Usługi, oraz w granicach, na warunkach i z wyłączeniami określonymi w niniejszych SWG. </w:t>
      </w:r>
    </w:p>
    <w:p w14:paraId="55D2135E" w14:textId="4DF0A63E" w:rsidR="003C0E43" w:rsidRDefault="003C0E43" w:rsidP="00DE5275">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 xml:space="preserve">Z gwarancji wyłączone są zatem wszystkie </w:t>
      </w:r>
      <w:r>
        <w:rPr>
          <w:rFonts w:ascii="Verdana" w:hAnsi="Verdana"/>
          <w:b/>
          <w:sz w:val="20"/>
        </w:rPr>
        <w:t>Komponenty</w:t>
      </w:r>
      <w:r>
        <w:rPr>
          <w:rFonts w:ascii="Verdana" w:hAnsi="Verdana"/>
          <w:sz w:val="20"/>
        </w:rPr>
        <w:t xml:space="preserve"> </w:t>
      </w:r>
      <w:r>
        <w:rPr>
          <w:rFonts w:ascii="Verdana" w:hAnsi="Verdana"/>
          <w:b/>
          <w:sz w:val="20"/>
        </w:rPr>
        <w:t>Wyłączone</w:t>
      </w:r>
      <w:r>
        <w:rPr>
          <w:rFonts w:ascii="Verdana" w:hAnsi="Verdana"/>
          <w:sz w:val="20"/>
        </w:rPr>
        <w:t>, a także przypadki i okoliczności wymienione w kolejnych artykułach.</w:t>
      </w:r>
    </w:p>
    <w:p w14:paraId="420349A4" w14:textId="30113141" w:rsidR="004D7A6C" w:rsidRDefault="00C92165" w:rsidP="004D7A6C">
      <w:pPr>
        <w:pStyle w:val="Paragraphedeliste"/>
        <w:spacing w:line="360" w:lineRule="auto"/>
        <w:ind w:left="0"/>
        <w:jc w:val="both"/>
        <w:rPr>
          <w:rFonts w:ascii="Verdana" w:hAnsi="Verdana"/>
          <w:sz w:val="20"/>
          <w:szCs w:val="20"/>
        </w:rPr>
      </w:pPr>
      <w:r>
        <w:rPr>
          <w:rFonts w:ascii="Verdana" w:hAnsi="Verdana"/>
          <w:sz w:val="20"/>
        </w:rPr>
        <w:t xml:space="preserve">Stosunek między niniejszymi SWG a Ogólnymi Warunkami reguluje art. 3.3 </w:t>
      </w:r>
      <w:r>
        <w:rPr>
          <w:rFonts w:ascii="Verdana" w:hAnsi="Verdana"/>
          <w:i/>
          <w:sz w:val="20"/>
        </w:rPr>
        <w:t>Ogólnych Warunków Marketplace Fleequid®</w:t>
      </w:r>
      <w:r>
        <w:rPr>
          <w:rFonts w:ascii="Verdana" w:hAnsi="Verdana"/>
          <w:sz w:val="20"/>
        </w:rPr>
        <w:t>: w przypadku rozbieżności, niniejsze SWG mają pierwszeństwo przed Ogólnymi Warunkami, o ile dotyczy to regulacji Usługi Gwarancji Powertrain.</w:t>
      </w:r>
    </w:p>
    <w:p w14:paraId="2FFC4365" w14:textId="77777777" w:rsidR="00C92165" w:rsidRPr="00E9150B" w:rsidRDefault="00C92165" w:rsidP="004D7A6C">
      <w:pPr>
        <w:pStyle w:val="Paragraphedeliste"/>
        <w:spacing w:line="360" w:lineRule="auto"/>
        <w:ind w:left="0"/>
        <w:jc w:val="both"/>
        <w:rPr>
          <w:rFonts w:ascii="Verdana" w:hAnsi="Verdana"/>
          <w:sz w:val="20"/>
          <w:szCs w:val="20"/>
        </w:rPr>
      </w:pPr>
    </w:p>
    <w:p w14:paraId="132CE1A3" w14:textId="2A97B405" w:rsidR="004D7A6C" w:rsidRPr="00E9150B" w:rsidRDefault="00C92165" w:rsidP="00476BC8">
      <w:pPr>
        <w:pStyle w:val="Paragraphedeliste"/>
        <w:numPr>
          <w:ilvl w:val="0"/>
          <w:numId w:val="1"/>
        </w:numPr>
        <w:spacing w:line="360" w:lineRule="auto"/>
        <w:ind w:left="0" w:firstLine="0"/>
        <w:jc w:val="both"/>
        <w:outlineLvl w:val="0"/>
        <w:rPr>
          <w:rFonts w:ascii="Verdana" w:hAnsi="Verdana"/>
          <w:sz w:val="20"/>
          <w:szCs w:val="20"/>
        </w:rPr>
      </w:pPr>
      <w:bookmarkStart w:id="4" w:name="_Toc218958673"/>
      <w:r>
        <w:rPr>
          <w:rFonts w:ascii="Verdana" w:hAnsi="Verdana"/>
          <w:b/>
          <w:smallCaps/>
          <w:sz w:val="20"/>
        </w:rPr>
        <w:t>Komponenty Objęte i Wyłączone</w:t>
      </w:r>
      <w:r>
        <w:rPr>
          <w:rFonts w:ascii="Verdana" w:hAnsi="Verdana"/>
          <w:sz w:val="20"/>
        </w:rPr>
        <w:t>.</w:t>
      </w:r>
      <w:bookmarkEnd w:id="4"/>
    </w:p>
    <w:p w14:paraId="046DC4C1" w14:textId="75274784" w:rsidR="00C92165" w:rsidRPr="006B0636" w:rsidRDefault="00C92165" w:rsidP="006B0636">
      <w:pPr>
        <w:pStyle w:val="Paragraphedeliste"/>
        <w:numPr>
          <w:ilvl w:val="1"/>
          <w:numId w:val="1"/>
        </w:numPr>
        <w:spacing w:line="360" w:lineRule="auto"/>
        <w:ind w:left="0" w:firstLine="0"/>
        <w:jc w:val="both"/>
        <w:rPr>
          <w:rFonts w:ascii="Verdana" w:hAnsi="Verdana"/>
          <w:sz w:val="20"/>
          <w:szCs w:val="20"/>
        </w:rPr>
      </w:pPr>
      <w:r>
        <w:rPr>
          <w:rFonts w:ascii="Verdana" w:hAnsi="Verdana"/>
          <w:b/>
          <w:sz w:val="20"/>
        </w:rPr>
        <w:t xml:space="preserve">Komponenty Objęte - </w:t>
      </w:r>
      <w:r>
        <w:rPr>
          <w:rFonts w:ascii="Verdana" w:hAnsi="Verdana"/>
          <w:sz w:val="20"/>
        </w:rPr>
        <w:t xml:space="preserve">Usługa Gwarancji Powertrain dotyczy wyłącznie głównych mechanicznych części </w:t>
      </w:r>
      <w:r>
        <w:rPr>
          <w:rFonts w:ascii="Verdana" w:hAnsi="Verdana"/>
          <w:b/>
          <w:sz w:val="20"/>
        </w:rPr>
        <w:t>silnika</w:t>
      </w:r>
      <w:r>
        <w:rPr>
          <w:rFonts w:ascii="Verdana" w:hAnsi="Verdana"/>
          <w:sz w:val="20"/>
        </w:rPr>
        <w:t xml:space="preserve"> i </w:t>
      </w:r>
      <w:r>
        <w:rPr>
          <w:rFonts w:ascii="Verdana" w:hAnsi="Verdana"/>
          <w:b/>
          <w:sz w:val="20"/>
        </w:rPr>
        <w:t>skrzyni biegów</w:t>
      </w:r>
      <w:r>
        <w:rPr>
          <w:rFonts w:ascii="Verdana" w:hAnsi="Verdana"/>
          <w:sz w:val="20"/>
        </w:rPr>
        <w:t xml:space="preserve"> Pojazdu, rozumianych jako:</w:t>
      </w:r>
    </w:p>
    <w:p w14:paraId="6A1C71C6" w14:textId="2DED2D95" w:rsidR="00C92165" w:rsidRPr="00C92165" w:rsidRDefault="00C92165" w:rsidP="00C92165">
      <w:pPr>
        <w:pStyle w:val="Paragraphedeliste"/>
        <w:numPr>
          <w:ilvl w:val="2"/>
          <w:numId w:val="1"/>
        </w:numPr>
        <w:spacing w:line="360" w:lineRule="auto"/>
        <w:jc w:val="both"/>
        <w:rPr>
          <w:rFonts w:ascii="Verdana" w:hAnsi="Verdana"/>
          <w:sz w:val="20"/>
          <w:szCs w:val="20"/>
        </w:rPr>
      </w:pPr>
      <w:r>
        <w:rPr>
          <w:rFonts w:ascii="Verdana" w:hAnsi="Verdana"/>
          <w:sz w:val="20"/>
        </w:rPr>
        <w:t xml:space="preserve">dla </w:t>
      </w:r>
      <w:r>
        <w:rPr>
          <w:rFonts w:ascii="Verdana" w:hAnsi="Verdana"/>
          <w:b/>
          <w:sz w:val="20"/>
        </w:rPr>
        <w:t>silnika</w:t>
      </w:r>
      <w:r>
        <w:rPr>
          <w:rFonts w:ascii="Verdana" w:hAnsi="Verdana"/>
          <w:sz w:val="20"/>
        </w:rPr>
        <w:t>: blok silnika, głowica, wał korbowy, tłoki, korbowody, zawory, wały rozrządu oraz inne elementy ściśle funkcjonalne dla działania jednostki napędowej;</w:t>
      </w:r>
    </w:p>
    <w:p w14:paraId="640778D3" w14:textId="6B1F1B3B" w:rsidR="00C92165" w:rsidRPr="006B0636" w:rsidRDefault="00C92165" w:rsidP="006B0636">
      <w:pPr>
        <w:pStyle w:val="Paragraphedeliste"/>
        <w:numPr>
          <w:ilvl w:val="2"/>
          <w:numId w:val="1"/>
        </w:numPr>
        <w:spacing w:line="360" w:lineRule="auto"/>
        <w:jc w:val="both"/>
        <w:rPr>
          <w:rFonts w:ascii="Verdana" w:hAnsi="Verdana"/>
          <w:sz w:val="20"/>
          <w:szCs w:val="20"/>
        </w:rPr>
      </w:pPr>
      <w:r>
        <w:rPr>
          <w:rFonts w:ascii="Verdana" w:hAnsi="Verdana"/>
          <w:sz w:val="20"/>
        </w:rPr>
        <w:t xml:space="preserve">dla </w:t>
      </w:r>
      <w:r>
        <w:rPr>
          <w:rFonts w:ascii="Verdana" w:hAnsi="Verdana"/>
          <w:b/>
          <w:sz w:val="20"/>
        </w:rPr>
        <w:t>skrzyni biegów</w:t>
      </w:r>
      <w:r>
        <w:rPr>
          <w:rFonts w:ascii="Verdana" w:hAnsi="Verdana"/>
          <w:sz w:val="20"/>
        </w:rPr>
        <w:t>: obudowa skrzyni biegów, przekładnie, wały, łożyska, mechanizm różnicowy i inne elementy ściśle funkcjonalne dla skrzyni biegów ręcznej lub automatycznej.</w:t>
      </w:r>
    </w:p>
    <w:p w14:paraId="4D14BCD6" w14:textId="77777777" w:rsidR="00C92165" w:rsidRPr="00C92165" w:rsidRDefault="00C92165" w:rsidP="00C92165">
      <w:pPr>
        <w:pStyle w:val="Paragraphedeliste"/>
        <w:numPr>
          <w:ilvl w:val="1"/>
          <w:numId w:val="1"/>
        </w:numPr>
        <w:spacing w:line="360" w:lineRule="auto"/>
        <w:ind w:left="0" w:firstLine="0"/>
        <w:jc w:val="both"/>
        <w:rPr>
          <w:rFonts w:ascii="Verdana" w:hAnsi="Verdana"/>
          <w:sz w:val="20"/>
          <w:szCs w:val="20"/>
        </w:rPr>
      </w:pPr>
      <w:r>
        <w:rPr>
          <w:rFonts w:ascii="Verdana" w:hAnsi="Verdana"/>
          <w:b/>
          <w:sz w:val="20"/>
        </w:rPr>
        <w:t>Komponenty</w:t>
      </w:r>
      <w:r>
        <w:rPr>
          <w:rFonts w:ascii="Verdana" w:hAnsi="Verdana"/>
          <w:sz w:val="20"/>
        </w:rPr>
        <w:t xml:space="preserve"> </w:t>
      </w:r>
      <w:r>
        <w:rPr>
          <w:rFonts w:ascii="Verdana" w:hAnsi="Verdana"/>
          <w:b/>
          <w:sz w:val="20"/>
        </w:rPr>
        <w:t xml:space="preserve">Wyłączone - </w:t>
      </w:r>
      <w:r>
        <w:rPr>
          <w:rFonts w:ascii="Verdana" w:hAnsi="Verdana"/>
          <w:sz w:val="20"/>
        </w:rPr>
        <w:t>Z zakresu Gwarancji Powertrain wyłączone są, w sposób przykładowy i niewyczerpujący:</w:t>
      </w:r>
    </w:p>
    <w:p w14:paraId="3A8868A4" w14:textId="6842E91D" w:rsidR="006B0636" w:rsidRPr="006B0636" w:rsidRDefault="006B0636" w:rsidP="006B0636">
      <w:pPr>
        <w:pStyle w:val="Paragraphedeliste"/>
        <w:numPr>
          <w:ilvl w:val="2"/>
          <w:numId w:val="1"/>
        </w:numPr>
        <w:spacing w:line="360" w:lineRule="auto"/>
        <w:jc w:val="both"/>
        <w:rPr>
          <w:rFonts w:ascii="Verdana" w:hAnsi="Verdana"/>
          <w:sz w:val="20"/>
          <w:szCs w:val="20"/>
        </w:rPr>
      </w:pPr>
      <w:r>
        <w:rPr>
          <w:rFonts w:ascii="Verdana" w:hAnsi="Verdana"/>
          <w:sz w:val="20"/>
        </w:rPr>
        <w:t xml:space="preserve">części podlegające normalnemu zużyciu (np. sprzęgło, tarcze, paski, filtry, uszczelki, tuleje, przewody, płyny i materiały eksploatacyjne); </w:t>
      </w:r>
    </w:p>
    <w:p w14:paraId="1E23205D" w14:textId="3B925C26" w:rsidR="006B0636" w:rsidRPr="006B0636" w:rsidRDefault="006B0636" w:rsidP="006B0636">
      <w:pPr>
        <w:pStyle w:val="Paragraphedeliste"/>
        <w:numPr>
          <w:ilvl w:val="2"/>
          <w:numId w:val="1"/>
        </w:numPr>
        <w:spacing w:line="360" w:lineRule="auto"/>
        <w:jc w:val="both"/>
        <w:rPr>
          <w:rFonts w:ascii="Verdana" w:hAnsi="Verdana"/>
          <w:sz w:val="20"/>
          <w:szCs w:val="20"/>
        </w:rPr>
      </w:pPr>
      <w:r>
        <w:rPr>
          <w:rFonts w:ascii="Verdana" w:hAnsi="Verdana"/>
          <w:sz w:val="20"/>
        </w:rPr>
        <w:t xml:space="preserve">układy elektryczne, elektroniczne, akcesoria niefunkcjonalne bezpośrednio dla silnika lub skrzyni biegów (np. alternator, rozrusznik, kable, sterowniki inne niż silnika lub skrzyni biegów); </w:t>
      </w:r>
    </w:p>
    <w:p w14:paraId="449D5FE2" w14:textId="587749D2" w:rsidR="006B0636" w:rsidRPr="006B0636" w:rsidRDefault="006B0636" w:rsidP="006B0636">
      <w:pPr>
        <w:pStyle w:val="Paragraphedeliste"/>
        <w:numPr>
          <w:ilvl w:val="2"/>
          <w:numId w:val="1"/>
        </w:numPr>
        <w:spacing w:line="360" w:lineRule="auto"/>
        <w:jc w:val="both"/>
        <w:rPr>
          <w:rFonts w:ascii="Verdana" w:hAnsi="Verdana"/>
          <w:sz w:val="20"/>
          <w:szCs w:val="20"/>
        </w:rPr>
      </w:pPr>
      <w:r>
        <w:rPr>
          <w:rFonts w:ascii="Verdana" w:hAnsi="Verdana"/>
          <w:sz w:val="20"/>
        </w:rPr>
        <w:t xml:space="preserve">układy wydechowe i systemy kontroli emisji (np. katalizatory, filtry cząstek stałych, zawory EGR, systemy AdBlue, sondy lambda); </w:t>
      </w:r>
    </w:p>
    <w:p w14:paraId="6474419B" w14:textId="1173D312" w:rsidR="006B0636" w:rsidRPr="006B0636" w:rsidRDefault="006B0636" w:rsidP="006B0636">
      <w:pPr>
        <w:pStyle w:val="Paragraphedeliste"/>
        <w:numPr>
          <w:ilvl w:val="2"/>
          <w:numId w:val="1"/>
        </w:numPr>
        <w:spacing w:line="360" w:lineRule="auto"/>
        <w:jc w:val="both"/>
        <w:rPr>
          <w:rFonts w:ascii="Verdana" w:hAnsi="Verdana"/>
          <w:sz w:val="20"/>
          <w:szCs w:val="20"/>
        </w:rPr>
      </w:pPr>
      <w:r>
        <w:rPr>
          <w:rFonts w:ascii="Verdana" w:hAnsi="Verdana"/>
          <w:sz w:val="20"/>
        </w:rPr>
        <w:t xml:space="preserve">elementy zewnętrzne względem silnika i skrzyni biegów (np. chłodnice, pompy wody, pompy wspomagające, sprężarka klimatyzacji, poduszki silnika, koło zamachowe); </w:t>
      </w:r>
    </w:p>
    <w:p w14:paraId="485EE47D" w14:textId="5D131A2C" w:rsidR="0070072B" w:rsidRPr="000826AD" w:rsidRDefault="000826AD" w:rsidP="006B0636">
      <w:pPr>
        <w:pStyle w:val="Paragraphedeliste"/>
        <w:numPr>
          <w:ilvl w:val="2"/>
          <w:numId w:val="1"/>
        </w:numPr>
        <w:spacing w:line="360" w:lineRule="auto"/>
        <w:jc w:val="both"/>
        <w:rPr>
          <w:rFonts w:ascii="Verdana" w:hAnsi="Verdana"/>
          <w:sz w:val="20"/>
          <w:szCs w:val="20"/>
        </w:rPr>
      </w:pPr>
      <w:r>
        <w:rPr>
          <w:rFonts w:ascii="Verdana" w:hAnsi="Verdana"/>
          <w:sz w:val="20"/>
        </w:rPr>
        <w:t xml:space="preserve">cały system klimatyzacji i ogrzewania wnętrza pojazdu, w tym – przykładowo – sprężarka klimatyzacji, skraplacz, parownik, wentylatory elektryczne, dmuchawy, przewody i złączki, czujniki, zawory rozprężne, sterowniki i moduły kontroli klimatyzacji; </w:t>
      </w:r>
    </w:p>
    <w:p w14:paraId="5B05D5B6" w14:textId="0DB73452" w:rsidR="006B0636" w:rsidRPr="006B0636" w:rsidRDefault="006B0636" w:rsidP="006B0636">
      <w:pPr>
        <w:pStyle w:val="Paragraphedeliste"/>
        <w:numPr>
          <w:ilvl w:val="2"/>
          <w:numId w:val="1"/>
        </w:numPr>
        <w:spacing w:line="360" w:lineRule="auto"/>
        <w:jc w:val="both"/>
        <w:rPr>
          <w:rFonts w:ascii="Verdana" w:hAnsi="Verdana"/>
          <w:sz w:val="20"/>
          <w:szCs w:val="20"/>
        </w:rPr>
      </w:pPr>
      <w:r>
        <w:rPr>
          <w:rFonts w:ascii="Verdana" w:hAnsi="Verdana"/>
          <w:sz w:val="20"/>
        </w:rPr>
        <w:t xml:space="preserve">szkody z powodu zderzeń, wypadków, pożaru, kradzieży, klęsk, niewłaściwego użytkowania lub ingerencji w pojazd; </w:t>
      </w:r>
    </w:p>
    <w:p w14:paraId="7EE5B713" w14:textId="24BD54E1" w:rsidR="00A35F4B" w:rsidRPr="00DC431C" w:rsidRDefault="006B0636" w:rsidP="00DC431C">
      <w:pPr>
        <w:pStyle w:val="Paragraphedeliste"/>
        <w:numPr>
          <w:ilvl w:val="2"/>
          <w:numId w:val="1"/>
        </w:numPr>
        <w:spacing w:line="360" w:lineRule="auto"/>
        <w:jc w:val="both"/>
        <w:rPr>
          <w:rFonts w:ascii="Verdana" w:hAnsi="Verdana"/>
          <w:sz w:val="20"/>
          <w:szCs w:val="20"/>
        </w:rPr>
      </w:pPr>
      <w:r>
        <w:rPr>
          <w:rFonts w:ascii="Verdana" w:hAnsi="Verdana"/>
          <w:sz w:val="20"/>
        </w:rPr>
        <w:lastRenderedPageBreak/>
        <w:t>usterki istniejące w momencie przekazania Pojazdu lub powstałe przed datą aktywacji Gwarancji Powertrain, w tym te, które wystąpiły w okresie karencji.</w:t>
      </w:r>
    </w:p>
    <w:p w14:paraId="0D6C5978" w14:textId="50733DFA" w:rsidR="00A35F4B" w:rsidRPr="006B0636" w:rsidRDefault="006B0636" w:rsidP="006B0636">
      <w:pPr>
        <w:pStyle w:val="Paragraphedeliste"/>
        <w:numPr>
          <w:ilvl w:val="1"/>
          <w:numId w:val="1"/>
        </w:numPr>
        <w:spacing w:line="360" w:lineRule="auto"/>
        <w:ind w:left="0" w:firstLine="0"/>
        <w:jc w:val="both"/>
        <w:rPr>
          <w:rFonts w:ascii="Verdana" w:hAnsi="Verdana"/>
          <w:sz w:val="20"/>
          <w:szCs w:val="20"/>
        </w:rPr>
      </w:pPr>
      <w:r>
        <w:rPr>
          <w:rFonts w:ascii="Verdana" w:hAnsi="Verdana"/>
          <w:b/>
          <w:sz w:val="20"/>
        </w:rPr>
        <w:t>Zasada zamkniętego katalogu</w:t>
      </w:r>
      <w:r>
        <w:rPr>
          <w:rFonts w:ascii="Verdana" w:hAnsi="Verdana"/>
          <w:sz w:val="20"/>
        </w:rPr>
        <w:t xml:space="preserve"> – Kupujący, aktywując Gwarancję Powertrain, akceptuje i uznaje, że ochrona dotyczy wyłącznie Komponentów Objętych wymienionych powyżej, a wszystko, co nie zostało wyraźnie uwzględnione, uważa się za wyłączone z Gwarancji.</w:t>
      </w:r>
    </w:p>
    <w:p w14:paraId="7FE06D07" w14:textId="77777777" w:rsidR="005A1ED2" w:rsidRPr="00E9150B" w:rsidRDefault="005A1ED2" w:rsidP="005A1ED2">
      <w:pPr>
        <w:pStyle w:val="Paragraphedeliste"/>
        <w:spacing w:line="360" w:lineRule="auto"/>
        <w:ind w:left="0"/>
        <w:jc w:val="both"/>
        <w:rPr>
          <w:rFonts w:ascii="Verdana" w:hAnsi="Verdana"/>
          <w:sz w:val="20"/>
          <w:szCs w:val="20"/>
        </w:rPr>
      </w:pPr>
    </w:p>
    <w:p w14:paraId="06209157" w14:textId="52698423" w:rsidR="00926289" w:rsidRPr="00E9150B" w:rsidRDefault="00A24646" w:rsidP="00476BC8">
      <w:pPr>
        <w:pStyle w:val="Paragraphedeliste"/>
        <w:numPr>
          <w:ilvl w:val="0"/>
          <w:numId w:val="1"/>
        </w:numPr>
        <w:spacing w:line="360" w:lineRule="auto"/>
        <w:ind w:left="0" w:firstLine="0"/>
        <w:outlineLvl w:val="0"/>
        <w:rPr>
          <w:rFonts w:ascii="Verdana" w:hAnsi="Verdana"/>
          <w:b/>
          <w:bCs/>
          <w:smallCaps/>
          <w:sz w:val="20"/>
          <w:szCs w:val="20"/>
        </w:rPr>
      </w:pPr>
      <w:bookmarkStart w:id="5" w:name="_Toc218958674"/>
      <w:r>
        <w:rPr>
          <w:rFonts w:ascii="Verdana" w:hAnsi="Verdana"/>
          <w:b/>
          <w:smallCaps/>
          <w:sz w:val="20"/>
        </w:rPr>
        <w:t>Początek, Okres Ważności i Warunki Skuteczności.</w:t>
      </w:r>
      <w:bookmarkEnd w:id="5"/>
    </w:p>
    <w:p w14:paraId="45086C4F" w14:textId="4B88F93F" w:rsidR="00F817FA" w:rsidRDefault="00A66925" w:rsidP="00F817FA">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Gwarancja Powertrain rozpoczyna się od daty przekazania Pojazdu Kupującemu, zgodnie z dokumentami sprzedaży i transportu.  Jeśli Gwarancja Powertrain została zakupiona po sprzedaży Pojazdu, jej początek przypada na datę wskazaną przez Fleequid® w dokumentacji umownej aktywacji Usługi, pod warunkiem że:</w:t>
      </w:r>
    </w:p>
    <w:p w14:paraId="6C1B9754" w14:textId="4F828E9E" w:rsidR="00F817FA" w:rsidRDefault="00A66925" w:rsidP="00F817FA">
      <w:pPr>
        <w:pStyle w:val="Paragraphedeliste"/>
        <w:numPr>
          <w:ilvl w:val="0"/>
          <w:numId w:val="28"/>
        </w:numPr>
        <w:spacing w:line="360" w:lineRule="auto"/>
        <w:jc w:val="both"/>
        <w:rPr>
          <w:rFonts w:ascii="Verdana" w:hAnsi="Verdana"/>
          <w:sz w:val="20"/>
          <w:szCs w:val="20"/>
        </w:rPr>
      </w:pPr>
      <w:r>
        <w:rPr>
          <w:rFonts w:ascii="Verdana" w:hAnsi="Verdana"/>
          <w:sz w:val="20"/>
        </w:rPr>
        <w:t xml:space="preserve">Pojazd został ponownie poddany oględzinom przez Fleequid® lub Fleequid® formalnie zrezygnowało z oględzin; </w:t>
      </w:r>
    </w:p>
    <w:p w14:paraId="13DED754" w14:textId="426EC859" w:rsidR="00F817FA" w:rsidRPr="00F817FA" w:rsidRDefault="00A66925" w:rsidP="00F817FA">
      <w:pPr>
        <w:pStyle w:val="Paragraphedeliste"/>
        <w:numPr>
          <w:ilvl w:val="0"/>
          <w:numId w:val="28"/>
        </w:numPr>
        <w:spacing w:line="360" w:lineRule="auto"/>
        <w:jc w:val="both"/>
        <w:rPr>
          <w:rFonts w:ascii="Verdana" w:hAnsi="Verdana"/>
          <w:sz w:val="20"/>
          <w:szCs w:val="20"/>
        </w:rPr>
      </w:pPr>
      <w:r>
        <w:rPr>
          <w:rFonts w:ascii="Verdana" w:hAnsi="Verdana"/>
          <w:sz w:val="20"/>
        </w:rPr>
        <w:t xml:space="preserve">Kupujący uiścił pełną opłatę za Usługę. </w:t>
      </w:r>
    </w:p>
    <w:p w14:paraId="481BA9A1" w14:textId="77BA7AB9" w:rsidR="00A24646" w:rsidRPr="00A24646" w:rsidRDefault="00A66925" w:rsidP="00A24646">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Kupujący akceptuje i uznaje, że Gwarancja Powertrain nie obejmuje usterek lub awarii istniejących lub ujawnionych przed przekazaniem Pojazdu, ani tych, które wystąpiły przed datą rozpoczęcia Usługi lub podczas Okresu karencji.</w:t>
      </w:r>
    </w:p>
    <w:p w14:paraId="1A04713F" w14:textId="1D1D8451" w:rsidR="00A24646" w:rsidRPr="00A24646" w:rsidRDefault="00231C5F" w:rsidP="00A24646">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Gwarancja Powertrain ma ustalony okres ważności, wybrany przez Kupującego w momencie zawarcia umowy, spośród następujących opcji :</w:t>
      </w:r>
    </w:p>
    <w:p w14:paraId="13EAF1C7" w14:textId="01DA92E0" w:rsidR="00231C5F" w:rsidRPr="00E52ADF" w:rsidRDefault="00231C5F" w:rsidP="00E52ADF">
      <w:pPr>
        <w:pStyle w:val="Paragraphedeliste"/>
        <w:numPr>
          <w:ilvl w:val="2"/>
          <w:numId w:val="1"/>
        </w:numPr>
        <w:spacing w:line="360" w:lineRule="auto"/>
        <w:jc w:val="both"/>
        <w:rPr>
          <w:rFonts w:ascii="Verdana" w:hAnsi="Verdana"/>
          <w:sz w:val="20"/>
          <w:szCs w:val="20"/>
        </w:rPr>
      </w:pPr>
      <w:r>
        <w:rPr>
          <w:rFonts w:ascii="Verdana" w:hAnsi="Verdana"/>
          <w:sz w:val="20"/>
        </w:rPr>
        <w:t>3 (trzy) miesiące lub 15 000 (piętnaście tysięcy) km,</w:t>
      </w:r>
    </w:p>
    <w:p w14:paraId="374A085B" w14:textId="06354E63" w:rsidR="00231C5F" w:rsidRPr="00E52ADF" w:rsidRDefault="00231C5F" w:rsidP="00E52ADF">
      <w:pPr>
        <w:pStyle w:val="Paragraphedeliste"/>
        <w:numPr>
          <w:ilvl w:val="2"/>
          <w:numId w:val="1"/>
        </w:numPr>
        <w:spacing w:line="360" w:lineRule="auto"/>
        <w:jc w:val="both"/>
        <w:rPr>
          <w:rFonts w:ascii="Verdana" w:hAnsi="Verdana"/>
          <w:sz w:val="20"/>
          <w:szCs w:val="20"/>
        </w:rPr>
      </w:pPr>
      <w:r>
        <w:rPr>
          <w:rFonts w:ascii="Verdana" w:hAnsi="Verdana"/>
          <w:sz w:val="20"/>
        </w:rPr>
        <w:t>6 (sześć) miesięcy lub 30 000 (trzydzieści tysięcy) km,</w:t>
      </w:r>
    </w:p>
    <w:p w14:paraId="2E2F5337" w14:textId="26BDFFB1" w:rsidR="00231C5F" w:rsidRPr="00E52ADF" w:rsidRDefault="00231C5F" w:rsidP="00E52ADF">
      <w:pPr>
        <w:pStyle w:val="Paragraphedeliste"/>
        <w:numPr>
          <w:ilvl w:val="2"/>
          <w:numId w:val="1"/>
        </w:numPr>
        <w:spacing w:line="360" w:lineRule="auto"/>
        <w:jc w:val="both"/>
        <w:rPr>
          <w:rFonts w:ascii="Verdana" w:hAnsi="Verdana"/>
          <w:sz w:val="20"/>
          <w:szCs w:val="20"/>
        </w:rPr>
      </w:pPr>
      <w:r>
        <w:rPr>
          <w:rFonts w:ascii="Verdana" w:hAnsi="Verdana"/>
          <w:sz w:val="20"/>
        </w:rPr>
        <w:t>9 (dziewięć) miesięcy lub 45 000 (czterdzieści pięć tysięcy) km,</w:t>
      </w:r>
    </w:p>
    <w:p w14:paraId="68983BBF" w14:textId="6D7DA48B" w:rsidR="00231C5F" w:rsidRPr="00E52ADF" w:rsidRDefault="00231C5F" w:rsidP="00E52ADF">
      <w:pPr>
        <w:pStyle w:val="Paragraphedeliste"/>
        <w:numPr>
          <w:ilvl w:val="2"/>
          <w:numId w:val="1"/>
        </w:numPr>
        <w:spacing w:line="360" w:lineRule="auto"/>
        <w:jc w:val="both"/>
        <w:rPr>
          <w:rFonts w:ascii="Verdana" w:hAnsi="Verdana"/>
          <w:sz w:val="20"/>
          <w:szCs w:val="20"/>
        </w:rPr>
      </w:pPr>
      <w:r>
        <w:rPr>
          <w:rFonts w:ascii="Verdana" w:hAnsi="Verdana"/>
          <w:sz w:val="20"/>
        </w:rPr>
        <w:t>12 (dwanaście) miesięcy lub 60 000 (sześćdziesiąt tysięcy) km.</w:t>
      </w:r>
    </w:p>
    <w:p w14:paraId="742D938B" w14:textId="4C953431" w:rsidR="00231C5F" w:rsidRPr="00A24646" w:rsidRDefault="00231C5F" w:rsidP="00E52ADF">
      <w:pPr>
        <w:pStyle w:val="Paragraphedeliste"/>
        <w:spacing w:line="360" w:lineRule="auto"/>
        <w:ind w:left="0"/>
        <w:jc w:val="both"/>
        <w:rPr>
          <w:rFonts w:ascii="Verdana" w:hAnsi="Verdana"/>
          <w:sz w:val="20"/>
          <w:szCs w:val="20"/>
        </w:rPr>
      </w:pPr>
      <w:r>
        <w:rPr>
          <w:rFonts w:ascii="Verdana" w:hAnsi="Verdana"/>
          <w:sz w:val="20"/>
        </w:rPr>
        <w:t>Usługa nie odnawia się automatycznie i wygasa z chwilą osiągnięcia pierwszej z następujących granic: upływu czasu lub limitu przebiegu kilometrowego wybranego przez Kupującego.</w:t>
      </w:r>
    </w:p>
    <w:p w14:paraId="05066F2F" w14:textId="1069C86F" w:rsidR="00A24646" w:rsidRDefault="004D7A52" w:rsidP="00A24646">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Gwarancja Powertrain może zostać aktywowana wyłącznie dla Pojazdów, które w dniu rozpoczęcia usługi (art. 4.1) spełniają następujące wymagania:</w:t>
      </w:r>
    </w:p>
    <w:p w14:paraId="65D09DEB" w14:textId="453AF5DC" w:rsidR="00A24646" w:rsidRPr="002E27C9" w:rsidRDefault="00231C5F" w:rsidP="00A24646">
      <w:pPr>
        <w:pStyle w:val="Paragraphedeliste"/>
        <w:numPr>
          <w:ilvl w:val="2"/>
          <w:numId w:val="1"/>
        </w:numPr>
        <w:spacing w:line="360" w:lineRule="auto"/>
        <w:jc w:val="both"/>
        <w:rPr>
          <w:rFonts w:ascii="Verdana" w:hAnsi="Verdana"/>
          <w:sz w:val="20"/>
          <w:szCs w:val="20"/>
        </w:rPr>
      </w:pPr>
      <w:r>
        <w:rPr>
          <w:rFonts w:ascii="Verdana" w:hAnsi="Verdana"/>
          <w:sz w:val="20"/>
        </w:rPr>
        <w:t xml:space="preserve">wiek nie wyższy niż 15 (piętnaście) lat od pierwszej rejestracji; </w:t>
      </w:r>
    </w:p>
    <w:p w14:paraId="7F8E26BE" w14:textId="7251536B" w:rsidR="00A24646" w:rsidRPr="00A24646" w:rsidRDefault="00231C5F" w:rsidP="00A24646">
      <w:pPr>
        <w:pStyle w:val="Paragraphedeliste"/>
        <w:numPr>
          <w:ilvl w:val="2"/>
          <w:numId w:val="1"/>
        </w:numPr>
        <w:spacing w:line="360" w:lineRule="auto"/>
        <w:jc w:val="both"/>
        <w:rPr>
          <w:rFonts w:ascii="Verdana" w:hAnsi="Verdana"/>
          <w:sz w:val="20"/>
          <w:szCs w:val="20"/>
        </w:rPr>
      </w:pPr>
      <w:r>
        <w:rPr>
          <w:rFonts w:ascii="Verdana" w:hAnsi="Verdana"/>
          <w:sz w:val="20"/>
        </w:rPr>
        <w:t xml:space="preserve">przebieg i udokumentowana konserwacja zgodnie z poniższą tabelą: </w:t>
      </w:r>
    </w:p>
    <w:tbl>
      <w:tblPr>
        <w:tblStyle w:val="Grilledutableau"/>
        <w:tblW w:w="0" w:type="auto"/>
        <w:tblLook w:val="04A0" w:firstRow="1" w:lastRow="0" w:firstColumn="1" w:lastColumn="0" w:noHBand="0" w:noVBand="1"/>
      </w:tblPr>
      <w:tblGrid>
        <w:gridCol w:w="2122"/>
        <w:gridCol w:w="2409"/>
        <w:gridCol w:w="5097"/>
      </w:tblGrid>
      <w:tr w:rsidR="00425387" w14:paraId="67032222" w14:textId="77777777" w:rsidTr="00E52ADF">
        <w:tc>
          <w:tcPr>
            <w:tcW w:w="2122" w:type="dxa"/>
          </w:tcPr>
          <w:p w14:paraId="5B821A90" w14:textId="1C4810E4" w:rsidR="00425387" w:rsidRPr="00E52ADF" w:rsidRDefault="00425387" w:rsidP="00E52ADF">
            <w:pPr>
              <w:pStyle w:val="Paragraphedeliste"/>
              <w:spacing w:line="360" w:lineRule="auto"/>
              <w:ind w:left="0" w:right="-1"/>
              <w:jc w:val="center"/>
              <w:rPr>
                <w:rFonts w:ascii="Verdana" w:hAnsi="Verdana"/>
                <w:b/>
                <w:bCs/>
                <w:sz w:val="20"/>
                <w:szCs w:val="20"/>
              </w:rPr>
            </w:pPr>
            <w:r>
              <w:rPr>
                <w:rFonts w:ascii="Verdana" w:hAnsi="Verdana"/>
                <w:b/>
                <w:sz w:val="20"/>
              </w:rPr>
              <w:t>Kategoria Pojazdu</w:t>
            </w:r>
          </w:p>
        </w:tc>
        <w:tc>
          <w:tcPr>
            <w:tcW w:w="2409" w:type="dxa"/>
          </w:tcPr>
          <w:p w14:paraId="2941DF08" w14:textId="0BCCD43D" w:rsidR="00425387" w:rsidRPr="00E52ADF" w:rsidRDefault="00425387" w:rsidP="00E52ADF">
            <w:pPr>
              <w:pStyle w:val="Paragraphedeliste"/>
              <w:spacing w:line="360" w:lineRule="auto"/>
              <w:ind w:left="0" w:right="-1"/>
              <w:jc w:val="center"/>
              <w:rPr>
                <w:rFonts w:ascii="Verdana" w:hAnsi="Verdana"/>
                <w:b/>
                <w:bCs/>
                <w:sz w:val="20"/>
                <w:szCs w:val="20"/>
              </w:rPr>
            </w:pPr>
            <w:r>
              <w:rPr>
                <w:rFonts w:ascii="Verdana" w:hAnsi="Verdana"/>
                <w:b/>
                <w:sz w:val="20"/>
              </w:rPr>
              <w:t xml:space="preserve">Standardowy limit przebiegu </w:t>
            </w:r>
          </w:p>
        </w:tc>
        <w:tc>
          <w:tcPr>
            <w:tcW w:w="5097" w:type="dxa"/>
          </w:tcPr>
          <w:p w14:paraId="5F15EBC7" w14:textId="0B33154B" w:rsidR="00425387" w:rsidRPr="00E52ADF" w:rsidRDefault="00425387" w:rsidP="00E52ADF">
            <w:pPr>
              <w:pStyle w:val="Paragraphedeliste"/>
              <w:spacing w:line="360" w:lineRule="auto"/>
              <w:ind w:left="0" w:right="-1"/>
              <w:jc w:val="center"/>
              <w:rPr>
                <w:rFonts w:ascii="Verdana" w:hAnsi="Verdana"/>
                <w:b/>
                <w:bCs/>
                <w:sz w:val="20"/>
                <w:szCs w:val="20"/>
              </w:rPr>
            </w:pPr>
            <w:r>
              <w:rPr>
                <w:rFonts w:ascii="Verdana" w:hAnsi="Verdana"/>
                <w:b/>
                <w:sz w:val="20"/>
              </w:rPr>
              <w:t xml:space="preserve">Dopuszczalność przekroczenia limitu </w:t>
            </w:r>
          </w:p>
        </w:tc>
      </w:tr>
      <w:tr w:rsidR="00425387" w14:paraId="0B6D59BE" w14:textId="77777777" w:rsidTr="00E52ADF">
        <w:tc>
          <w:tcPr>
            <w:tcW w:w="2122" w:type="dxa"/>
          </w:tcPr>
          <w:p w14:paraId="7E416151" w14:textId="121B8D0D" w:rsidR="00425387" w:rsidRDefault="6B38145D" w:rsidP="00E52ADF">
            <w:pPr>
              <w:pStyle w:val="Paragraphedeliste"/>
              <w:spacing w:line="360" w:lineRule="auto"/>
              <w:ind w:left="0" w:right="-1"/>
              <w:jc w:val="center"/>
              <w:rPr>
                <w:rFonts w:ascii="Verdana" w:hAnsi="Verdana"/>
                <w:sz w:val="20"/>
                <w:szCs w:val="20"/>
              </w:rPr>
            </w:pPr>
            <w:r>
              <w:rPr>
                <w:rFonts w:ascii="Verdana" w:hAnsi="Verdana"/>
                <w:sz w:val="20"/>
              </w:rPr>
              <w:t>Autobus klasy 1-2</w:t>
            </w:r>
          </w:p>
        </w:tc>
        <w:tc>
          <w:tcPr>
            <w:tcW w:w="2409" w:type="dxa"/>
          </w:tcPr>
          <w:p w14:paraId="2D3F6101" w14:textId="0C9692AF" w:rsidR="00425387" w:rsidRDefault="00A13523" w:rsidP="00E52ADF">
            <w:pPr>
              <w:pStyle w:val="Paragraphedeliste"/>
              <w:spacing w:line="360" w:lineRule="auto"/>
              <w:ind w:left="0" w:right="-1"/>
              <w:jc w:val="center"/>
              <w:rPr>
                <w:rFonts w:ascii="Verdana" w:hAnsi="Verdana"/>
                <w:sz w:val="20"/>
                <w:szCs w:val="20"/>
              </w:rPr>
            </w:pPr>
            <w:r>
              <w:rPr>
                <w:rFonts w:ascii="Verdana" w:hAnsi="Verdana"/>
                <w:sz w:val="20"/>
              </w:rPr>
              <w:t>≤ 500 000 km</w:t>
            </w:r>
          </w:p>
        </w:tc>
        <w:tc>
          <w:tcPr>
            <w:tcW w:w="5097" w:type="dxa"/>
          </w:tcPr>
          <w:p w14:paraId="73793183" w14:textId="757B3970" w:rsidR="00425387" w:rsidRDefault="00A13523" w:rsidP="00231C5F">
            <w:pPr>
              <w:pStyle w:val="Paragraphedeliste"/>
              <w:spacing w:line="360" w:lineRule="auto"/>
              <w:ind w:left="0" w:right="-1"/>
              <w:jc w:val="both"/>
              <w:rPr>
                <w:rFonts w:ascii="Verdana" w:hAnsi="Verdana"/>
                <w:sz w:val="20"/>
                <w:szCs w:val="20"/>
              </w:rPr>
            </w:pPr>
            <w:r>
              <w:rPr>
                <w:rFonts w:ascii="Verdana" w:hAnsi="Verdana"/>
                <w:sz w:val="20"/>
              </w:rPr>
              <w:t>Dopuszczalne, jeśli silnik i skrzynia biegów były przeglądane w ciągu ostatnich 250 000 km (z oficjalną dokumentacją)</w:t>
            </w:r>
          </w:p>
        </w:tc>
      </w:tr>
      <w:tr w:rsidR="00425387" w14:paraId="033168E4" w14:textId="77777777" w:rsidTr="00E52ADF">
        <w:tc>
          <w:tcPr>
            <w:tcW w:w="2122" w:type="dxa"/>
          </w:tcPr>
          <w:p w14:paraId="1A5B570E" w14:textId="3C08B935" w:rsidR="00425387" w:rsidRDefault="6B38145D" w:rsidP="00E52ADF">
            <w:pPr>
              <w:pStyle w:val="Paragraphedeliste"/>
              <w:spacing w:line="360" w:lineRule="auto"/>
              <w:ind w:left="0" w:right="-1"/>
              <w:jc w:val="center"/>
              <w:rPr>
                <w:rFonts w:ascii="Verdana" w:hAnsi="Verdana"/>
                <w:sz w:val="20"/>
                <w:szCs w:val="20"/>
              </w:rPr>
            </w:pPr>
            <w:r>
              <w:rPr>
                <w:rFonts w:ascii="Verdana" w:hAnsi="Verdana"/>
                <w:sz w:val="20"/>
              </w:rPr>
              <w:t xml:space="preserve">Klasa Autobusu </w:t>
            </w:r>
          </w:p>
          <w:p w14:paraId="7D1877E8" w14:textId="1C7DC1A5" w:rsidR="00425387" w:rsidRDefault="3C556E3D" w:rsidP="7B89E4D1">
            <w:pPr>
              <w:pStyle w:val="Paragraphedeliste"/>
              <w:spacing w:line="360" w:lineRule="auto"/>
              <w:ind w:left="0" w:right="-1"/>
              <w:jc w:val="center"/>
              <w:rPr>
                <w:rFonts w:ascii="Verdana" w:hAnsi="Verdana"/>
                <w:sz w:val="20"/>
                <w:szCs w:val="20"/>
              </w:rPr>
            </w:pPr>
            <w:r>
              <w:rPr>
                <w:rFonts w:ascii="Verdana" w:hAnsi="Verdana"/>
                <w:sz w:val="20"/>
              </w:rPr>
              <w:t>3</w:t>
            </w:r>
          </w:p>
        </w:tc>
        <w:tc>
          <w:tcPr>
            <w:tcW w:w="2409" w:type="dxa"/>
          </w:tcPr>
          <w:p w14:paraId="2EBCEDBA" w14:textId="18227C34" w:rsidR="00425387" w:rsidRDefault="00A13523" w:rsidP="00E52ADF">
            <w:pPr>
              <w:pStyle w:val="Paragraphedeliste"/>
              <w:spacing w:line="360" w:lineRule="auto"/>
              <w:ind w:left="0" w:right="-1"/>
              <w:jc w:val="center"/>
              <w:rPr>
                <w:rFonts w:ascii="Verdana" w:hAnsi="Verdana"/>
                <w:sz w:val="20"/>
                <w:szCs w:val="20"/>
              </w:rPr>
            </w:pPr>
            <w:r>
              <w:rPr>
                <w:rFonts w:ascii="Verdana" w:hAnsi="Verdana"/>
                <w:sz w:val="20"/>
              </w:rPr>
              <w:t>≤ 700 000 km</w:t>
            </w:r>
          </w:p>
        </w:tc>
        <w:tc>
          <w:tcPr>
            <w:tcW w:w="5097" w:type="dxa"/>
          </w:tcPr>
          <w:p w14:paraId="20F8C885" w14:textId="1D55B6B1" w:rsidR="00425387" w:rsidRDefault="00A13523" w:rsidP="00231C5F">
            <w:pPr>
              <w:pStyle w:val="Paragraphedeliste"/>
              <w:spacing w:line="360" w:lineRule="auto"/>
              <w:ind w:left="0" w:right="-1"/>
              <w:jc w:val="both"/>
              <w:rPr>
                <w:rFonts w:ascii="Verdana" w:hAnsi="Verdana"/>
                <w:sz w:val="20"/>
                <w:szCs w:val="20"/>
              </w:rPr>
            </w:pPr>
            <w:r>
              <w:rPr>
                <w:rFonts w:ascii="Verdana" w:hAnsi="Verdana"/>
                <w:sz w:val="20"/>
              </w:rPr>
              <w:t>Dozwolone, jeśli silnik i skrzynia biegów przeglądane w ciągu ostatnich 250 000 km (z oficjalną dokumentacją).</w:t>
            </w:r>
          </w:p>
        </w:tc>
      </w:tr>
      <w:tr w:rsidR="00425387" w14:paraId="7951D4DB" w14:textId="77777777" w:rsidTr="00E52ADF">
        <w:tc>
          <w:tcPr>
            <w:tcW w:w="2122" w:type="dxa"/>
          </w:tcPr>
          <w:p w14:paraId="1991ACC0" w14:textId="1247EB1A" w:rsidR="00425387" w:rsidRDefault="00A13523" w:rsidP="00E52ADF">
            <w:pPr>
              <w:pStyle w:val="Paragraphedeliste"/>
              <w:spacing w:line="360" w:lineRule="auto"/>
              <w:ind w:left="0" w:right="-1"/>
              <w:jc w:val="center"/>
              <w:rPr>
                <w:rFonts w:ascii="Verdana" w:hAnsi="Verdana"/>
                <w:sz w:val="20"/>
                <w:szCs w:val="20"/>
              </w:rPr>
            </w:pPr>
            <w:r>
              <w:rPr>
                <w:rFonts w:ascii="Verdana" w:hAnsi="Verdana"/>
                <w:sz w:val="20"/>
              </w:rPr>
              <w:lastRenderedPageBreak/>
              <w:t>Minibus klasy 1- A</w:t>
            </w:r>
          </w:p>
        </w:tc>
        <w:tc>
          <w:tcPr>
            <w:tcW w:w="2409" w:type="dxa"/>
          </w:tcPr>
          <w:p w14:paraId="049D04E4" w14:textId="189FBD04" w:rsidR="00425387" w:rsidRDefault="00A13523" w:rsidP="00E52ADF">
            <w:pPr>
              <w:pStyle w:val="Paragraphedeliste"/>
              <w:spacing w:line="360" w:lineRule="auto"/>
              <w:ind w:left="0" w:right="-1"/>
              <w:jc w:val="center"/>
              <w:rPr>
                <w:rFonts w:ascii="Verdana" w:hAnsi="Verdana"/>
                <w:sz w:val="20"/>
                <w:szCs w:val="20"/>
              </w:rPr>
            </w:pPr>
            <w:r>
              <w:rPr>
                <w:rFonts w:ascii="Verdana" w:hAnsi="Verdana"/>
                <w:sz w:val="20"/>
              </w:rPr>
              <w:t>≤ 120 000 km</w:t>
            </w:r>
          </w:p>
        </w:tc>
        <w:tc>
          <w:tcPr>
            <w:tcW w:w="5097" w:type="dxa"/>
          </w:tcPr>
          <w:p w14:paraId="16D15FB8" w14:textId="4964A8F0" w:rsidR="00425387" w:rsidRDefault="00A13523" w:rsidP="00231C5F">
            <w:pPr>
              <w:pStyle w:val="Paragraphedeliste"/>
              <w:spacing w:line="360" w:lineRule="auto"/>
              <w:ind w:left="0" w:right="-1"/>
              <w:jc w:val="both"/>
              <w:rPr>
                <w:rFonts w:ascii="Verdana" w:hAnsi="Verdana"/>
                <w:sz w:val="20"/>
                <w:szCs w:val="20"/>
              </w:rPr>
            </w:pPr>
            <w:r>
              <w:rPr>
                <w:rFonts w:ascii="Verdana" w:hAnsi="Verdana"/>
                <w:sz w:val="20"/>
              </w:rPr>
              <w:t>Dozwolone, jeśli silnik i skrzynia biegów przeglądane w ciągu ostatnich 100 000 km (z oficjalną dokumentacją).</w:t>
            </w:r>
          </w:p>
        </w:tc>
      </w:tr>
      <w:tr w:rsidR="00425387" w14:paraId="141B3779" w14:textId="77777777" w:rsidTr="00E52ADF">
        <w:tc>
          <w:tcPr>
            <w:tcW w:w="2122" w:type="dxa"/>
          </w:tcPr>
          <w:p w14:paraId="535FCC8B" w14:textId="54A67E4B" w:rsidR="00425387" w:rsidRDefault="00A13523" w:rsidP="00E52ADF">
            <w:pPr>
              <w:pStyle w:val="Paragraphedeliste"/>
              <w:spacing w:line="360" w:lineRule="auto"/>
              <w:ind w:left="0" w:right="-1"/>
              <w:jc w:val="center"/>
              <w:rPr>
                <w:rFonts w:ascii="Verdana" w:hAnsi="Verdana"/>
                <w:sz w:val="20"/>
                <w:szCs w:val="20"/>
              </w:rPr>
            </w:pPr>
            <w:r>
              <w:rPr>
                <w:rFonts w:ascii="Verdana" w:hAnsi="Verdana"/>
                <w:sz w:val="20"/>
              </w:rPr>
              <w:t>Minibus klasy 2- 3-B</w:t>
            </w:r>
          </w:p>
        </w:tc>
        <w:tc>
          <w:tcPr>
            <w:tcW w:w="2409" w:type="dxa"/>
          </w:tcPr>
          <w:p w14:paraId="1D36DB6C" w14:textId="2B06C484" w:rsidR="00425387" w:rsidRDefault="00A13523" w:rsidP="00E52ADF">
            <w:pPr>
              <w:pStyle w:val="Paragraphedeliste"/>
              <w:spacing w:line="360" w:lineRule="auto"/>
              <w:ind w:left="0" w:right="-1"/>
              <w:jc w:val="center"/>
              <w:rPr>
                <w:rFonts w:ascii="Verdana" w:hAnsi="Verdana"/>
                <w:sz w:val="20"/>
                <w:szCs w:val="20"/>
              </w:rPr>
            </w:pPr>
            <w:r>
              <w:rPr>
                <w:rFonts w:ascii="Verdana" w:hAnsi="Verdana"/>
                <w:sz w:val="20"/>
              </w:rPr>
              <w:t>≤ 150 000 km</w:t>
            </w:r>
          </w:p>
        </w:tc>
        <w:tc>
          <w:tcPr>
            <w:tcW w:w="5097" w:type="dxa"/>
          </w:tcPr>
          <w:p w14:paraId="5C8C796D" w14:textId="4F220DA5" w:rsidR="00425387" w:rsidRDefault="00A13523" w:rsidP="00231C5F">
            <w:pPr>
              <w:pStyle w:val="Paragraphedeliste"/>
              <w:spacing w:line="360" w:lineRule="auto"/>
              <w:ind w:left="0" w:right="-1"/>
              <w:jc w:val="both"/>
              <w:rPr>
                <w:rFonts w:ascii="Verdana" w:hAnsi="Verdana"/>
                <w:sz w:val="20"/>
                <w:szCs w:val="20"/>
              </w:rPr>
            </w:pPr>
            <w:r>
              <w:rPr>
                <w:rFonts w:ascii="Verdana" w:hAnsi="Verdana"/>
                <w:sz w:val="20"/>
              </w:rPr>
              <w:t>Dozwolone, jeśli silnik i skrzynia biegów przeglądane w ciągu ostatnich 100 000 km (z oficjalną dokumentacją).</w:t>
            </w:r>
          </w:p>
        </w:tc>
      </w:tr>
      <w:tr w:rsidR="00A13523" w14:paraId="2176B35A" w14:textId="77777777" w:rsidTr="7B89E4D1">
        <w:tc>
          <w:tcPr>
            <w:tcW w:w="2122" w:type="dxa"/>
          </w:tcPr>
          <w:p w14:paraId="0DD06719" w14:textId="1B18ACA6" w:rsidR="00A13523" w:rsidRDefault="00A13523" w:rsidP="00E52ADF">
            <w:pPr>
              <w:pStyle w:val="Paragraphedeliste"/>
              <w:spacing w:line="360" w:lineRule="auto"/>
              <w:ind w:left="0" w:right="-1"/>
              <w:jc w:val="center"/>
              <w:rPr>
                <w:rFonts w:ascii="Verdana" w:hAnsi="Verdana"/>
                <w:sz w:val="20"/>
                <w:szCs w:val="20"/>
              </w:rPr>
            </w:pPr>
            <w:r>
              <w:rPr>
                <w:rFonts w:ascii="Verdana" w:hAnsi="Verdana"/>
                <w:sz w:val="20"/>
              </w:rPr>
              <w:t>Autobus szkolny</w:t>
            </w:r>
          </w:p>
        </w:tc>
        <w:tc>
          <w:tcPr>
            <w:tcW w:w="2409" w:type="dxa"/>
          </w:tcPr>
          <w:p w14:paraId="0F0FEF3F" w14:textId="35FBFCE6" w:rsidR="00A13523" w:rsidRDefault="00A13523" w:rsidP="00E52ADF">
            <w:pPr>
              <w:pStyle w:val="Paragraphedeliste"/>
              <w:spacing w:line="360" w:lineRule="auto"/>
              <w:ind w:left="0" w:right="-1"/>
              <w:jc w:val="center"/>
              <w:rPr>
                <w:rFonts w:ascii="Verdana" w:hAnsi="Verdana"/>
                <w:sz w:val="20"/>
                <w:szCs w:val="20"/>
              </w:rPr>
            </w:pPr>
            <w:r>
              <w:rPr>
                <w:rFonts w:ascii="Verdana" w:hAnsi="Verdana"/>
                <w:sz w:val="20"/>
              </w:rPr>
              <w:t>≤ 120 000 km</w:t>
            </w:r>
          </w:p>
        </w:tc>
        <w:tc>
          <w:tcPr>
            <w:tcW w:w="5097" w:type="dxa"/>
          </w:tcPr>
          <w:p w14:paraId="7159EA19" w14:textId="26528551" w:rsidR="00A13523" w:rsidRDefault="00A13523" w:rsidP="00231C5F">
            <w:pPr>
              <w:pStyle w:val="Paragraphedeliste"/>
              <w:spacing w:line="360" w:lineRule="auto"/>
              <w:ind w:left="0" w:right="-1"/>
              <w:jc w:val="both"/>
              <w:rPr>
                <w:rFonts w:ascii="Verdana" w:hAnsi="Verdana"/>
                <w:sz w:val="20"/>
                <w:szCs w:val="20"/>
              </w:rPr>
            </w:pPr>
            <w:r>
              <w:rPr>
                <w:rFonts w:ascii="Verdana" w:hAnsi="Verdana"/>
                <w:sz w:val="20"/>
              </w:rPr>
              <w:t>Dozwolone, jeśli silnik i skrzynia biegów przeglądane w ciągu ostatnich 100 000 km (z oficjalną dokumentacją).</w:t>
            </w:r>
          </w:p>
        </w:tc>
      </w:tr>
    </w:tbl>
    <w:p w14:paraId="276AF417" w14:textId="77777777" w:rsidR="00231C5F" w:rsidRDefault="00231C5F" w:rsidP="00231C5F">
      <w:pPr>
        <w:pStyle w:val="Paragraphedeliste"/>
        <w:spacing w:line="360" w:lineRule="auto"/>
        <w:ind w:left="0" w:right="-1"/>
        <w:jc w:val="both"/>
        <w:rPr>
          <w:rFonts w:ascii="Verdana" w:hAnsi="Verdana"/>
          <w:sz w:val="20"/>
          <w:szCs w:val="20"/>
        </w:rPr>
      </w:pPr>
    </w:p>
    <w:p w14:paraId="3C121392" w14:textId="47125DB1" w:rsidR="00A13523" w:rsidRPr="00A24646" w:rsidRDefault="00A13523" w:rsidP="00E52ADF">
      <w:pPr>
        <w:pStyle w:val="Paragraphedeliste"/>
        <w:spacing w:line="360" w:lineRule="auto"/>
        <w:ind w:left="0" w:right="-1"/>
        <w:jc w:val="both"/>
        <w:rPr>
          <w:rFonts w:ascii="Verdana" w:hAnsi="Verdana"/>
          <w:sz w:val="20"/>
          <w:szCs w:val="20"/>
        </w:rPr>
      </w:pPr>
      <w:r>
        <w:rPr>
          <w:rFonts w:ascii="Verdana" w:hAnsi="Verdana"/>
          <w:sz w:val="20"/>
        </w:rPr>
        <w:t>Obecnie Usługa Gwarancji Powertrain jest dostępna tylko dla autobusów i minibusów.</w:t>
      </w:r>
      <w:r>
        <w:rPr>
          <w:rFonts w:ascii="Verdana" w:hAnsi="Verdana"/>
          <w:sz w:val="20"/>
        </w:rPr>
        <w:br/>
        <w:t>Fleequid® zastrzega sobie prawo do rozszerzenia, aktualizacji lub zmiany kategorii pojazdów objętych Gwarancją poprzez wyraźne wskazanie tego w dokumentacji przedumownej lub w odpowiednich załącznikach do niniejszych SWG, które zostaną udostępnione Kupującemu w momencie podpisania umowy.</w:t>
      </w:r>
    </w:p>
    <w:p w14:paraId="1170A182" w14:textId="088C4D4B" w:rsidR="00A24646" w:rsidRDefault="004471D3" w:rsidP="004471D3">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W przypadku zbycia lub przeniesienia własności pojazdu na osobę trzecią, Usługa Gwarancji Powertrain wygasa automatycznie i bez prawa do zwrotu kosztów. Przeniesienie Gwarancji na nowego właściciela jest możliwe wyłącznie za uprzednią pisemną zgodą Fleequid® i podlega uiszczeniu odpowiednich opłat przez pierwotnego lub kolejnego Kupującego. W każdym przypadku wygaśnięcie Usługi Gwarancji Powertrain pozostaje bez zmian w przypadku nieprzestrzegania przez Kupującego zobowiązań przewidzianych w niniejszych SWG.</w:t>
      </w:r>
    </w:p>
    <w:p w14:paraId="75AAB11C" w14:textId="288CF2D8" w:rsidR="00BC4650" w:rsidRPr="00BC4650" w:rsidRDefault="00BC4650" w:rsidP="00BC4650">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W przypadku zakupu Usługi Gwarancji Powertrain po sprzedaży Pojazdu (art. 4.1, ustęp drugi), ochrona zaczyna obowiązywać dopiero po upływie Okresu karencji wynoszącego 30 (trzydzieści) dni od rozpoczęcia świadczenia Usługi lub po przejechaniu przez pojazd pierwszych 1000 (tysiąca) kilometrów po tej dacie, w zależności od tego, które z tych zdarzeń nastąpi później. W Okresie karencji ewentualne awarie lub usterki nie są objęte gwarancją. Okres karencji nie ma zastosowania, jeśli Usługa została zakupiona jednocześnie z zakupem pojazdu w ramach procesu sprzedaży na Marketplace Fleequid®, przed dostawą samego Pojazdu.</w:t>
      </w:r>
    </w:p>
    <w:p w14:paraId="7AB42667" w14:textId="77777777" w:rsidR="007E5574" w:rsidRPr="00E9150B" w:rsidRDefault="007E5574" w:rsidP="00942685">
      <w:pPr>
        <w:pStyle w:val="Paragraphedeliste"/>
        <w:spacing w:line="360" w:lineRule="auto"/>
        <w:ind w:left="0"/>
        <w:jc w:val="both"/>
        <w:rPr>
          <w:rFonts w:ascii="Verdana" w:hAnsi="Verdana"/>
          <w:sz w:val="20"/>
          <w:szCs w:val="20"/>
        </w:rPr>
      </w:pPr>
    </w:p>
    <w:p w14:paraId="7390E1BB" w14:textId="3D1B2262" w:rsidR="00FF5A0D" w:rsidRPr="00A303B8" w:rsidRDefault="00BC4650" w:rsidP="00192E86">
      <w:pPr>
        <w:pStyle w:val="Paragraphedeliste"/>
        <w:numPr>
          <w:ilvl w:val="0"/>
          <w:numId w:val="1"/>
        </w:numPr>
        <w:spacing w:line="360" w:lineRule="auto"/>
        <w:ind w:left="0" w:firstLine="0"/>
        <w:jc w:val="both"/>
        <w:outlineLvl w:val="0"/>
        <w:rPr>
          <w:rFonts w:ascii="Verdana" w:hAnsi="Verdana"/>
          <w:sz w:val="20"/>
          <w:szCs w:val="20"/>
        </w:rPr>
      </w:pPr>
      <w:bookmarkStart w:id="6" w:name="_Toc218958675"/>
      <w:r>
        <w:rPr>
          <w:rFonts w:ascii="Verdana" w:hAnsi="Verdana"/>
          <w:b/>
          <w:smallCaps/>
          <w:sz w:val="20"/>
        </w:rPr>
        <w:t>Zakres terytorialny.</w:t>
      </w:r>
      <w:bookmarkStart w:id="7" w:name="_Toc199351819"/>
      <w:bookmarkEnd w:id="6"/>
      <w:bookmarkEnd w:id="7"/>
    </w:p>
    <w:p w14:paraId="751F09F0" w14:textId="071F6171" w:rsidR="00AF4E3A" w:rsidRDefault="00BC4650" w:rsidP="00BC4650">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 xml:space="preserve">Usługa Gwarancji Powertrain jest ważna i skuteczna dla pojazdów używanych i naprawianych w dowolnym kraju, chyba że Fleequid® wyraźnie poinformuje Kupującego o innych ograniczeniach lub wyłączeniach w dokumentacji przedumownej lub umowie o uruchomieniu Usługi. </w:t>
      </w:r>
    </w:p>
    <w:p w14:paraId="089CC7A4" w14:textId="59E9E7FE" w:rsidR="00BC4650" w:rsidRDefault="00A303B8" w:rsidP="00BC4650">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Naprawy gwarancyjne muszą być wykonywane w Centrach Autoryzowanych wskazanych lub zatwierdzonych przez Fleequid®. Wszelkie naprawy wykonane poza tymi Centrami powodują utratę prawa do gwarancji, chyba że Fleequid® wyrazi na to uprzednią zgodę na piśmie.</w:t>
      </w:r>
    </w:p>
    <w:p w14:paraId="7CA10D4A" w14:textId="2E497684" w:rsidR="00D90AF6" w:rsidRDefault="006016DC" w:rsidP="00D90AF6">
      <w:pPr>
        <w:pStyle w:val="Paragraphedeliste"/>
        <w:numPr>
          <w:ilvl w:val="1"/>
          <w:numId w:val="1"/>
        </w:numPr>
        <w:spacing w:line="360" w:lineRule="auto"/>
        <w:ind w:left="0" w:firstLine="0"/>
        <w:jc w:val="both"/>
        <w:rPr>
          <w:rFonts w:ascii="Verdana" w:hAnsi="Verdana"/>
          <w:sz w:val="20"/>
          <w:szCs w:val="20"/>
        </w:rPr>
      </w:pPr>
      <w:bookmarkStart w:id="8" w:name="_Hlk156756862"/>
      <w:r>
        <w:rPr>
          <w:rFonts w:ascii="Verdana" w:hAnsi="Verdana"/>
          <w:sz w:val="20"/>
        </w:rPr>
        <w:lastRenderedPageBreak/>
        <w:t>Kupujący akceptuje i przyjmuje do wiadomości, że w przypadku przeniesienia lub użytkowania Pojazdu w krajach, dla których Fleequid® podało określone ograniczenia, Usługa Gwarancji Powertrain jest nieaktywna przez cały okres pobytu w tych krajach.</w:t>
      </w:r>
    </w:p>
    <w:p w14:paraId="30F7F35B" w14:textId="77777777" w:rsidR="00A303B8" w:rsidRPr="00A303B8" w:rsidRDefault="00A303B8" w:rsidP="00A303B8">
      <w:pPr>
        <w:pStyle w:val="Paragraphedeliste"/>
        <w:spacing w:line="360" w:lineRule="auto"/>
        <w:ind w:left="0"/>
        <w:jc w:val="both"/>
        <w:rPr>
          <w:rFonts w:ascii="Verdana" w:hAnsi="Verdana"/>
          <w:sz w:val="20"/>
          <w:szCs w:val="20"/>
        </w:rPr>
      </w:pPr>
    </w:p>
    <w:p w14:paraId="4C8D39FD" w14:textId="1D648E01" w:rsidR="00D90AF6" w:rsidRPr="00FB6845" w:rsidRDefault="00A303B8" w:rsidP="00476BC8">
      <w:pPr>
        <w:pStyle w:val="Paragraphedeliste"/>
        <w:numPr>
          <w:ilvl w:val="0"/>
          <w:numId w:val="1"/>
        </w:numPr>
        <w:spacing w:line="360" w:lineRule="auto"/>
        <w:ind w:left="0" w:firstLine="0"/>
        <w:outlineLvl w:val="0"/>
        <w:rPr>
          <w:rFonts w:ascii="Verdana" w:hAnsi="Verdana"/>
          <w:b/>
          <w:bCs/>
          <w:smallCaps/>
          <w:sz w:val="20"/>
          <w:szCs w:val="20"/>
        </w:rPr>
      </w:pPr>
      <w:bookmarkStart w:id="9" w:name="_Toc218958676"/>
      <w:bookmarkEnd w:id="8"/>
      <w:r>
        <w:rPr>
          <w:rFonts w:ascii="Verdana" w:hAnsi="Verdana"/>
          <w:b/>
          <w:smallCaps/>
          <w:sz w:val="20"/>
        </w:rPr>
        <w:t>Zobowiązania Kupującego.</w:t>
      </w:r>
      <w:bookmarkEnd w:id="9"/>
    </w:p>
    <w:p w14:paraId="61FD79D9" w14:textId="597404F1" w:rsidR="00A41A40" w:rsidRDefault="00A303B8" w:rsidP="00F34212">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Kupujący jest zobowiązany do wykonywania lub zlecenia wykonania rutynowej i nadzwyczajnej konserwacji Pojazdu zgodnie z zaleceniami producenta i obowiązującymi przepisami, zachowując odpowiednią dokumentację (faktury, książki serwisowe, pokwitowania itp.), do okazania na żądanie Fleequid®.</w:t>
      </w:r>
    </w:p>
    <w:p w14:paraId="65AF3C58" w14:textId="174B48F0" w:rsidR="00A303B8" w:rsidRDefault="00A303B8" w:rsidP="00F34212">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Kupujący ma obowiązek zgłosić Fleequid® każdą awarię lub niesprawność w ciągu maksymalnie 5 (pięciu) dni roboczych od jej wystąpienia, przesyłając odpowiedni wniosek o interwencję zgodnie z procedurą wskazaną przez Fleequid® i załączając niezbędną dokumentację (opis awarii, przebieg, zdjęcia, kopię książki serwisowej itp.).</w:t>
      </w:r>
    </w:p>
    <w:p w14:paraId="663DA89D" w14:textId="0413E5F5" w:rsidR="009A7A6F" w:rsidRDefault="009A7A6F" w:rsidP="00F34212">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Kupujący nie może wykonywać ani zlecać wykonywania napraw lub interwencji dotyczących Komponentów Objętych bez uprzedniej pisemnej zgody Fleequid®. Wszelkie nieautoryzowane interwencje powodują utratę prawa do pokrycia kosztów związanych z usterkami.</w:t>
      </w:r>
    </w:p>
    <w:p w14:paraId="47B18232" w14:textId="5491B702" w:rsidR="009A7A6F" w:rsidRDefault="009A7A6F" w:rsidP="00F34212">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Kupujący ma obowiązek współpracować z Zaufanym Ekspertem wyznaczonym przez Fleequid® w zakresie niezbędnych kontroli i umożliwić mu dostęp do pojazdu dla przeprowadzenia kontroli.</w:t>
      </w:r>
    </w:p>
    <w:p w14:paraId="20CDC28B" w14:textId="0D334ED5" w:rsidR="009A7A6F" w:rsidRDefault="009A7A6F" w:rsidP="00F34212">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Kupujący jest zobowiązany do użytkowania Pojazdu zgodnie z przeznaczeniem, obowiązującymi przepisami i instrukcjami producenta, unikając przeciążania, manipulacji, niewłaściwego użytkowania lub innego użytkowania niezgodnego z zasadami należytej staranności zawodowej (zasada fair use).</w:t>
      </w:r>
    </w:p>
    <w:p w14:paraId="1D813601" w14:textId="7F0CE3AF" w:rsidR="009A7A6F" w:rsidRDefault="009A7A6F" w:rsidP="00F34212">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Przy pojawieniu się lampek ostrzegawczych, sygnałów dźwiękowych, nieprawidłowości w działaniu lub w okolicznościach, które mogą uzasadniać przypuszczenie, że dojdzie do uszkodzenia Komponentów Objętych, Kupujący musi natychmiast przerwać użytkowanie Pojazdu i wezwać pomoc Fleequid®. Kontynuowanie jazdy w takich warunkach powoduje utratę prawa do pokrycia kosztów dalszych lub poważniejszych szkód wynikających z takiej sytuacji.</w:t>
      </w:r>
    </w:p>
    <w:p w14:paraId="71849552" w14:textId="0AC0B234" w:rsidR="009A7A6F" w:rsidRDefault="009A7A6F" w:rsidP="00F34212">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Kupujący akceptuje i przyjmuje do wiadomości, że nieprzestrzeganie obowiązków określonych w niniejszym artykule powoduje całkowitą lub częściową utratę prawa do pokrycia kosztów przewidzianego w Usłudze Gwarancji Powertrain.</w:t>
      </w:r>
    </w:p>
    <w:p w14:paraId="0E3D799F" w14:textId="77777777" w:rsidR="003A749A" w:rsidRPr="00E9150B" w:rsidRDefault="003A749A" w:rsidP="0017040C">
      <w:pPr>
        <w:pStyle w:val="Paragraphedeliste"/>
        <w:spacing w:line="360" w:lineRule="auto"/>
        <w:ind w:left="0"/>
        <w:jc w:val="both"/>
        <w:rPr>
          <w:rFonts w:ascii="Verdana" w:eastAsia="Calibri" w:hAnsi="Verdana" w:cs="Arial"/>
          <w:sz w:val="20"/>
          <w:szCs w:val="20"/>
        </w:rPr>
      </w:pPr>
      <w:bookmarkStart w:id="10" w:name="_Hlk162163891"/>
    </w:p>
    <w:p w14:paraId="3A79EFED" w14:textId="3A0860F8" w:rsidR="0073753A" w:rsidRPr="00FB6845" w:rsidRDefault="00F23049" w:rsidP="00476BC8">
      <w:pPr>
        <w:pStyle w:val="Paragraphedeliste"/>
        <w:numPr>
          <w:ilvl w:val="0"/>
          <w:numId w:val="1"/>
        </w:numPr>
        <w:spacing w:line="360" w:lineRule="auto"/>
        <w:ind w:left="0" w:firstLine="0"/>
        <w:jc w:val="both"/>
        <w:outlineLvl w:val="0"/>
        <w:rPr>
          <w:rFonts w:ascii="Verdana" w:hAnsi="Verdana"/>
          <w:b/>
          <w:bCs/>
          <w:smallCaps/>
          <w:sz w:val="20"/>
          <w:szCs w:val="20"/>
        </w:rPr>
      </w:pPr>
      <w:bookmarkStart w:id="11" w:name="_Toc218958677"/>
      <w:r>
        <w:rPr>
          <w:rFonts w:ascii="Verdana" w:hAnsi="Verdana"/>
          <w:b/>
          <w:smallCaps/>
          <w:sz w:val="20"/>
        </w:rPr>
        <w:t>Zgłoszenie szkody.</w:t>
      </w:r>
      <w:bookmarkEnd w:id="11"/>
    </w:p>
    <w:p w14:paraId="1318E579" w14:textId="060DF7A1" w:rsidR="00C9213F" w:rsidRDefault="00D91881" w:rsidP="00C9213F">
      <w:pPr>
        <w:pStyle w:val="Paragraphedeliste"/>
        <w:numPr>
          <w:ilvl w:val="1"/>
          <w:numId w:val="1"/>
        </w:numPr>
        <w:spacing w:line="360" w:lineRule="auto"/>
        <w:ind w:left="0" w:firstLine="0"/>
        <w:jc w:val="both"/>
        <w:rPr>
          <w:rFonts w:ascii="Verdana" w:eastAsia="Calibri" w:hAnsi="Verdana" w:cs="Arial"/>
          <w:sz w:val="20"/>
          <w:szCs w:val="20"/>
        </w:rPr>
      </w:pPr>
      <w:r>
        <w:rPr>
          <w:rFonts w:ascii="Verdana" w:hAnsi="Verdana"/>
          <w:sz w:val="20"/>
        </w:rPr>
        <w:t>Niniejsza procedura ma na celu umożliwienie Fleequid® szybkie i skuteczne zarządzanie usterkami objętymi Usługą Gwarancji Powertrain, zapobiegając pogłębianiu się szkód i gwarantując, że naprawy będą wykonywane wyłącznie w Centrach Autoryzowanych.</w:t>
      </w:r>
    </w:p>
    <w:p w14:paraId="46DA9B0D" w14:textId="3C700929" w:rsidR="00D91881" w:rsidRDefault="00D91881" w:rsidP="00C9213F">
      <w:pPr>
        <w:pStyle w:val="Paragraphedeliste"/>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Kupujący jest zobowiązany zgłosić Fleequid® wystąpienie awarii lub nieprawidłowego działania poprzez pisemny wniosek, przesłany wyłącznie za pośrednictwem kanałów komunikacji </w:t>
      </w:r>
      <w:r>
        <w:rPr>
          <w:rFonts w:ascii="Verdana" w:hAnsi="Verdana"/>
          <w:sz w:val="20"/>
        </w:rPr>
        <w:lastRenderedPageBreak/>
        <w:t>wskazanych w punkcie 7.3. Zgłoszenie musi zostać dokonane nie później niż w ciągu 5 (pięciu) dni roboczych od wystąpienia awarii. Nieprzestrzeganie tego terminu powoduje automatyczną utratę prawa do pokrycia kosztów zgłoszonego zdarzenia.</w:t>
      </w:r>
    </w:p>
    <w:p w14:paraId="6881D941" w14:textId="19C0E8BC" w:rsidR="00D91881" w:rsidRPr="00D91881" w:rsidRDefault="00D91881" w:rsidP="00D91881">
      <w:pPr>
        <w:pStyle w:val="Paragraphedeliste"/>
        <w:numPr>
          <w:ilvl w:val="1"/>
          <w:numId w:val="1"/>
        </w:numPr>
        <w:spacing w:line="360" w:lineRule="auto"/>
        <w:ind w:left="0" w:firstLine="0"/>
        <w:jc w:val="both"/>
        <w:rPr>
          <w:rFonts w:ascii="Verdana" w:eastAsia="Calibri" w:hAnsi="Verdana" w:cs="Arial"/>
          <w:sz w:val="20"/>
          <w:szCs w:val="20"/>
        </w:rPr>
      </w:pPr>
      <w:r>
        <w:t xml:space="preserve">Zgłoszenie szkody należy przesłać wyłącznie na następujący adres e-mail: </w:t>
      </w:r>
      <w:hyperlink r:id="rId12" w:history="1">
        <w:r>
          <w:rPr>
            <w:rStyle w:val="Lienhypertexte"/>
            <w:rFonts w:ascii="Verdana" w:hAnsi="Verdana"/>
            <w:b/>
            <w:sz w:val="20"/>
          </w:rPr>
          <w:t>warranty@fleequid.com</w:t>
        </w:r>
      </w:hyperlink>
      <w:r>
        <w:t>.</w:t>
      </w:r>
      <w:r>
        <w:rPr>
          <w:rFonts w:ascii="Verdana" w:hAnsi="Verdana"/>
          <w:sz w:val="20"/>
        </w:rPr>
        <w:t xml:space="preserve"> Komunikaty przekazane za pośrednictwem innych kanałów nie są ważne i nie mają żadnego skutku dla celów Gwarancji, nawet jeśli dostarczono dowód odbioru przez Fleequid® (np. telefon, komunikatory internetowe, certyfikowana poczta elektroniczna, listy zwykłe lub inne adresy e-mail).</w:t>
      </w:r>
      <w:r>
        <w:rPr>
          <w:rFonts w:ascii="Times New Roman" w:hAnsi="Times New Roman"/>
          <w:sz w:val="24"/>
        </w:rPr>
        <w:t xml:space="preserve"> </w:t>
      </w:r>
    </w:p>
    <w:p w14:paraId="5AEB5E68" w14:textId="054CA5D0" w:rsidR="00D91881" w:rsidRPr="00D91881" w:rsidRDefault="00D91881" w:rsidP="00D91881">
      <w:pPr>
        <w:pStyle w:val="Paragraphedeliste"/>
        <w:numPr>
          <w:ilvl w:val="1"/>
          <w:numId w:val="1"/>
        </w:numPr>
        <w:spacing w:line="360" w:lineRule="auto"/>
        <w:ind w:left="0" w:firstLine="0"/>
        <w:jc w:val="both"/>
        <w:rPr>
          <w:rFonts w:ascii="Verdana" w:eastAsia="Calibri" w:hAnsi="Verdana" w:cs="Arial"/>
          <w:sz w:val="20"/>
          <w:szCs w:val="20"/>
        </w:rPr>
      </w:pPr>
      <w:r>
        <w:rPr>
          <w:rFonts w:ascii="Verdana" w:hAnsi="Verdana"/>
          <w:sz w:val="20"/>
        </w:rPr>
        <w:t>Zgłoszenie musi zawierać co najmniej:</w:t>
      </w:r>
    </w:p>
    <w:p w14:paraId="73F6E0C4" w14:textId="7B2C4FAA" w:rsidR="00D91881" w:rsidRPr="00D91881" w:rsidRDefault="00D91881" w:rsidP="00D91881">
      <w:pPr>
        <w:pStyle w:val="Paragraphedeliste"/>
        <w:numPr>
          <w:ilvl w:val="2"/>
          <w:numId w:val="1"/>
        </w:numPr>
        <w:spacing w:line="360" w:lineRule="auto"/>
        <w:jc w:val="both"/>
        <w:rPr>
          <w:rFonts w:ascii="Verdana" w:hAnsi="Verdana"/>
          <w:sz w:val="20"/>
          <w:szCs w:val="20"/>
        </w:rPr>
      </w:pPr>
      <w:r>
        <w:rPr>
          <w:rFonts w:ascii="Verdana" w:hAnsi="Verdana"/>
          <w:sz w:val="20"/>
        </w:rPr>
        <w:t>dane identyfikacyjne Kupującego i Pojazdu (numer rejestracyjny, numer podwozia/VIN, przebieg);</w:t>
      </w:r>
    </w:p>
    <w:p w14:paraId="6119B4B0" w14:textId="3A857668" w:rsidR="00D91881" w:rsidRPr="00D91881" w:rsidRDefault="00D91881" w:rsidP="00D91881">
      <w:pPr>
        <w:pStyle w:val="Paragraphedeliste"/>
        <w:numPr>
          <w:ilvl w:val="2"/>
          <w:numId w:val="1"/>
        </w:numPr>
        <w:spacing w:line="360" w:lineRule="auto"/>
        <w:jc w:val="both"/>
        <w:rPr>
          <w:rFonts w:ascii="Verdana" w:hAnsi="Verdana"/>
          <w:sz w:val="20"/>
          <w:szCs w:val="20"/>
        </w:rPr>
      </w:pPr>
      <w:r>
        <w:rPr>
          <w:rFonts w:ascii="Verdana" w:hAnsi="Verdana"/>
          <w:sz w:val="20"/>
        </w:rPr>
        <w:t>opis usterki lub awarii oraz datę jej wystąpienia;</w:t>
      </w:r>
    </w:p>
    <w:p w14:paraId="3235BCF3" w14:textId="179AA1C2" w:rsidR="00D91881" w:rsidRPr="00D91881" w:rsidRDefault="00D91881" w:rsidP="00D91881">
      <w:pPr>
        <w:pStyle w:val="Paragraphedeliste"/>
        <w:numPr>
          <w:ilvl w:val="2"/>
          <w:numId w:val="1"/>
        </w:numPr>
        <w:spacing w:line="360" w:lineRule="auto"/>
        <w:jc w:val="both"/>
        <w:rPr>
          <w:rFonts w:ascii="Verdana" w:hAnsi="Verdana"/>
          <w:sz w:val="20"/>
          <w:szCs w:val="20"/>
        </w:rPr>
      </w:pPr>
      <w:r>
        <w:rPr>
          <w:rFonts w:ascii="Verdana" w:hAnsi="Verdana"/>
          <w:sz w:val="20"/>
        </w:rPr>
        <w:t>miejsce, w którym znajduje się Pojazd;</w:t>
      </w:r>
    </w:p>
    <w:p w14:paraId="529E772A" w14:textId="60B975A4" w:rsidR="00D91881" w:rsidRPr="00D91881" w:rsidRDefault="00D91881" w:rsidP="00D91881">
      <w:pPr>
        <w:pStyle w:val="Paragraphedeliste"/>
        <w:numPr>
          <w:ilvl w:val="2"/>
          <w:numId w:val="1"/>
        </w:numPr>
        <w:spacing w:line="360" w:lineRule="auto"/>
        <w:jc w:val="both"/>
        <w:rPr>
          <w:rFonts w:ascii="Verdana" w:hAnsi="Verdana"/>
          <w:sz w:val="20"/>
          <w:szCs w:val="20"/>
        </w:rPr>
      </w:pPr>
      <w:r>
        <w:rPr>
          <w:rFonts w:ascii="Verdana" w:hAnsi="Verdana"/>
          <w:sz w:val="20"/>
        </w:rPr>
        <w:t>dokumentację fotograficzną (jeśli jest dostępna);</w:t>
      </w:r>
    </w:p>
    <w:p w14:paraId="12919147" w14:textId="46E93DFA" w:rsidR="00D91881" w:rsidRPr="00D91881" w:rsidRDefault="00D91881" w:rsidP="00E060D8">
      <w:pPr>
        <w:pStyle w:val="Paragraphedeliste"/>
        <w:numPr>
          <w:ilvl w:val="2"/>
          <w:numId w:val="1"/>
        </w:numPr>
        <w:spacing w:line="360" w:lineRule="auto"/>
        <w:jc w:val="both"/>
        <w:rPr>
          <w:rFonts w:ascii="Verdana" w:hAnsi="Verdana"/>
          <w:sz w:val="20"/>
          <w:szCs w:val="20"/>
        </w:rPr>
      </w:pPr>
      <w:r>
        <w:rPr>
          <w:rFonts w:ascii="Verdana" w:hAnsi="Verdana"/>
          <w:sz w:val="20"/>
        </w:rPr>
        <w:t>kopię dokumentacji konserwacji i poprzednich interwencji (jeśli wymagane).</w:t>
      </w:r>
    </w:p>
    <w:p w14:paraId="3B44EE3D" w14:textId="4155FD0A" w:rsidR="00D91881" w:rsidRPr="00E060D8" w:rsidRDefault="00E060D8" w:rsidP="00E060D8">
      <w:pPr>
        <w:pStyle w:val="Paragraphedeliste"/>
        <w:numPr>
          <w:ilvl w:val="1"/>
          <w:numId w:val="1"/>
        </w:numPr>
        <w:spacing w:line="360" w:lineRule="auto"/>
        <w:ind w:left="0" w:firstLine="0"/>
        <w:jc w:val="both"/>
        <w:rPr>
          <w:rFonts w:ascii="Verdana" w:eastAsia="Calibri" w:hAnsi="Verdana" w:cs="Arial"/>
          <w:sz w:val="20"/>
          <w:szCs w:val="20"/>
        </w:rPr>
      </w:pPr>
      <w:r>
        <w:rPr>
          <w:rFonts w:ascii="Verdana" w:hAnsi="Verdana"/>
          <w:sz w:val="20"/>
        </w:rPr>
        <w:t>Po otrzymaniu zgłoszenia Fleequid® otwiera sprawę, wyznacza Zaufanego Eksperta do przeprowadzenia kontroli technicznej, a następnie wydaje pisemną zgodę na ewentualne naprawy w Centrum Autoryzowanym. Wszelkie prace wykonane bez uprzedniej pisemnej zgody Fleequid® skutkują utratą prawa do ochrony ubezpieczeniowej.</w:t>
      </w:r>
    </w:p>
    <w:bookmarkEnd w:id="10"/>
    <w:p w14:paraId="10EA7607" w14:textId="77777777" w:rsidR="0097213E" w:rsidRPr="0097213E" w:rsidRDefault="0097213E" w:rsidP="0097213E">
      <w:pPr>
        <w:pStyle w:val="Paragraphedeliste"/>
        <w:spacing w:line="360" w:lineRule="auto"/>
        <w:ind w:left="0"/>
        <w:jc w:val="both"/>
        <w:rPr>
          <w:rFonts w:ascii="Verdana" w:eastAsia="Calibri" w:hAnsi="Verdana" w:cs="Arial"/>
          <w:sz w:val="20"/>
          <w:szCs w:val="20"/>
        </w:rPr>
      </w:pPr>
    </w:p>
    <w:p w14:paraId="60646328" w14:textId="53BEF2A3" w:rsidR="001A5C2A" w:rsidRPr="00FB6845" w:rsidRDefault="00C56FB0" w:rsidP="00476BC8">
      <w:pPr>
        <w:pStyle w:val="Paragraphedeliste"/>
        <w:numPr>
          <w:ilvl w:val="0"/>
          <w:numId w:val="1"/>
        </w:numPr>
        <w:spacing w:line="360" w:lineRule="auto"/>
        <w:ind w:left="0" w:firstLine="0"/>
        <w:jc w:val="both"/>
        <w:outlineLvl w:val="0"/>
        <w:rPr>
          <w:rFonts w:ascii="Verdana" w:hAnsi="Verdana"/>
          <w:b/>
          <w:bCs/>
          <w:smallCaps/>
          <w:sz w:val="20"/>
          <w:szCs w:val="20"/>
        </w:rPr>
      </w:pPr>
      <w:bookmarkStart w:id="12" w:name="_Toc218958678"/>
      <w:r>
        <w:rPr>
          <w:rFonts w:ascii="Verdana" w:hAnsi="Verdana"/>
          <w:b/>
          <w:smallCaps/>
          <w:sz w:val="20"/>
        </w:rPr>
        <w:t>Rozpatrywanie szkody.</w:t>
      </w:r>
      <w:bookmarkEnd w:id="12"/>
    </w:p>
    <w:p w14:paraId="76EAE7F1" w14:textId="77777777" w:rsidR="00C56FB0" w:rsidRDefault="00C56FB0" w:rsidP="00C56FB0">
      <w:pPr>
        <w:pStyle w:val="Paragraphedeliste"/>
        <w:numPr>
          <w:ilvl w:val="1"/>
          <w:numId w:val="1"/>
        </w:numPr>
        <w:spacing w:line="360" w:lineRule="auto"/>
        <w:ind w:left="0" w:firstLine="0"/>
        <w:jc w:val="both"/>
        <w:rPr>
          <w:rFonts w:ascii="Verdana" w:eastAsia="Calibri" w:hAnsi="Verdana" w:cs="Arial"/>
          <w:sz w:val="20"/>
          <w:szCs w:val="20"/>
        </w:rPr>
      </w:pPr>
      <w:r>
        <w:rPr>
          <w:rFonts w:ascii="Verdana" w:hAnsi="Verdana"/>
          <w:sz w:val="20"/>
        </w:rPr>
        <w:t>Po otrzymaniu zgłoszenia szkody zgodnie z art. 7, Fleequid® otwiera sprawę i może, według uznania, wyznaczyć Zaufanego Eksperta, którego zadaniem jest ustalenie przyczyn awarii i sprawdzenie warunków działania Usługi Gwarancji Powertrain.</w:t>
      </w:r>
    </w:p>
    <w:p w14:paraId="50E3E5A8" w14:textId="6BE191CA" w:rsidR="00C56FB0" w:rsidRDefault="00C56FB0" w:rsidP="00C56FB0">
      <w:pPr>
        <w:pStyle w:val="Paragraphedeliste"/>
        <w:numPr>
          <w:ilvl w:val="1"/>
          <w:numId w:val="1"/>
        </w:numPr>
        <w:spacing w:line="360" w:lineRule="auto"/>
        <w:ind w:left="0" w:firstLine="0"/>
        <w:jc w:val="both"/>
        <w:rPr>
          <w:rFonts w:ascii="Verdana" w:eastAsia="Calibri" w:hAnsi="Verdana" w:cs="Arial"/>
          <w:sz w:val="20"/>
          <w:szCs w:val="20"/>
        </w:rPr>
      </w:pPr>
      <w:r>
        <w:rPr>
          <w:rFonts w:ascii="Verdana" w:hAnsi="Verdana"/>
          <w:sz w:val="20"/>
        </w:rPr>
        <w:t>Kupujący jest zobowiązany do:</w:t>
      </w:r>
    </w:p>
    <w:p w14:paraId="36DA3048" w14:textId="793787B6" w:rsidR="00C56FB0" w:rsidRPr="00C56FB0" w:rsidRDefault="00C56FB0" w:rsidP="00C56FB0">
      <w:pPr>
        <w:pStyle w:val="Paragraphedeliste"/>
        <w:numPr>
          <w:ilvl w:val="2"/>
          <w:numId w:val="1"/>
        </w:numPr>
        <w:spacing w:line="360" w:lineRule="auto"/>
        <w:jc w:val="both"/>
        <w:rPr>
          <w:rFonts w:ascii="Verdana" w:hAnsi="Verdana"/>
          <w:sz w:val="20"/>
          <w:szCs w:val="20"/>
        </w:rPr>
      </w:pPr>
      <w:r>
        <w:rPr>
          <w:rFonts w:ascii="Verdana" w:hAnsi="Verdana"/>
          <w:sz w:val="20"/>
        </w:rPr>
        <w:t>udostępnienia Pojazdu Zaufanemu Ekspertowi i umożliwienia mu przeprowadzenia wszelkich niezbędnych kontroli;</w:t>
      </w:r>
    </w:p>
    <w:p w14:paraId="12B48FF1" w14:textId="77777777" w:rsidR="00C56FB0" w:rsidRPr="00C56FB0" w:rsidRDefault="00C56FB0" w:rsidP="00C56FB0">
      <w:pPr>
        <w:pStyle w:val="Paragraphedeliste"/>
        <w:numPr>
          <w:ilvl w:val="2"/>
          <w:numId w:val="1"/>
        </w:numPr>
        <w:spacing w:line="360" w:lineRule="auto"/>
        <w:jc w:val="both"/>
        <w:rPr>
          <w:rFonts w:ascii="Verdana" w:hAnsi="Verdana"/>
          <w:sz w:val="20"/>
          <w:szCs w:val="20"/>
        </w:rPr>
      </w:pPr>
      <w:r>
        <w:rPr>
          <w:rFonts w:ascii="Verdana" w:hAnsi="Verdana"/>
          <w:sz w:val="20"/>
        </w:rPr>
        <w:t>powstrzymania się od samodzielnego wykonywania lub zlecania jakichkolwiek badań technicznych, demontażu lub interwencji, które mogłyby utrudnić ustalenie przyczyn szkody.</w:t>
      </w:r>
    </w:p>
    <w:p w14:paraId="76E1D49A" w14:textId="77777777" w:rsidR="00510655" w:rsidRDefault="00C56FB0" w:rsidP="00510655">
      <w:pPr>
        <w:spacing w:line="360" w:lineRule="auto"/>
        <w:jc w:val="both"/>
        <w:rPr>
          <w:rFonts w:ascii="Verdana" w:hAnsi="Verdana"/>
          <w:sz w:val="20"/>
          <w:szCs w:val="20"/>
        </w:rPr>
      </w:pPr>
      <w:r>
        <w:rPr>
          <w:rFonts w:ascii="Verdana" w:hAnsi="Verdana"/>
          <w:sz w:val="20"/>
        </w:rPr>
        <w:t>Naruszenie tych obowiązków prowadzi do automatycznej utraty prawa do pokrycia kosztów zgłoszonego zdarzenia.</w:t>
      </w:r>
    </w:p>
    <w:p w14:paraId="0C60CB41" w14:textId="77777777" w:rsidR="00510655" w:rsidRPr="00510655" w:rsidRDefault="00510655" w:rsidP="00510655">
      <w:pPr>
        <w:pStyle w:val="Paragraphedeliste"/>
        <w:numPr>
          <w:ilvl w:val="1"/>
          <w:numId w:val="1"/>
        </w:numPr>
        <w:spacing w:line="360" w:lineRule="auto"/>
        <w:ind w:left="0" w:firstLine="0"/>
        <w:jc w:val="both"/>
        <w:rPr>
          <w:rFonts w:ascii="Verdana" w:eastAsia="Calibri" w:hAnsi="Verdana" w:cs="Arial"/>
          <w:sz w:val="20"/>
          <w:szCs w:val="20"/>
        </w:rPr>
      </w:pPr>
      <w:r>
        <w:rPr>
          <w:rFonts w:ascii="Verdana" w:hAnsi="Verdana"/>
          <w:sz w:val="20"/>
        </w:rPr>
        <w:t>Fleequid® poinformuje Kupującego o wyniku postępowania w ciągu 10 (dziesięciu) dni roboczych od otrzymania raportu Zaufanego Eksperta, jeśli wyznaczony, lub od zakończenia wewnętrznej oceny.</w:t>
      </w:r>
    </w:p>
    <w:p w14:paraId="2FF347D4" w14:textId="04B4A8F4" w:rsidR="00C56FB0" w:rsidRDefault="00510655" w:rsidP="003727BA">
      <w:pPr>
        <w:pStyle w:val="Paragraphedeliste"/>
        <w:numPr>
          <w:ilvl w:val="1"/>
          <w:numId w:val="1"/>
        </w:numPr>
        <w:spacing w:line="360" w:lineRule="auto"/>
        <w:ind w:left="0" w:firstLine="0"/>
        <w:jc w:val="both"/>
        <w:rPr>
          <w:rFonts w:ascii="Verdana" w:eastAsia="Calibri" w:hAnsi="Verdana" w:cs="Arial"/>
          <w:sz w:val="20"/>
          <w:szCs w:val="20"/>
        </w:rPr>
      </w:pPr>
      <w:r>
        <w:rPr>
          <w:rFonts w:ascii="Verdana" w:hAnsi="Verdana"/>
          <w:sz w:val="20"/>
        </w:rPr>
        <w:t>Wynikiem rozpatrzenia szkody może być:</w:t>
      </w:r>
    </w:p>
    <w:p w14:paraId="6E562672" w14:textId="66D1B3AC" w:rsidR="00510655" w:rsidRPr="00510655" w:rsidRDefault="00510655" w:rsidP="00510655">
      <w:pPr>
        <w:pStyle w:val="Paragraphedeliste"/>
        <w:numPr>
          <w:ilvl w:val="0"/>
          <w:numId w:val="31"/>
        </w:numPr>
        <w:spacing w:line="360" w:lineRule="auto"/>
        <w:jc w:val="both"/>
        <w:rPr>
          <w:rFonts w:ascii="Verdana" w:eastAsia="Calibri" w:hAnsi="Verdana" w:cs="Arial"/>
          <w:sz w:val="20"/>
          <w:szCs w:val="20"/>
        </w:rPr>
      </w:pPr>
      <w:r>
        <w:rPr>
          <w:rFonts w:ascii="Verdana" w:hAnsi="Verdana"/>
          <w:sz w:val="20"/>
        </w:rPr>
        <w:t>zezwolenie na naprawę lub wymianę Komponentów Objętych w Centrum Autoryzowanym, przy czym koszty pokrywa Fleequid® w granicach niniejszych SWG;</w:t>
      </w:r>
    </w:p>
    <w:p w14:paraId="54439299" w14:textId="1E9B5AB7" w:rsidR="00510655" w:rsidRPr="00510655" w:rsidRDefault="00981B52" w:rsidP="00510655">
      <w:pPr>
        <w:pStyle w:val="Paragraphedeliste"/>
        <w:numPr>
          <w:ilvl w:val="0"/>
          <w:numId w:val="31"/>
        </w:numPr>
        <w:spacing w:line="360" w:lineRule="auto"/>
        <w:jc w:val="both"/>
        <w:rPr>
          <w:rFonts w:ascii="Verdana" w:eastAsia="Calibri" w:hAnsi="Verdana" w:cs="Arial"/>
          <w:sz w:val="20"/>
          <w:szCs w:val="20"/>
        </w:rPr>
      </w:pPr>
      <w:r>
        <w:rPr>
          <w:rFonts w:ascii="Verdana" w:hAnsi="Verdana"/>
          <w:sz w:val="20"/>
        </w:rPr>
        <w:lastRenderedPageBreak/>
        <w:t>w pozostałych przypadkach, jeśli Fleequid® uzna to za stosowne, możliwość upoważnienia Kupującego do wykonania naprawy w swoim zaufanym centrum, z późniejszym zwrotem wyłącznie faktycznie poniesionych i udokumentowanych kosztów, po dostarczeniu Fleequid® oryginalnych faktur, sprawdzeniu zgodności z niniejszymi SWG i dostarczeniu dowodów płatności. Płatność ze strony Fleequid® nastąpi w ciągu 30 (trzydziestu) dni roboczych od pozytywnego wyniku weryfikacji;</w:t>
      </w:r>
    </w:p>
    <w:p w14:paraId="31CA8E55" w14:textId="6B1A9ADE" w:rsidR="00510655" w:rsidRPr="00510655" w:rsidRDefault="00510655" w:rsidP="00510655">
      <w:pPr>
        <w:pStyle w:val="Paragraphedeliste"/>
        <w:numPr>
          <w:ilvl w:val="0"/>
          <w:numId w:val="31"/>
        </w:numPr>
        <w:spacing w:line="360" w:lineRule="auto"/>
        <w:jc w:val="both"/>
        <w:rPr>
          <w:rFonts w:ascii="Verdana" w:eastAsia="Calibri" w:hAnsi="Verdana" w:cs="Arial"/>
          <w:sz w:val="20"/>
          <w:szCs w:val="20"/>
        </w:rPr>
      </w:pPr>
      <w:r>
        <w:rPr>
          <w:rFonts w:ascii="Verdana" w:hAnsi="Verdana"/>
          <w:sz w:val="20"/>
        </w:rPr>
        <w:t>odrzucenie zgłoszenia, jeśli nie zachodzą warunki działania Usługi Gwarancji Powertrain.</w:t>
      </w:r>
    </w:p>
    <w:p w14:paraId="698B8800" w14:textId="1AB7E453" w:rsidR="00510655" w:rsidRPr="00510655" w:rsidRDefault="00510655" w:rsidP="00510655">
      <w:pPr>
        <w:pStyle w:val="Paragraphedeliste"/>
        <w:numPr>
          <w:ilvl w:val="1"/>
          <w:numId w:val="1"/>
        </w:numPr>
        <w:spacing w:line="360" w:lineRule="auto"/>
        <w:ind w:left="0" w:firstLine="0"/>
        <w:jc w:val="both"/>
        <w:rPr>
          <w:rFonts w:ascii="Verdana" w:eastAsia="Calibri" w:hAnsi="Verdana" w:cs="Arial"/>
          <w:sz w:val="20"/>
          <w:szCs w:val="20"/>
        </w:rPr>
      </w:pPr>
      <w:r>
        <w:rPr>
          <w:rFonts w:ascii="Verdana" w:hAnsi="Verdana"/>
          <w:sz w:val="20"/>
        </w:rPr>
        <w:t>Wszelkie naprawy podlegają uprzedniej pisemnej autoryzacji Fleequid®. W przypadku braku takiej autoryzacji, koszty ponosi w całości Kupujący.</w:t>
      </w:r>
    </w:p>
    <w:p w14:paraId="181326FA" w14:textId="77777777" w:rsidR="00A34054" w:rsidRPr="00E9150B" w:rsidRDefault="00A34054" w:rsidP="00A34054">
      <w:pPr>
        <w:pStyle w:val="Paragraphedeliste"/>
        <w:spacing w:line="360" w:lineRule="auto"/>
        <w:ind w:left="0"/>
        <w:jc w:val="both"/>
        <w:rPr>
          <w:rFonts w:ascii="Verdana" w:eastAsia="Calibri" w:hAnsi="Verdana" w:cs="Arial"/>
          <w:sz w:val="20"/>
          <w:szCs w:val="20"/>
        </w:rPr>
      </w:pPr>
    </w:p>
    <w:p w14:paraId="29E3917A" w14:textId="16E35FAD" w:rsidR="0017040C" w:rsidRPr="00E9150B" w:rsidRDefault="00F55404" w:rsidP="00476BC8">
      <w:pPr>
        <w:pStyle w:val="Paragraphedeliste"/>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8958679"/>
      <w:r>
        <w:rPr>
          <w:rFonts w:ascii="Verdana" w:hAnsi="Verdana"/>
          <w:b/>
          <w:smallCaps/>
          <w:sz w:val="20"/>
        </w:rPr>
        <w:t>Limity pokrycia i odpowiedzialności.</w:t>
      </w:r>
      <w:bookmarkEnd w:id="14"/>
    </w:p>
    <w:p w14:paraId="059723AD" w14:textId="58E4FF01" w:rsidR="00945431" w:rsidRPr="00A37A30" w:rsidRDefault="00945431">
      <w:pPr>
        <w:pStyle w:val="Paragraphedeliste"/>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Usługa Gwarancji Powertrain obejmuje wyłącznie naprawę lub wymianę Komponentów Objętych, w granicach, na warunkach i zgodnie z zasadami określonymi w niniejszych SWG. Fleequid® ponosi wyłącznie ryzyko ekonomiczne wynikające ze straty finansowej związanej z koniecznością naprawy lub wymiany takich komponentów, bez dalszych zobowiązań dotyczących odszkodowania, zwrotu kosztów lub rekompensaty.</w:t>
      </w:r>
    </w:p>
    <w:p w14:paraId="78C4EE9B" w14:textId="62DBE3E4" w:rsidR="00866BEB" w:rsidRPr="00945431" w:rsidRDefault="00197591">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W szczególności Fleequid® nie ponosi odpowiedzialności za:</w:t>
      </w:r>
    </w:p>
    <w:p w14:paraId="1164E494" w14:textId="77777777" w:rsidR="00866BEB" w:rsidRPr="00866BEB" w:rsidRDefault="00866BEB" w:rsidP="00866BEB">
      <w:pPr>
        <w:pStyle w:val="Paragraphedeliste"/>
        <w:numPr>
          <w:ilvl w:val="2"/>
          <w:numId w:val="1"/>
        </w:numPr>
        <w:spacing w:line="360" w:lineRule="auto"/>
        <w:jc w:val="both"/>
        <w:rPr>
          <w:rFonts w:ascii="Verdana" w:hAnsi="Verdana"/>
          <w:sz w:val="20"/>
          <w:szCs w:val="20"/>
        </w:rPr>
      </w:pPr>
      <w:r>
        <w:rPr>
          <w:rFonts w:ascii="Verdana" w:hAnsi="Verdana"/>
          <w:sz w:val="20"/>
        </w:rPr>
        <w:t>szkody bezpośrednie lub pośrednie wynikające z awarii Komponentów Objętych (w tym m.in. przestój techniczny, niemożność korzystania z Pojazdu, utrata obrotów lub kontraktów, szkody wizerunkowe lub utrata klientów);</w:t>
      </w:r>
    </w:p>
    <w:p w14:paraId="7330E45C" w14:textId="77777777" w:rsidR="00866BEB" w:rsidRPr="00866BEB" w:rsidRDefault="00866BEB" w:rsidP="00866BEB">
      <w:pPr>
        <w:pStyle w:val="Paragraphedeliste"/>
        <w:numPr>
          <w:ilvl w:val="2"/>
          <w:numId w:val="1"/>
        </w:numPr>
        <w:spacing w:line="360" w:lineRule="auto"/>
        <w:jc w:val="both"/>
        <w:rPr>
          <w:rFonts w:ascii="Verdana" w:hAnsi="Verdana"/>
          <w:sz w:val="20"/>
          <w:szCs w:val="20"/>
        </w:rPr>
      </w:pPr>
      <w:r>
        <w:rPr>
          <w:rFonts w:ascii="Verdana" w:hAnsi="Verdana"/>
          <w:sz w:val="20"/>
        </w:rPr>
        <w:t>szkody wyrządzone osobom, rzeczom lub zwierzętom w wyniku awarii lub naprawy Komponentów Objętych;</w:t>
      </w:r>
    </w:p>
    <w:p w14:paraId="1B4BD8F0" w14:textId="2375169C" w:rsidR="00866BEB" w:rsidRPr="00866BEB" w:rsidRDefault="00EF2FCE" w:rsidP="00866BEB">
      <w:pPr>
        <w:pStyle w:val="Paragraphedeliste"/>
        <w:numPr>
          <w:ilvl w:val="2"/>
          <w:numId w:val="1"/>
        </w:numPr>
        <w:spacing w:line="360" w:lineRule="auto"/>
        <w:jc w:val="both"/>
        <w:rPr>
          <w:rFonts w:ascii="Verdana" w:hAnsi="Verdana"/>
          <w:sz w:val="20"/>
          <w:szCs w:val="20"/>
        </w:rPr>
      </w:pPr>
      <w:r>
        <w:rPr>
          <w:rFonts w:ascii="Verdana" w:hAnsi="Verdana"/>
          <w:sz w:val="20"/>
        </w:rPr>
        <w:t>szkody wyrządzone komponentom, systemom lub elementom innym niż te wyraźnie objęte gwarancją, w tym całemu systemowi klimatyzacji i ogrzewania kabiny (sprężarka AC, skraplacz, parownik, przewody, wentylatory, czujniki, sterowniki i wszelkie inne komponenty AC);</w:t>
      </w:r>
    </w:p>
    <w:p w14:paraId="45F8ECE4" w14:textId="571C83D5" w:rsidR="00866BEB" w:rsidRPr="00981B52" w:rsidRDefault="00866BEB" w:rsidP="00981B52">
      <w:pPr>
        <w:pStyle w:val="Paragraphedeliste"/>
        <w:numPr>
          <w:ilvl w:val="2"/>
          <w:numId w:val="1"/>
        </w:numPr>
        <w:spacing w:line="360" w:lineRule="auto"/>
        <w:jc w:val="both"/>
        <w:rPr>
          <w:rFonts w:ascii="Verdana" w:hAnsi="Verdana"/>
          <w:sz w:val="20"/>
          <w:szCs w:val="20"/>
        </w:rPr>
      </w:pPr>
      <w:r>
        <w:rPr>
          <w:rFonts w:ascii="Verdana" w:hAnsi="Verdana"/>
          <w:sz w:val="20"/>
        </w:rPr>
        <w:t>konsekwencje zawieszenia, opóźnień, złego funkcjonowania lub przerw w realizacji Usługi, chyba że są one wynikiem umyślnego działania lub rażącego zaniedbania ze strony Fleequid®.</w:t>
      </w:r>
    </w:p>
    <w:p w14:paraId="48DC7981" w14:textId="311FCA0F" w:rsidR="00D20F8B" w:rsidRPr="00981B52" w:rsidRDefault="00981B52" w:rsidP="00981B52">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Limit wydatków mający zastosowanie do każdego pojazdu jest ustalany i przekazywany nabywcy w dokumentacji przedumownej dotyczącej Usługi Gwarancji Powertrain.</w:t>
      </w:r>
      <w:r>
        <w:rPr>
          <w:rFonts w:ascii="Verdana" w:hAnsi="Verdana"/>
          <w:sz w:val="20"/>
        </w:rPr>
        <w:br/>
        <w:t>Limit ten odnosi się do całego okresu świadczenia Usługi, a nie do każdego pojedynczego przypadku awarii, chyba że w dokumentacji przedumownej wyraźnie zaznaczono inaczej. W każdym razie łączna kwota zobowiązania Fleequid® nie może przekroczyć, dla każdego pojazdu, kwoty 25 000,00 (dwudziestu pięciu tysięcy/00) euro plus VAT lub wartości rezydualnej pojazdu w momencie szkody, ustalonej zgodnie z aktualnymi kryteriami rynkowymi, w zależności od tego, która z tych kwot jest niższa.</w:t>
      </w:r>
    </w:p>
    <w:p w14:paraId="3ACEBD5A" w14:textId="17F703AA" w:rsidR="00945431" w:rsidRPr="005A33E8" w:rsidRDefault="005A33E8" w:rsidP="005A33E8">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 xml:space="preserve">Jeżeli w celu naprawy lub wymiany Komponentu Objętego konieczne będzie wykonanie czynności również na komponentach lub częściach nieobjętych Gwarancją, związane z tym </w:t>
      </w:r>
      <w:r>
        <w:rPr>
          <w:rFonts w:ascii="Verdana" w:hAnsi="Verdana"/>
          <w:sz w:val="20"/>
        </w:rPr>
        <w:lastRenderedPageBreak/>
        <w:t>koszty ponosi w całości Kupujący. W takich przypadkach Fleequid® może bezpośrednio udostępnić Autoryzowanemu Centrum kwoty związane z własną częścią udziału w Kosztach Pokrytych, natomiast część kosztów nieobjęta Gwarancją musi zostać uregulowana bezpośrednio przez Kupującego w Autoryzowanym Centrum. Autoryzowane Centrum jest wyraźnie uprawnione do wykonywania prawa zatrzymania pojazdu do momentu całkowitej zapłaty kwot należnych od Kupującego. W przypadku nieprzyjęcia kosztorysu w terminie jego ważności, Fleequid® jest uprawnione do zawieszenia sprawy do czasu podjęcia nowej decyzji przez Kupującego.</w:t>
      </w:r>
    </w:p>
    <w:p w14:paraId="3A405D56" w14:textId="1CED8512" w:rsidR="00D20F8B" w:rsidRPr="00D20F8B" w:rsidRDefault="00CB39C7" w:rsidP="00D20F8B">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Kupujący akceptuje i uznaje, że w maksymalnym zakresie prawnym zwalnia Fleequid® z wszelkiej odpowiedzialności za opóźnienia, nieprawidłowości lub zaniedbania w obsłudze wniosku o aktywację gwarancji, chyba że są one spowodowane umyślnym działaniem lub rażącym zaniedbaniem ze strony Fleequid®. W szczególności wyłączone są:</w:t>
      </w:r>
    </w:p>
    <w:p w14:paraId="7AA78CA0" w14:textId="64DACF9C" w:rsidR="00D20F8B" w:rsidRPr="00D20F8B" w:rsidRDefault="00D20F8B" w:rsidP="00D20F8B">
      <w:pPr>
        <w:pStyle w:val="Paragraphedeliste"/>
        <w:numPr>
          <w:ilvl w:val="2"/>
          <w:numId w:val="1"/>
        </w:numPr>
        <w:spacing w:line="360" w:lineRule="auto"/>
        <w:jc w:val="both"/>
        <w:rPr>
          <w:rFonts w:ascii="Verdana" w:hAnsi="Verdana"/>
          <w:sz w:val="20"/>
          <w:szCs w:val="20"/>
        </w:rPr>
      </w:pPr>
      <w:r>
        <w:rPr>
          <w:rFonts w:ascii="Verdana" w:hAnsi="Verdana"/>
          <w:sz w:val="20"/>
        </w:rPr>
        <w:t>konsekwencje wynikające z nieprzedłożenia przez Kupującego zgłoszenia szkody w odpowiednim terminie;</w:t>
      </w:r>
    </w:p>
    <w:p w14:paraId="08CACA0B" w14:textId="630894A7" w:rsidR="00D20F8B" w:rsidRPr="00D20F8B" w:rsidRDefault="00D20F8B" w:rsidP="00D20F8B">
      <w:pPr>
        <w:pStyle w:val="Paragraphedeliste"/>
        <w:numPr>
          <w:ilvl w:val="2"/>
          <w:numId w:val="1"/>
        </w:numPr>
        <w:spacing w:line="360" w:lineRule="auto"/>
        <w:jc w:val="both"/>
        <w:rPr>
          <w:rFonts w:ascii="Verdana" w:hAnsi="Verdana"/>
          <w:sz w:val="20"/>
          <w:szCs w:val="20"/>
        </w:rPr>
      </w:pPr>
      <w:r>
        <w:rPr>
          <w:rFonts w:ascii="Verdana" w:hAnsi="Verdana"/>
          <w:sz w:val="20"/>
        </w:rPr>
        <w:t>szkody wynikające z opóźnień w postępowaniu wyjaśniającym, ekspertyzie lub decyzji dotyczącej pokrycia;</w:t>
      </w:r>
    </w:p>
    <w:p w14:paraId="17845089" w14:textId="106CE4DF" w:rsidR="00D20F8B" w:rsidRPr="00D20F8B" w:rsidRDefault="00D20F8B" w:rsidP="00D20F8B">
      <w:pPr>
        <w:pStyle w:val="Paragraphedeliste"/>
        <w:numPr>
          <w:ilvl w:val="2"/>
          <w:numId w:val="1"/>
        </w:numPr>
        <w:spacing w:line="360" w:lineRule="auto"/>
        <w:jc w:val="both"/>
        <w:rPr>
          <w:rFonts w:ascii="Verdana" w:hAnsi="Verdana"/>
          <w:sz w:val="20"/>
          <w:szCs w:val="20"/>
        </w:rPr>
      </w:pPr>
      <w:r>
        <w:rPr>
          <w:rFonts w:ascii="Verdana" w:hAnsi="Verdana"/>
          <w:sz w:val="20"/>
        </w:rPr>
        <w:t>wszelkie roszczenia odszkodowawcze wykraczające poza zakres Usługi Gwarancji w granicach przewidzianych w niniejszych SWG.</w:t>
      </w:r>
    </w:p>
    <w:p w14:paraId="76542362" w14:textId="5D9627CB" w:rsidR="0097213E" w:rsidRDefault="00945431" w:rsidP="0097213E">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Żadna wiadomość, przyjęcie zgłoszenia lub czynności wyjaśniające ze strony Fleequid® nie mogą być interpretowane jako uznanie, nawet domniemane, prawa do pokrycia kosztów, które pozostaje uzależnione od pozytywnego wyniku procedury przewidzianej w niniejszych SWG.</w:t>
      </w:r>
    </w:p>
    <w:p w14:paraId="307BDA8F" w14:textId="77777777" w:rsidR="005B6D35" w:rsidRDefault="005B6D35" w:rsidP="005B6D35">
      <w:pPr>
        <w:pStyle w:val="Paragraphedeliste"/>
        <w:spacing w:line="360" w:lineRule="auto"/>
        <w:ind w:left="0"/>
        <w:jc w:val="both"/>
        <w:rPr>
          <w:rFonts w:ascii="Verdana" w:hAnsi="Verdana"/>
          <w:sz w:val="20"/>
          <w:szCs w:val="20"/>
        </w:rPr>
      </w:pPr>
    </w:p>
    <w:p w14:paraId="4A9E0A01" w14:textId="37A8538E" w:rsidR="00967135" w:rsidRPr="00E9150B" w:rsidRDefault="005B6D35" w:rsidP="00967135">
      <w:pPr>
        <w:pStyle w:val="Paragraphedeliste"/>
        <w:numPr>
          <w:ilvl w:val="0"/>
          <w:numId w:val="1"/>
        </w:numPr>
        <w:spacing w:line="360" w:lineRule="auto"/>
        <w:ind w:left="0" w:firstLine="0"/>
        <w:jc w:val="both"/>
        <w:outlineLvl w:val="1"/>
        <w:rPr>
          <w:rFonts w:ascii="Verdana" w:hAnsi="Verdana"/>
          <w:b/>
          <w:bCs/>
          <w:smallCaps/>
          <w:sz w:val="20"/>
          <w:szCs w:val="20"/>
        </w:rPr>
      </w:pPr>
      <w:bookmarkStart w:id="16" w:name="_Toc218958680"/>
      <w:r>
        <w:rPr>
          <w:rFonts w:ascii="Verdana" w:hAnsi="Verdana"/>
          <w:b/>
          <w:smallCaps/>
          <w:sz w:val="20"/>
        </w:rPr>
        <w:t>Świadczenia, Naprawy i Ograniczenia Operacyjne.</w:t>
      </w:r>
      <w:bookmarkEnd w:id="16"/>
    </w:p>
    <w:p w14:paraId="78BCB767" w14:textId="7C01EE94" w:rsidR="00967135" w:rsidRPr="005B6D35" w:rsidRDefault="005B6D35" w:rsidP="005B6D35">
      <w:pPr>
        <w:pStyle w:val="Paragraphedeliste"/>
        <w:numPr>
          <w:ilvl w:val="1"/>
          <w:numId w:val="1"/>
        </w:numPr>
        <w:tabs>
          <w:tab w:val="left" w:pos="0"/>
        </w:tabs>
        <w:spacing w:line="360" w:lineRule="auto"/>
        <w:ind w:left="0" w:firstLine="0"/>
        <w:jc w:val="both"/>
        <w:rPr>
          <w:rFonts w:ascii="Verdana" w:hAnsi="Verdana"/>
          <w:sz w:val="20"/>
          <w:szCs w:val="20"/>
        </w:rPr>
      </w:pPr>
      <w:r>
        <w:rPr>
          <w:rFonts w:ascii="Verdana" w:hAnsi="Verdana"/>
          <w:sz w:val="20"/>
        </w:rPr>
        <w:t>Usługa Gwarancji Powertrain dotyczy wyłącznie Komponentów Objętych i w żadnym wypadku nie obejmuje, między innymi:</w:t>
      </w:r>
    </w:p>
    <w:p w14:paraId="4D551AD2" w14:textId="47E70CAA" w:rsidR="00967135" w:rsidRPr="00967135" w:rsidRDefault="00967135" w:rsidP="00967135">
      <w:pPr>
        <w:pStyle w:val="Paragraphedeliste"/>
        <w:numPr>
          <w:ilvl w:val="2"/>
          <w:numId w:val="1"/>
        </w:numPr>
        <w:spacing w:line="360" w:lineRule="auto"/>
        <w:jc w:val="both"/>
        <w:rPr>
          <w:rFonts w:ascii="Verdana" w:hAnsi="Verdana"/>
          <w:sz w:val="20"/>
          <w:szCs w:val="20"/>
        </w:rPr>
      </w:pPr>
      <w:r>
        <w:rPr>
          <w:rFonts w:ascii="Verdana" w:hAnsi="Verdana"/>
          <w:sz w:val="20"/>
        </w:rPr>
        <w:t>holowania lub pomocy drogowej dla Pojazdu;</w:t>
      </w:r>
    </w:p>
    <w:p w14:paraId="54F2BF08" w14:textId="4497FF33" w:rsidR="00967135" w:rsidRPr="00967135" w:rsidRDefault="00967135" w:rsidP="00967135">
      <w:pPr>
        <w:pStyle w:val="Paragraphedeliste"/>
        <w:numPr>
          <w:ilvl w:val="2"/>
          <w:numId w:val="1"/>
        </w:numPr>
        <w:spacing w:line="360" w:lineRule="auto"/>
        <w:jc w:val="both"/>
        <w:rPr>
          <w:rFonts w:ascii="Verdana" w:hAnsi="Verdana"/>
          <w:sz w:val="20"/>
          <w:szCs w:val="20"/>
        </w:rPr>
      </w:pPr>
      <w:r>
        <w:rPr>
          <w:rFonts w:ascii="Verdana" w:hAnsi="Verdana"/>
          <w:sz w:val="20"/>
        </w:rPr>
        <w:t>dostarczenia pojazdów zastępczych lub alternatywnych usług transportowych;</w:t>
      </w:r>
    </w:p>
    <w:p w14:paraId="7F978073" w14:textId="09CF8F93" w:rsidR="00967135" w:rsidRPr="00967135" w:rsidRDefault="00967135" w:rsidP="00967135">
      <w:pPr>
        <w:pStyle w:val="Paragraphedeliste"/>
        <w:numPr>
          <w:ilvl w:val="2"/>
          <w:numId w:val="1"/>
        </w:numPr>
        <w:spacing w:line="360" w:lineRule="auto"/>
        <w:jc w:val="both"/>
        <w:rPr>
          <w:rFonts w:ascii="Verdana" w:hAnsi="Verdana"/>
          <w:sz w:val="20"/>
          <w:szCs w:val="20"/>
        </w:rPr>
      </w:pPr>
      <w:r>
        <w:rPr>
          <w:rFonts w:ascii="Verdana" w:hAnsi="Verdana"/>
          <w:sz w:val="20"/>
        </w:rPr>
        <w:t>kosztów zakwaterowania, wyżywienia lub logistyki Kupującego lub kierowców;</w:t>
      </w:r>
    </w:p>
    <w:p w14:paraId="7227C737" w14:textId="337423F0" w:rsidR="00967135" w:rsidRPr="00967135" w:rsidRDefault="00967135" w:rsidP="00967135">
      <w:pPr>
        <w:pStyle w:val="Paragraphedeliste"/>
        <w:numPr>
          <w:ilvl w:val="2"/>
          <w:numId w:val="1"/>
        </w:numPr>
        <w:spacing w:line="360" w:lineRule="auto"/>
        <w:jc w:val="both"/>
        <w:rPr>
          <w:rFonts w:ascii="Verdana" w:hAnsi="Verdana"/>
          <w:sz w:val="20"/>
          <w:szCs w:val="20"/>
        </w:rPr>
      </w:pPr>
      <w:r>
        <w:rPr>
          <w:rFonts w:ascii="Verdana" w:hAnsi="Verdana"/>
          <w:sz w:val="20"/>
        </w:rPr>
        <w:t>materiałów eksploatacyjnych, płynów, filtrów, smarów, chyba że  niezbędne i bezpośrednio związane z autoryzowaną interwencją dotyczącą Komponentów Objętych;</w:t>
      </w:r>
    </w:p>
    <w:p w14:paraId="4CEAC380" w14:textId="54506BD5" w:rsidR="00967135" w:rsidRDefault="00967135" w:rsidP="005B6D35">
      <w:pPr>
        <w:pStyle w:val="Paragraphedeliste"/>
        <w:numPr>
          <w:ilvl w:val="2"/>
          <w:numId w:val="1"/>
        </w:numPr>
        <w:spacing w:line="360" w:lineRule="auto"/>
        <w:jc w:val="both"/>
        <w:rPr>
          <w:rFonts w:ascii="Verdana" w:hAnsi="Verdana"/>
          <w:sz w:val="20"/>
          <w:szCs w:val="20"/>
        </w:rPr>
      </w:pPr>
      <w:r>
        <w:rPr>
          <w:rFonts w:ascii="Verdana" w:hAnsi="Verdana"/>
          <w:sz w:val="20"/>
        </w:rPr>
        <w:t>czynności diagnostycznych, kontrolnych lub zapobiegawczych, które nie zostały uprzednio zatwierdzone przez Fleequid®.</w:t>
      </w:r>
    </w:p>
    <w:p w14:paraId="1AF3A223" w14:textId="2AE86F59" w:rsidR="00EE4743" w:rsidRPr="005B6D35" w:rsidRDefault="005A436B" w:rsidP="005B6D35">
      <w:pPr>
        <w:pStyle w:val="Paragraphedeliste"/>
        <w:numPr>
          <w:ilvl w:val="2"/>
          <w:numId w:val="1"/>
        </w:numPr>
        <w:spacing w:line="360" w:lineRule="auto"/>
        <w:jc w:val="both"/>
        <w:rPr>
          <w:rFonts w:ascii="Verdana" w:hAnsi="Verdana"/>
          <w:sz w:val="20"/>
          <w:szCs w:val="20"/>
        </w:rPr>
      </w:pPr>
      <w:r>
        <w:rPr>
          <w:rFonts w:ascii="Verdana" w:hAnsi="Verdana"/>
          <w:sz w:val="20"/>
        </w:rPr>
        <w:t>wszelkich interwencji, napraw, wymian lub diagnostyki dotyczących podzespołów, układów nieobjętych zakresem Komponentów Objętych, w tym – w szczególności – całego układu klimatyzacji i ogrzewania kabiny (sprężarka AC, skraplacz, parownik, wentylatory, przewody, czujniki, sterowniki i wszelkie inne komponenty AC).</w:t>
      </w:r>
    </w:p>
    <w:p w14:paraId="655485CF" w14:textId="77777777" w:rsidR="005B6D35" w:rsidRPr="005B6D35" w:rsidRDefault="005B6D35" w:rsidP="005B6D35">
      <w:pPr>
        <w:pStyle w:val="Paragraphedeliste"/>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Interwencje dozwolone zgodnie z SWG są wykonywane przy użyciu oryginalnych lub równoważnych części zamiennych, czyli części  o równorzędnej jakości, wybranych przez Fleequid®. Robocizna jest rozliczana zgodnie z czasem pracy i stawkami referencyjnymi </w:t>
      </w:r>
      <w:r>
        <w:rPr>
          <w:rFonts w:ascii="Verdana" w:hAnsi="Verdana"/>
          <w:sz w:val="20"/>
        </w:rPr>
        <w:lastRenderedPageBreak/>
        <w:t>uznanymi przez Fleequid®. Wyraźnie wyklucza się ulepszenia, aktualizacje lub modyfikacje techniczne Pojazdu, które nie są absolutnie niezbędne do naprawy Komponentów Objętych.</w:t>
      </w:r>
    </w:p>
    <w:p w14:paraId="48C6C2D3" w14:textId="77777777" w:rsidR="005B6D35" w:rsidRPr="005B6D35" w:rsidRDefault="005B6D35" w:rsidP="005B6D35">
      <w:pPr>
        <w:pStyle w:val="Paragraphedeliste"/>
        <w:numPr>
          <w:ilvl w:val="1"/>
          <w:numId w:val="1"/>
        </w:numPr>
        <w:tabs>
          <w:tab w:val="left" w:pos="0"/>
        </w:tabs>
        <w:spacing w:line="360" w:lineRule="auto"/>
        <w:ind w:left="0" w:firstLine="0"/>
        <w:jc w:val="both"/>
        <w:rPr>
          <w:rFonts w:ascii="Verdana" w:hAnsi="Verdana"/>
          <w:sz w:val="20"/>
          <w:szCs w:val="20"/>
        </w:rPr>
      </w:pPr>
      <w:r>
        <w:rPr>
          <w:rFonts w:ascii="Verdana" w:hAnsi="Verdana"/>
          <w:sz w:val="20"/>
        </w:rPr>
        <w:t>Wszystkie części wymienione w ramach Usługi Gwarancji Powertrain stają się własnością Fleequid®, która może nimi swobodnie dysponować, również w celu przeprowadzenia ekspertyzy technicznej, renowacji lub utylizacji.</w:t>
      </w:r>
    </w:p>
    <w:p w14:paraId="26171D6F" w14:textId="77777777" w:rsidR="005B6D35" w:rsidRPr="005B6D35" w:rsidRDefault="005B6D35" w:rsidP="005B6D35">
      <w:pPr>
        <w:pStyle w:val="Paragraphedeliste"/>
        <w:numPr>
          <w:ilvl w:val="1"/>
          <w:numId w:val="1"/>
        </w:numPr>
        <w:tabs>
          <w:tab w:val="left" w:pos="0"/>
        </w:tabs>
        <w:spacing w:line="360" w:lineRule="auto"/>
        <w:ind w:left="0" w:firstLine="0"/>
        <w:jc w:val="both"/>
        <w:rPr>
          <w:rFonts w:ascii="Verdana" w:hAnsi="Verdana"/>
          <w:sz w:val="20"/>
          <w:szCs w:val="20"/>
        </w:rPr>
      </w:pPr>
      <w:r>
        <w:rPr>
          <w:rFonts w:ascii="Verdana" w:hAnsi="Verdana"/>
          <w:sz w:val="20"/>
        </w:rPr>
        <w:t>Wszelkie nadużycia, fałszowanie dokumentów, manipulowanie licznikiem kilometrów lub elektronicznymi modułami sterującymi Pojazdu powodują natychmiastową utratę uprawnień Usługi Gwarancji Powertrain, bez uszczerbku dla prawa Fleequid® do dochodzenia odszkodowania za dalsze szkody.</w:t>
      </w:r>
      <w:r>
        <w:rPr>
          <w:rFonts w:ascii="Times New Roman" w:hAnsi="Times New Roman"/>
          <w:sz w:val="24"/>
        </w:rPr>
        <w:t xml:space="preserve"> </w:t>
      </w:r>
    </w:p>
    <w:p w14:paraId="19220AFB" w14:textId="77777777" w:rsidR="005B6D35" w:rsidRPr="005B6D35" w:rsidRDefault="005B6D35" w:rsidP="005B6D35">
      <w:pPr>
        <w:pStyle w:val="Paragraphedeliste"/>
        <w:numPr>
          <w:ilvl w:val="1"/>
          <w:numId w:val="1"/>
        </w:numPr>
        <w:tabs>
          <w:tab w:val="left" w:pos="0"/>
        </w:tabs>
        <w:spacing w:line="360" w:lineRule="auto"/>
        <w:ind w:left="0" w:firstLine="0"/>
        <w:jc w:val="both"/>
        <w:rPr>
          <w:rFonts w:ascii="Verdana" w:hAnsi="Verdana"/>
          <w:sz w:val="20"/>
          <w:szCs w:val="20"/>
        </w:rPr>
      </w:pPr>
      <w:r>
        <w:rPr>
          <w:rFonts w:ascii="Verdana" w:hAnsi="Verdana"/>
          <w:sz w:val="20"/>
        </w:rPr>
        <w:t>Kupujący jest zobowiązany do umożliwienia Fleequid® lub Zaufanemu Ekspertowi dostępu do Pojazdu, danych pokładowych (w tym OBD i systemów telematycznych) oraz dokumentacji serwisowej niezbędnych kontroli technicznych. Brak takiej współpracy skutkuje utratą prawa do pokrycia kosztów.</w:t>
      </w:r>
      <w:r>
        <w:rPr>
          <w:rFonts w:ascii="Times New Roman" w:hAnsi="Times New Roman"/>
          <w:sz w:val="24"/>
        </w:rPr>
        <w:t xml:space="preserve"> </w:t>
      </w:r>
    </w:p>
    <w:p w14:paraId="3F82C606" w14:textId="33605CCD" w:rsidR="005B6D35" w:rsidRPr="005B6D35" w:rsidRDefault="005B6D35" w:rsidP="005B6D35">
      <w:pPr>
        <w:pStyle w:val="Paragraphedeliste"/>
        <w:numPr>
          <w:ilvl w:val="1"/>
          <w:numId w:val="1"/>
        </w:numPr>
        <w:tabs>
          <w:tab w:val="left" w:pos="0"/>
        </w:tabs>
        <w:spacing w:line="360" w:lineRule="auto"/>
        <w:ind w:left="0" w:firstLine="0"/>
        <w:jc w:val="both"/>
        <w:rPr>
          <w:rFonts w:ascii="Verdana" w:hAnsi="Verdana"/>
          <w:sz w:val="20"/>
          <w:szCs w:val="20"/>
        </w:rPr>
      </w:pPr>
      <w:r>
        <w:rPr>
          <w:rFonts w:ascii="Verdana" w:hAnsi="Verdana"/>
          <w:sz w:val="20"/>
        </w:rPr>
        <w:t>Kupujący akceptuje i przyjmuje do wiadomości, że Fleequid® nie udziela żadnych gwarancji, wyraźnych ani domniemanych, co do jakości, trwałości lub skuteczności napraw i wymian wykonanych w Centrach Autoryzowanych wskazanych lub zatwierdzonych przez Fleequid® lub w warsztatach lub serwisach wybranych przez Kupującego, ale autoryzowanych przez Fleequid®. Wszelkie gwarancje dotyczące zainstalowanych komponentów i wykonanych prac należy kierować bezpośrednio do warsztatu, który wykonał naprawę. Kupujący zwalnia Fleequid® z odpowiedzialności i zwalnia go z wszelkich roszczeń, działań lub żądań odszkodowawczych związanych z tymi komponentami lub pracami.</w:t>
      </w:r>
    </w:p>
    <w:p w14:paraId="12C907BA" w14:textId="77777777" w:rsidR="005B6D35" w:rsidRPr="005B6D35" w:rsidRDefault="005B6D35" w:rsidP="005B6D35">
      <w:pPr>
        <w:pStyle w:val="Paragraphedeliste"/>
        <w:tabs>
          <w:tab w:val="left" w:pos="0"/>
        </w:tabs>
        <w:spacing w:line="360" w:lineRule="auto"/>
        <w:ind w:left="0"/>
        <w:jc w:val="both"/>
        <w:rPr>
          <w:rFonts w:ascii="Verdana" w:hAnsi="Verdana"/>
          <w:sz w:val="20"/>
          <w:szCs w:val="20"/>
        </w:rPr>
      </w:pPr>
    </w:p>
    <w:p w14:paraId="0DDDAFBE" w14:textId="4099A3CF" w:rsidR="00985D75" w:rsidRPr="00F97588" w:rsidRDefault="00600124" w:rsidP="00E00356">
      <w:pPr>
        <w:pStyle w:val="Paragraphedeliste"/>
        <w:numPr>
          <w:ilvl w:val="0"/>
          <w:numId w:val="1"/>
        </w:numPr>
        <w:spacing w:line="360" w:lineRule="auto"/>
        <w:ind w:left="0" w:firstLine="0"/>
        <w:jc w:val="both"/>
        <w:outlineLvl w:val="1"/>
        <w:rPr>
          <w:rFonts w:ascii="Verdana" w:hAnsi="Verdana"/>
          <w:b/>
          <w:bCs/>
          <w:smallCaps/>
          <w:sz w:val="20"/>
          <w:szCs w:val="20"/>
        </w:rPr>
      </w:pPr>
      <w:bookmarkStart w:id="17" w:name="_Toc218958681"/>
      <w:bookmarkEnd w:id="15"/>
      <w:r>
        <w:rPr>
          <w:rFonts w:ascii="Verdana" w:hAnsi="Verdana"/>
          <w:b/>
          <w:smallCaps/>
          <w:sz w:val="20"/>
        </w:rPr>
        <w:t>Reklamacje i spory.</w:t>
      </w:r>
      <w:bookmarkEnd w:id="17"/>
    </w:p>
    <w:p w14:paraId="3E0CEEAD" w14:textId="451271A8" w:rsidR="00F97588" w:rsidRDefault="003A7F47">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 xml:space="preserve">W przypadku reklamacji związanych z Usługą Gwarancji Powertrain, Kupujący jest zobowiązany do przestrzegania procedury określonej w art. 13 Ogólnych Warunków Marketplace Fleequid®, dostępnych na stronie internetowej </w:t>
      </w:r>
      <w:hyperlink r:id="rId13" w:history="1">
        <w:r>
          <w:rPr>
            <w:rStyle w:val="Lienhypertexte"/>
            <w:rFonts w:ascii="Verdana" w:hAnsi="Verdana"/>
            <w:sz w:val="20"/>
          </w:rPr>
          <w:t>www.fleequid.com</w:t>
        </w:r>
      </w:hyperlink>
      <w:r>
        <w:rPr>
          <w:rFonts w:ascii="Verdana" w:hAnsi="Verdana"/>
          <w:sz w:val="20"/>
        </w:rPr>
        <w:t xml:space="preserve">. Rozumie się, że regulacje dotyczące reklamacji zawarte w Ogólnych Warunkach są odrębne i niezależne od </w:t>
      </w:r>
      <w:r>
        <w:rPr>
          <w:rFonts w:ascii="Verdana" w:hAnsi="Verdana"/>
          <w:b/>
          <w:sz w:val="20"/>
        </w:rPr>
        <w:t>Zgłoszenia Szkody</w:t>
      </w:r>
      <w:r>
        <w:rPr>
          <w:rFonts w:ascii="Verdana" w:hAnsi="Verdana"/>
          <w:sz w:val="20"/>
        </w:rPr>
        <w:t xml:space="preserve"> przewidzianego w art. 7 niniejszych SWG.</w:t>
      </w:r>
    </w:p>
    <w:p w14:paraId="49167324" w14:textId="5EE4142F" w:rsidR="002550CE" w:rsidRDefault="002550CE" w:rsidP="002550CE">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Fleequid® będzie rozpatrywać reklamacje zgodnie z procedurami i terminami określonymi w Ogólnych Warunkach, informując o wyniku postępowania w sposób w nich przewidziany. Przy uwzględnieniu reklamacji Fleequid® zastosuje środki zaradcze przewidziane w SWG i Warunkach Ogólnych, w granicach określonych w tych dokumentach i obowiązujących przepisach.</w:t>
      </w:r>
    </w:p>
    <w:p w14:paraId="6C861601" w14:textId="48F3D8A0" w:rsidR="002550CE" w:rsidRDefault="002550CE" w:rsidP="002550CE">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 xml:space="preserve">Przed podjęciem jakichkolwiek działań sądowych lub arbitrażowych Strony zobowiązują się do podjęcia w dobrej wierze próby polubownego rozstrzygnięcia sporu, korzystając również z narzędzi mediacyjnych platformy Marketplace Fleequid® lub innych nieformalnych narzędzi negocjacyjnych. </w:t>
      </w:r>
    </w:p>
    <w:p w14:paraId="7FC7E3C8" w14:textId="304F4A93" w:rsidR="002550CE" w:rsidRPr="002550CE" w:rsidRDefault="00835B00" w:rsidP="002550CE">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 xml:space="preserve">Jeżeli próba ta nie przyniesie pozytywnego rezultatu w ciągu 30 (trzydziestu) dni od pisemnego zgłoszenia sporu, Strony zobowiązują się do podjęcia próby mediacji w ramach Organu Mediacyjnego Izby Handlowej w Como, zgodnie z D. Lgs. 28/2010. Mediacja powinna </w:t>
      </w:r>
      <w:r>
        <w:rPr>
          <w:rFonts w:ascii="Verdana" w:hAnsi="Verdana"/>
          <w:sz w:val="20"/>
        </w:rPr>
        <w:lastRenderedPageBreak/>
        <w:t>zostać rozpoczęta w ww. terminie i zakończona w ciągu 60 (sześćdziesięciu) dni od rozpoczęcia postępowania, z wyjątkiem przedłużenia terminu na mocy przepisów prawa.</w:t>
      </w:r>
    </w:p>
    <w:p w14:paraId="598BDC49" w14:textId="77777777" w:rsidR="00984F9F" w:rsidRDefault="00835B00" w:rsidP="00984F9F">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Jeżeli mediacja nie zakończy się porozumieniem w ciągu 60 (sześćdziesięciu) dni od wszczęcia postępowania, spór zostanie ostatecznie rozstrzygnięty w drodze postępowania arbitrażowego zgodnie z Regulaminem Izby Arbitrażowej w Mediolanie przez jednego arbitra wyznaczonego zgodnie z tymże Regulaminem. Miejscem arbitrażu będzie Mediolan, językiem postępowania język włoski, a prawem właściwym prawo przewidziane w niniejszych SWG.</w:t>
      </w:r>
    </w:p>
    <w:p w14:paraId="66F9EFB6" w14:textId="1F777DD7" w:rsidR="00984F9F" w:rsidRPr="00984F9F" w:rsidRDefault="00984F9F" w:rsidP="00984F9F">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Każda ze Stron zachowuje prawo do wystąpienia do właściwego sądu z wnioskiem o zastosowanie środków zabezpieczających lub tymczasowych, również przed lub w trakcie postępowania arbitrażowego, bez utraty prawa do powołania się na klauzulę arbitrażową.</w:t>
      </w:r>
    </w:p>
    <w:p w14:paraId="1822AAEF" w14:textId="1C300276" w:rsidR="009D3807" w:rsidRDefault="009D3807" w:rsidP="00A43126">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W sprawach nieuregulowanych niniejszym artykułem należy stosować się w całości do procedur, warunków i zasad określonych w Warunkach Ogólnych Marketplace Fleequid®.</w:t>
      </w:r>
    </w:p>
    <w:p w14:paraId="6BED1CF7" w14:textId="44FABC8E" w:rsidR="00985D75" w:rsidRPr="00E9150B" w:rsidRDefault="00985D75" w:rsidP="00A4154B">
      <w:pPr>
        <w:pStyle w:val="Paragraphedeliste"/>
        <w:spacing w:line="360" w:lineRule="auto"/>
        <w:ind w:left="0"/>
        <w:jc w:val="both"/>
        <w:rPr>
          <w:rFonts w:ascii="Verdana" w:hAnsi="Verdana"/>
          <w:sz w:val="20"/>
          <w:szCs w:val="20"/>
        </w:rPr>
      </w:pPr>
    </w:p>
    <w:p w14:paraId="7A62F2B7" w14:textId="306A75DB" w:rsidR="00750DE5" w:rsidRPr="00E9150B" w:rsidRDefault="009D3807" w:rsidP="00476BC8">
      <w:pPr>
        <w:pStyle w:val="Paragraphedeliste"/>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8958682"/>
      <w:r>
        <w:rPr>
          <w:rFonts w:ascii="Verdana" w:hAnsi="Verdana"/>
          <w:b/>
          <w:smallCaps/>
          <w:sz w:val="20"/>
        </w:rPr>
        <w:t>Siła wyższa.</w:t>
      </w:r>
      <w:bookmarkEnd w:id="19"/>
    </w:p>
    <w:bookmarkEnd w:id="18"/>
    <w:p w14:paraId="047AF23C" w14:textId="77777777" w:rsidR="00984F9F" w:rsidRDefault="00984F9F" w:rsidP="00984F9F">
      <w:pPr>
        <w:pStyle w:val="Paragraphedeliste"/>
        <w:numPr>
          <w:ilvl w:val="1"/>
          <w:numId w:val="1"/>
        </w:numPr>
        <w:tabs>
          <w:tab w:val="left" w:pos="0"/>
        </w:tabs>
        <w:spacing w:line="360" w:lineRule="auto"/>
        <w:ind w:left="0" w:firstLine="0"/>
        <w:jc w:val="both"/>
        <w:rPr>
          <w:rFonts w:ascii="Verdana" w:hAnsi="Verdana"/>
          <w:sz w:val="20"/>
          <w:szCs w:val="20"/>
        </w:rPr>
      </w:pPr>
      <w:r>
        <w:rPr>
          <w:rFonts w:ascii="Verdana" w:hAnsi="Verdana"/>
          <w:sz w:val="20"/>
        </w:rPr>
        <w:t>W rozumieniu niniejszych Szczegółowych Warunków, za siłę wyższą uznaje się każde zdarzenie, okoliczność, fakt, czyn, zaniechanie lub sytuację, niezależnie od ich przewidywalności, które pozostają poza rozsądną kontrolą Strony powołującej się na nie i które uniemożliwiają, utrudniają, ograniczą lub opóźniają, w całości lub w części, wykonanie zobowiązań umownych związanych z Usługą Gwarancji Powertrain. W szczególności, a nie wyczerpująco, za siłę wyższą uznaje się: wszelkie klęski żywiołowe, wyjątkowe zjawiska atmosferyczne, pożary, eksplozje, powodzie, trzęsienia ziemi; epidemie, pandemie, środki zaradcze w zakresie zdrowia publicznego; wojny (zadeklarowane i niezadeklarowane), inwazje, akty terroru, bunty, zamieszki; strajki, lokauty lub inne działania związkowe, nawet jeśli nie dotyczą bezpośrednio personelu Strony; embargo, blokady, ograniczenia lub decyzje jakiejkolwiek władzy publicznej; niedostępność infrastruktury, energii, paliw, surowców lub części zamiennych; przerwy w dostawie usług niezbędnych (w tym usług informatycznych, komunikacyjnych lub sieciowych); cyberataki lub awarie technologiczne; blackouty lub kryzysy energetyczne; systemowe kryzysy finansowe lub zmiany przepisów prawnych lub regulacyjnych mających bezpośredni wpływ na świadczenie Usługi; niedostępność Autoryzowanych Centrów lub przerwy w produkcji producentów uniemożliwiające pozyskanie lub zamontowanie niezbędnych komponentów.</w:t>
      </w:r>
    </w:p>
    <w:p w14:paraId="2DD092B7" w14:textId="77777777" w:rsidR="00984F9F" w:rsidRPr="00984F9F" w:rsidRDefault="00984F9F" w:rsidP="00984F9F">
      <w:pPr>
        <w:pStyle w:val="Paragraphedeliste"/>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Wystąpienie zdarzenia siły wyższej powoduje zawieszenie obowiązków zainteresowanej Strony na cały czas trwania zdarzenia i przez okres niezbędny do jego zakończenia. W tych przypadkach Strona dotknięta zdarzeniem siły wyższej nie ponosi odpowiedzialności, nie podlega odszkodowaniu ani karze. </w:t>
      </w:r>
    </w:p>
    <w:p w14:paraId="6BF873CC" w14:textId="77777777" w:rsidR="00984F9F" w:rsidRPr="00984F9F" w:rsidRDefault="00984F9F" w:rsidP="00984F9F">
      <w:pPr>
        <w:pStyle w:val="Paragraphedeliste"/>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Strona, która zamierza powołać się na siłę wyższą, musi niezwłocznie powiadomić o tym drugą Stronę na piśmie, określając charakter zdarzenia, jego przewidywany czas trwania oraz przewidywalne konsekwencje dla wykonania umowy. </w:t>
      </w:r>
    </w:p>
    <w:p w14:paraId="08149EA1" w14:textId="77777777" w:rsidR="00984F9F" w:rsidRPr="00984F9F" w:rsidRDefault="00984F9F" w:rsidP="00984F9F">
      <w:pPr>
        <w:pStyle w:val="Paragraphedeliste"/>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 xml:space="preserve">Jeśli przyczyna siły wyższej trwa dłużej niż 30 (trzydzieści) kolejnych dni, każda ze Stron ma prawo rozwiązać umowę bez obowiązku wypłaty odszkodowania, powiadamiając o tym drugą Stronę na piśmie. </w:t>
      </w:r>
    </w:p>
    <w:p w14:paraId="35A0F7FA" w14:textId="124F524A" w:rsidR="00984F9F" w:rsidRPr="00984F9F" w:rsidRDefault="00984F9F" w:rsidP="00984F9F">
      <w:pPr>
        <w:pStyle w:val="Paragraphedeliste"/>
        <w:numPr>
          <w:ilvl w:val="1"/>
          <w:numId w:val="1"/>
        </w:numPr>
        <w:tabs>
          <w:tab w:val="left" w:pos="0"/>
        </w:tabs>
        <w:spacing w:line="360" w:lineRule="auto"/>
        <w:ind w:left="0" w:firstLine="0"/>
        <w:jc w:val="both"/>
        <w:rPr>
          <w:rFonts w:ascii="Verdana" w:hAnsi="Verdana"/>
          <w:sz w:val="20"/>
          <w:szCs w:val="20"/>
        </w:rPr>
      </w:pPr>
      <w:r>
        <w:rPr>
          <w:rFonts w:ascii="Verdana" w:hAnsi="Verdana"/>
          <w:sz w:val="20"/>
        </w:rPr>
        <w:t>Strony zobowiązują się do współpracy w dobrej wierze w celu podjęcia wszelkich uzasadnionych środków mających na celu złagodzenie skutków działania siły wyższej i wznowienie wykonywania zobowiązań umownych tak szybko, jak to możliwe.</w:t>
      </w:r>
    </w:p>
    <w:p w14:paraId="0E0DC37B" w14:textId="77777777" w:rsidR="003866E6" w:rsidRDefault="003866E6" w:rsidP="00612977">
      <w:pPr>
        <w:pStyle w:val="Paragraphedeliste"/>
        <w:spacing w:line="360" w:lineRule="auto"/>
        <w:ind w:left="0"/>
        <w:jc w:val="both"/>
        <w:rPr>
          <w:rFonts w:ascii="Verdana" w:hAnsi="Verdana"/>
          <w:sz w:val="20"/>
          <w:szCs w:val="20"/>
        </w:rPr>
      </w:pPr>
    </w:p>
    <w:p w14:paraId="17F4856E" w14:textId="5ED55356" w:rsidR="003866E6" w:rsidRPr="00E9150B" w:rsidRDefault="003866E6" w:rsidP="00612977">
      <w:pPr>
        <w:pStyle w:val="Paragraphedeliste"/>
        <w:numPr>
          <w:ilvl w:val="0"/>
          <w:numId w:val="1"/>
        </w:numPr>
        <w:tabs>
          <w:tab w:val="left" w:pos="0"/>
        </w:tabs>
        <w:spacing w:line="360" w:lineRule="auto"/>
        <w:ind w:left="0" w:firstLine="0"/>
        <w:jc w:val="both"/>
        <w:outlineLvl w:val="0"/>
        <w:rPr>
          <w:rFonts w:ascii="Verdana" w:hAnsi="Verdana"/>
          <w:b/>
          <w:bCs/>
          <w:sz w:val="20"/>
          <w:szCs w:val="20"/>
        </w:rPr>
      </w:pPr>
      <w:bookmarkStart w:id="20" w:name="_Toc218958683"/>
      <w:r>
        <w:rPr>
          <w:rFonts w:ascii="Verdana" w:hAnsi="Verdana"/>
          <w:b/>
          <w:smallCaps/>
          <w:sz w:val="20"/>
        </w:rPr>
        <w:t>Jednostronne zmiany Warunków Szczegółowych.</w:t>
      </w:r>
      <w:bookmarkEnd w:id="20"/>
    </w:p>
    <w:p w14:paraId="50854042" w14:textId="41F5C446" w:rsidR="00CD50D1" w:rsidRPr="00612977" w:rsidRDefault="00CD50D1" w:rsidP="00612977">
      <w:pPr>
        <w:pStyle w:val="Paragraphedeliste"/>
        <w:spacing w:line="360" w:lineRule="auto"/>
        <w:ind w:left="0"/>
        <w:jc w:val="both"/>
        <w:rPr>
          <w:rFonts w:ascii="Verdana" w:hAnsi="Verdana"/>
          <w:sz w:val="20"/>
          <w:szCs w:val="20"/>
        </w:rPr>
      </w:pPr>
      <w:r>
        <w:t>Niniejsze Szczegółowe Warunki Usługi Gwarancji Powertrain podlegają w całości, w zakresie sposobów wprowadzania zmian, postanowieniom artykułu 3) Ogólnych Warunków Marketplace Fleequid®, opublikowanym na oficjalnej stronie</w:t>
      </w:r>
      <w:r>
        <w:rPr>
          <w:rFonts w:ascii="Verdana" w:hAnsi="Verdana"/>
          <w:sz w:val="20"/>
        </w:rPr>
        <w:t xml:space="preserve"> </w:t>
      </w:r>
      <w:hyperlink r:id="rId14" w:tgtFrame="_new" w:history="1">
        <w:r>
          <w:rPr>
            <w:rStyle w:val="Lienhypertexte"/>
            <w:rFonts w:ascii="Verdana" w:hAnsi="Verdana"/>
            <w:sz w:val="20"/>
          </w:rPr>
          <w:t>www.fleequid.com</w:t>
        </w:r>
      </w:hyperlink>
      <w:r>
        <w:rPr>
          <w:rFonts w:ascii="Verdana" w:hAnsi="Verdana"/>
          <w:sz w:val="20"/>
        </w:rPr>
        <w:t xml:space="preserve"> i dostępnym do wglądu dla wszystkich Zainteresowanych.  W szczególności Fleequid® zastrzega sobie prawo do ich jednostronnej zmiany, stosując te same zasady, ograniczenia, formy powiadomień i komunikacji, jak w Warunkach Ogólnych. Zmiany te wejdą w życie po upływie terminu wskazanego w powiadomieniu, chyba że Użytkownik wyraził wcześniej zgodę lub skorzystał w terminie z prawa do odstąpienia od umowy. O ile nie uzgodniono inaczej na piśmie, poprzednie wersje Warunków Szczegółowych będą nadal obowiązywać wyłącznie w odniesieniu do stosunków już istniejących w dniu wprowadzenia zmian, zgodnie z postanowieniami Warunków Ogólnych. Korzystanie z Usługi Gwarancji Powertrain po wprowadzeniu zmian będzie oznaczało przyjęcie Warunków Szczegółowych w zmienionej formie.</w:t>
      </w:r>
    </w:p>
    <w:p w14:paraId="6E9A1FB1" w14:textId="77777777" w:rsidR="00CD50D1" w:rsidRPr="00E9150B" w:rsidRDefault="00CD50D1" w:rsidP="007B2510">
      <w:pPr>
        <w:pStyle w:val="Paragraphedeliste"/>
        <w:spacing w:line="360" w:lineRule="auto"/>
        <w:ind w:left="0"/>
        <w:jc w:val="both"/>
        <w:rPr>
          <w:rFonts w:ascii="Verdana" w:hAnsi="Verdana"/>
          <w:sz w:val="20"/>
          <w:szCs w:val="20"/>
        </w:rPr>
      </w:pPr>
    </w:p>
    <w:p w14:paraId="4EA9BDDC" w14:textId="5516283E" w:rsidR="001953A5" w:rsidRPr="00E9150B" w:rsidRDefault="0EB87F90" w:rsidP="00476BC8">
      <w:pPr>
        <w:pStyle w:val="Paragraphedeliste"/>
        <w:numPr>
          <w:ilvl w:val="0"/>
          <w:numId w:val="1"/>
        </w:numPr>
        <w:spacing w:line="360" w:lineRule="auto"/>
        <w:ind w:left="0" w:firstLine="0"/>
        <w:jc w:val="both"/>
        <w:outlineLvl w:val="0"/>
        <w:rPr>
          <w:rFonts w:ascii="Verdana" w:hAnsi="Verdana"/>
          <w:b/>
          <w:bCs/>
          <w:smallCaps/>
          <w:sz w:val="20"/>
          <w:szCs w:val="20"/>
        </w:rPr>
      </w:pPr>
      <w:bookmarkStart w:id="21" w:name="_Toc218958684"/>
      <w:r>
        <w:rPr>
          <w:rFonts w:ascii="Verdana" w:hAnsi="Verdana"/>
          <w:b/>
          <w:smallCaps/>
          <w:sz w:val="20"/>
        </w:rPr>
        <w:t>Prawo właściwe, Język i właściwy Sąd.</w:t>
      </w:r>
      <w:bookmarkEnd w:id="21"/>
    </w:p>
    <w:p w14:paraId="2D2B9D77" w14:textId="47E72A8F" w:rsidR="001953A5" w:rsidRPr="00E9150B" w:rsidRDefault="007317FE" w:rsidP="009A36BC">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Niniejsze Szczegółowe Warunki Usługi Gwarancji Powertrain, wraz z Ogólnymi Warunkami Marketplace Fleequid® i wszystkimi powiązanymi z nimi postanowieniami umownymi, podlegają wyłącznie prawu włoskiemu. Wszelkie obowiązujące międzynarodowe standardy lub konwencje zostaną włączone tylko w zakresie, w jakim nie są sprzeczne z prawem włoskim.</w:t>
      </w:r>
    </w:p>
    <w:p w14:paraId="0FC8B1EC" w14:textId="1BC93615" w:rsidR="001953A5" w:rsidRPr="00373C69" w:rsidRDefault="00867B95" w:rsidP="00867B95">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W przypadku wszelkich sporów dotyczących ważności, interpretacji, wykonania lub rozwiązania niniejszych SWG, Warunków Ogólnych lub innego powiązanego aktu prawnego, zastosowanie ma procedura reklamacyjna, negocjacyjna, mediacyjna i arbitrażowa przewidziana w art. 11 niniejszych SWG. Wyłączona jest zatem wyraźnie właściwość sądu powszechnego, z wyjątkiem wydawania środków zabezpieczających lub tymczasowych, w granicach określonych w art. 11.6. W przypadku wskazanym powyżej, wyłącznie właściwy będzie Sąd w Como, z wyraźnym wyłączeniem jakiegokolwiek innego sądu konkurencyjnego lub alternatywnego, chyba że Strony uzgodnią inaczej na piśmie.</w:t>
      </w:r>
    </w:p>
    <w:p w14:paraId="497BACF9" w14:textId="362165BC" w:rsidR="001953A5" w:rsidRPr="00E9150B" w:rsidRDefault="00373C69" w:rsidP="009A36BC">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Oficjalnym językiem niniejszych Szczegółowych Warunków Umowy Gwarancji Powertrain oraz związanego z nimi stosunku umownego jest język włoski. W przypadku tłumaczenia niniejszych Warunków Szczegółowych na inne języki, wersja w języku włoskim będzie miała pierwszeństwo i będzie uważana za jedyną wiążącą wersję dla celów interpretacji i stosowania umowy.</w:t>
      </w:r>
    </w:p>
    <w:p w14:paraId="047D1672" w14:textId="77777777" w:rsidR="00FF28A0" w:rsidRPr="00E9150B" w:rsidRDefault="00FF28A0" w:rsidP="00FF28A0">
      <w:pPr>
        <w:pStyle w:val="Paragraphedeliste"/>
        <w:spacing w:line="360" w:lineRule="auto"/>
        <w:ind w:left="0"/>
        <w:jc w:val="both"/>
        <w:rPr>
          <w:rFonts w:ascii="Verdana" w:hAnsi="Verdana"/>
          <w:sz w:val="20"/>
          <w:szCs w:val="20"/>
        </w:rPr>
      </w:pPr>
    </w:p>
    <w:p w14:paraId="4DD2C457" w14:textId="77777777" w:rsidR="00FF28A0" w:rsidRPr="00E9150B" w:rsidRDefault="00FF28A0" w:rsidP="00476BC8">
      <w:pPr>
        <w:pStyle w:val="Paragraphedeliste"/>
        <w:numPr>
          <w:ilvl w:val="0"/>
          <w:numId w:val="1"/>
        </w:numPr>
        <w:spacing w:line="360" w:lineRule="auto"/>
        <w:ind w:left="0" w:firstLine="0"/>
        <w:jc w:val="both"/>
        <w:outlineLvl w:val="1"/>
        <w:rPr>
          <w:rFonts w:ascii="Verdana" w:hAnsi="Verdana"/>
          <w:b/>
          <w:bCs/>
          <w:smallCaps/>
          <w:sz w:val="20"/>
          <w:szCs w:val="20"/>
        </w:rPr>
      </w:pPr>
      <w:bookmarkStart w:id="22" w:name="_Toc218958685"/>
      <w:r>
        <w:rPr>
          <w:rFonts w:ascii="Verdana" w:hAnsi="Verdana"/>
          <w:b/>
          <w:smallCaps/>
          <w:sz w:val="20"/>
        </w:rPr>
        <w:t>Korespondencja.</w:t>
      </w:r>
      <w:bookmarkEnd w:id="22"/>
    </w:p>
    <w:p w14:paraId="29C32EE6" w14:textId="64A9F58D" w:rsidR="00FF28A0" w:rsidRPr="00E9150B" w:rsidRDefault="00980E02" w:rsidP="009A36BC">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 xml:space="preserve">Chyba że niniejsze SWG stanowią inaczej, wszystkie komunikaty między </w:t>
      </w:r>
      <w:r>
        <w:rPr>
          <w:rFonts w:ascii="Verdana" w:hAnsi="Verdana"/>
          <w:b/>
          <w:sz w:val="20"/>
        </w:rPr>
        <w:t>Fleequid®</w:t>
      </w:r>
      <w:r>
        <w:rPr>
          <w:rFonts w:ascii="Verdana" w:hAnsi="Verdana"/>
          <w:sz w:val="20"/>
        </w:rPr>
        <w:t xml:space="preserve"> a </w:t>
      </w:r>
      <w:r>
        <w:rPr>
          <w:rFonts w:ascii="Verdana" w:hAnsi="Verdana"/>
          <w:b/>
          <w:sz w:val="20"/>
        </w:rPr>
        <w:t>Kupującym</w:t>
      </w:r>
      <w:r>
        <w:rPr>
          <w:rFonts w:ascii="Verdana" w:hAnsi="Verdana"/>
          <w:sz w:val="20"/>
        </w:rPr>
        <w:t xml:space="preserve"> muszą być dokonywane na piśmie i przesyłane za pośrednictwem listu poleconego z potwierdzeniem odbioru, usługi kurierskiej ekspresowej lub poczty elektronicznej na następujące oficjalne adresy Fleequid®:</w:t>
      </w:r>
    </w:p>
    <w:p w14:paraId="60E2D078" w14:textId="18D52E84" w:rsidR="00FF28A0" w:rsidRPr="00E9150B" w:rsidRDefault="00FF28A0" w:rsidP="00FF28A0">
      <w:pPr>
        <w:pStyle w:val="Paragraphedeliste"/>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phedeliste"/>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phedeliste"/>
        <w:spacing w:line="360" w:lineRule="auto"/>
        <w:ind w:left="0"/>
        <w:jc w:val="center"/>
        <w:rPr>
          <w:rFonts w:ascii="Verdana" w:hAnsi="Verdana"/>
          <w:b/>
          <w:bCs/>
          <w:sz w:val="20"/>
          <w:szCs w:val="20"/>
        </w:rPr>
      </w:pPr>
      <w:r>
        <w:rPr>
          <w:rFonts w:ascii="Verdana" w:hAnsi="Verdana"/>
          <w:b/>
          <w:sz w:val="20"/>
        </w:rPr>
        <w:t>22077 Olgiate Comasco (CO),</w:t>
      </w:r>
    </w:p>
    <w:p w14:paraId="79B6344E" w14:textId="114972D6" w:rsidR="00FF28A0" w:rsidRPr="00E9150B" w:rsidRDefault="00FF28A0" w:rsidP="00FF28A0">
      <w:pPr>
        <w:pStyle w:val="Paragraphedeliste"/>
        <w:spacing w:line="360" w:lineRule="auto"/>
        <w:ind w:left="0"/>
        <w:jc w:val="center"/>
        <w:rPr>
          <w:rFonts w:ascii="Verdana" w:hAnsi="Verdana"/>
          <w:b/>
          <w:bCs/>
          <w:sz w:val="20"/>
          <w:szCs w:val="20"/>
        </w:rPr>
      </w:pPr>
      <w:r>
        <w:rPr>
          <w:rFonts w:ascii="Verdana" w:hAnsi="Verdana"/>
          <w:b/>
          <w:sz w:val="20"/>
        </w:rPr>
        <w:t>NIP. i VAT 04114790134</w:t>
      </w:r>
    </w:p>
    <w:p w14:paraId="5E0195A9" w14:textId="4AADF494" w:rsidR="00FF28A0" w:rsidRPr="00FB6845" w:rsidRDefault="00FF28A0" w:rsidP="00FF28A0">
      <w:pPr>
        <w:pStyle w:val="Paragraphedeliste"/>
        <w:spacing w:line="360" w:lineRule="auto"/>
        <w:ind w:left="0"/>
        <w:jc w:val="center"/>
        <w:rPr>
          <w:rFonts w:ascii="Verdana" w:hAnsi="Verdana"/>
          <w:b/>
          <w:bCs/>
          <w:sz w:val="20"/>
          <w:szCs w:val="20"/>
        </w:rPr>
      </w:pPr>
      <w:r>
        <w:rPr>
          <w:rFonts w:ascii="Verdana" w:hAnsi="Verdana"/>
          <w:b/>
          <w:sz w:val="20"/>
        </w:rPr>
        <w:t>Tel. +390287176063</w:t>
      </w:r>
    </w:p>
    <w:p w14:paraId="61C88E19" w14:textId="6182A399" w:rsidR="00C35E22" w:rsidRPr="00FB6845" w:rsidRDefault="00FF28A0" w:rsidP="00C35E22">
      <w:pPr>
        <w:pStyle w:val="Paragraphedeliste"/>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0A58837F" w:rsidR="00980E02" w:rsidRDefault="00FF28A0" w:rsidP="00FF28A0">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Komunikaty uznaje się za ważne i wiążące w momencie doręczenia, jeśli zostały wysłane listem poleconym z  potwierdzeniem odbioru, w momencie doręczenia kurierowi, wysłane ekspresową przesyłką kurierską, lub w momencie potwierdzenia odbioru, jeśli wysłane pocztą elektroniczną do Fleequid®.</w:t>
      </w:r>
    </w:p>
    <w:p w14:paraId="63BF27D2" w14:textId="32DCC173" w:rsidR="001953A5" w:rsidRPr="00980E02" w:rsidRDefault="00980E02" w:rsidP="00FF28A0">
      <w:pPr>
        <w:pStyle w:val="Paragraphedeliste"/>
        <w:numPr>
          <w:ilvl w:val="1"/>
          <w:numId w:val="1"/>
        </w:numPr>
        <w:spacing w:line="360" w:lineRule="auto"/>
        <w:ind w:left="0" w:firstLine="0"/>
        <w:jc w:val="both"/>
        <w:rPr>
          <w:rFonts w:ascii="Verdana" w:hAnsi="Verdana"/>
          <w:sz w:val="20"/>
          <w:szCs w:val="20"/>
        </w:rPr>
      </w:pPr>
      <w:r>
        <w:rPr>
          <w:rFonts w:ascii="Verdana" w:hAnsi="Verdana"/>
          <w:sz w:val="20"/>
        </w:rPr>
        <w:t>Powiadomienia od Fleequid® będą przekazywane na adresy, w tym zwykłe adresy e-mail, wskazane przez Kupującego podczas rejestracji na Marketplace Fleequid® lub później zaktualizowane, i będą uważane za znane i otrzymane przez adresata w momencie wysyłki przez Fleequid®.</w:t>
      </w:r>
    </w:p>
    <w:p w14:paraId="2FBCBD94" w14:textId="77777777" w:rsidR="00765D12" w:rsidRDefault="00765D12" w:rsidP="00FF28A0">
      <w:pPr>
        <w:pStyle w:val="Paragraphedeliste"/>
        <w:spacing w:line="360" w:lineRule="auto"/>
        <w:ind w:left="0"/>
        <w:jc w:val="both"/>
        <w:rPr>
          <w:rFonts w:ascii="Verdana" w:hAnsi="Verdana"/>
          <w:sz w:val="20"/>
          <w:szCs w:val="20"/>
        </w:rPr>
      </w:pPr>
    </w:p>
    <w:p w14:paraId="0D4CB862" w14:textId="77777777" w:rsidR="00765D12" w:rsidRDefault="00765D12" w:rsidP="00FF28A0">
      <w:pPr>
        <w:pStyle w:val="Paragraphedeliste"/>
        <w:spacing w:line="360" w:lineRule="auto"/>
        <w:ind w:left="0"/>
        <w:jc w:val="both"/>
        <w:rPr>
          <w:rFonts w:ascii="Verdana" w:hAnsi="Verdana"/>
          <w:sz w:val="20"/>
          <w:szCs w:val="20"/>
        </w:rPr>
      </w:pPr>
    </w:p>
    <w:p w14:paraId="042CDFB9" w14:textId="77777777" w:rsidR="00141C58" w:rsidRDefault="00141C58" w:rsidP="00FF28A0">
      <w:pPr>
        <w:pStyle w:val="Paragraphedeliste"/>
        <w:spacing w:line="360" w:lineRule="auto"/>
        <w:ind w:left="0"/>
        <w:jc w:val="both"/>
        <w:rPr>
          <w:rFonts w:ascii="Verdana" w:hAnsi="Verdana"/>
          <w:sz w:val="20"/>
          <w:szCs w:val="20"/>
        </w:rPr>
      </w:pPr>
    </w:p>
    <w:p w14:paraId="4D947EF2" w14:textId="77777777" w:rsidR="00141C58" w:rsidRPr="001953A5" w:rsidRDefault="00141C58" w:rsidP="00FF28A0">
      <w:pPr>
        <w:pStyle w:val="Paragraphedeliste"/>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11BDF4EF" w14:textId="63AE1FA8" w:rsidR="005F50F4" w:rsidRDefault="00F155E4" w:rsidP="00863BAB">
      <w:pPr>
        <w:spacing w:line="360" w:lineRule="auto"/>
        <w:rPr>
          <w:rFonts w:ascii="Verdana" w:hAnsi="Verdana"/>
          <w:sz w:val="20"/>
          <w:szCs w:val="20"/>
        </w:rPr>
      </w:pPr>
      <w:bookmarkStart w:id="23" w:name="_Hlk162158661"/>
      <w:bookmarkStart w:id="24" w:name="_Hlk175340221"/>
      <w:r>
        <w:rPr>
          <w:rFonts w:ascii="Verdana" w:hAnsi="Verdana"/>
          <w:sz w:val="20"/>
        </w:rPr>
        <w:t>Zgodnie z art. 1341 i 1342 włoskiego Kodeksu Cywilnego i dla celów tych artykułów, Kupujący wyraźnie oświadcza, że przeczytał, zrozumiał i zaakceptował następujące klauzule</w:t>
      </w:r>
      <w:r>
        <w:t xml:space="preserve"> </w:t>
      </w:r>
      <w:r>
        <w:rPr>
          <w:rFonts w:ascii="Verdana" w:hAnsi="Verdana"/>
          <w:sz w:val="20"/>
        </w:rPr>
        <w:t>Szczegółowych Warunków Usługi Gwarancji Powertrain: Art. 2.4 (ogólne wyłączenia zakresu ochrony w przypadku dodatkowych sytuacji/okoliczności); Art. 3.2 (wykaz wyłączeń przedmiotowych); Art. 3.3 (Zasada zamkniętego katalogu);</w:t>
      </w:r>
      <w:r>
        <w:rPr>
          <w:rFonts w:ascii="Verdana" w:hAnsi="Verdana"/>
          <w:sz w:val="20"/>
        </w:rPr>
        <w:br/>
        <w:t xml:space="preserve">Art. 4.2 (wyłączenia zakresu ochrony przy usterkach istniejących wcześniej, przed rozpoczęciem ochrony lub w okresie karencji); Art. 4.3 (określony czas trwania, brak milczącego odnowienia i automatyczne wygaśnięcie po osiągnięciu limitów); Art. 4.4 (limity wieku i przebiegu pojazdu, udokumentowane przeglądy, prawo Fleequid® do jednostronnej zmiany dopuszczalnych kategorii pojazdów); Art. 4.5 (automatyczne wygaśnięcie Gwarancji przy przeniesieniu własności Pojazdu oraz uzależnienie przeniesienia Gwarancji od pisemnej zgody Fleequid®); Art. 4.6 (początkowy okres karencji oraz zawieszenie ochrony); Art. 5.1 (wyłączenia terytorialne na etapie przedumownym); Artt. 5.2 i 5.3 (utrata ochrony i </w:t>
      </w:r>
      <w:r>
        <w:rPr>
          <w:rFonts w:ascii="Verdana" w:hAnsi="Verdana"/>
          <w:sz w:val="20"/>
        </w:rPr>
        <w:lastRenderedPageBreak/>
        <w:t>nieważność w krajach objętych ograniczeniami ogłoszonymi przez Fleequid®); Artt.</w:t>
      </w:r>
      <w:r>
        <w:rPr>
          <w:rFonts w:ascii="Verdana" w:hAnsi="Verdana"/>
          <w:sz w:val="20"/>
        </w:rPr>
        <w:br/>
        <w:t xml:space="preserve"> 5.2 i 5.3 (Utrata ochrony i nieważność gwarancji w krajach objętych ogłoszonymi ograniczeniami); Artt. 6.2, 6.3, 6.6 i 6.7 (Obowiązki Kupującego); Artt. 7.2 i 7.3 (Zgłoszenie szkody i utrata uprawnień); Artt. 8.1, 8.2, 8.4 i 8.5 (Rozpatrywanie szkody, Wyłączenia, Koszty); Artt. 9.1 i 9.2 (Ograniczenia odpowiedzialności); Art. 9.3 (Maksymalna kwota odszkodowania i wartość rezydualna); Art. 9.4 (Naprawy dodatkowe i prawo zatrzymania); Art. 9.5 (Zrzeczenie się roszczeń); Art. 9.6 (Wyłączenie uznania zakresu ochrony);</w:t>
      </w:r>
      <w:r>
        <w:rPr>
          <w:rFonts w:ascii="Verdana" w:hAnsi="Verdana"/>
          <w:sz w:val="20"/>
        </w:rPr>
        <w:br/>
        <w:t>Art. 10 (Świadczenia, Naprawy, Wyłączenia i Ograniczenia operacyjne); Art. 11 (Reklamacje i spory, Mediacja, Arbitraż);</w:t>
      </w:r>
      <w:r>
        <w:rPr>
          <w:rFonts w:ascii="Verdana" w:hAnsi="Verdana"/>
          <w:sz w:val="20"/>
        </w:rPr>
        <w:br/>
        <w:t>Art. 12 (Siła wyższa); Art. 13 (Jednostronne zmiany); Art. 14.2 (Prawo właściwe, Wyłączenie właściwości sądu powszechnego, z wyjątkiem środków zabezpieczających, Właściwy sąd)</w:t>
      </w:r>
      <w:r>
        <w:rPr>
          <w:rFonts w:ascii="Verdana" w:hAnsi="Verdana"/>
          <w:sz w:val="20"/>
        </w:rPr>
        <w:br/>
      </w:r>
    </w:p>
    <w:p w14:paraId="3373050E" w14:textId="77777777" w:rsidR="00141C58" w:rsidRDefault="00141C58" w:rsidP="00863BAB">
      <w:pPr>
        <w:spacing w:line="360" w:lineRule="auto"/>
        <w:jc w:val="both"/>
        <w:rPr>
          <w:rFonts w:ascii="Verdana" w:hAnsi="Verdana"/>
          <w:sz w:val="20"/>
          <w:szCs w:val="20"/>
        </w:rPr>
      </w:pP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3F017" w14:textId="77777777" w:rsidR="00C22525" w:rsidRDefault="00C22525" w:rsidP="002528FB">
      <w:pPr>
        <w:spacing w:after="0" w:line="240" w:lineRule="auto"/>
      </w:pPr>
      <w:r>
        <w:separator/>
      </w:r>
    </w:p>
  </w:endnote>
  <w:endnote w:type="continuationSeparator" w:id="0">
    <w:p w14:paraId="2F36FC8A" w14:textId="77777777" w:rsidR="00C22525" w:rsidRDefault="00C22525" w:rsidP="002528FB">
      <w:pPr>
        <w:spacing w:after="0" w:line="240" w:lineRule="auto"/>
      </w:pPr>
      <w:r>
        <w:continuationSeparator/>
      </w:r>
    </w:p>
  </w:endnote>
  <w:endnote w:type="continuationNotice" w:id="1">
    <w:p w14:paraId="1E9689A6" w14:textId="77777777" w:rsidR="00C22525" w:rsidRDefault="00C225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03947" w14:textId="77777777" w:rsidR="00C22525" w:rsidRDefault="00C22525" w:rsidP="002528FB">
      <w:pPr>
        <w:spacing w:after="0" w:line="240" w:lineRule="auto"/>
      </w:pPr>
      <w:r>
        <w:separator/>
      </w:r>
    </w:p>
  </w:footnote>
  <w:footnote w:type="continuationSeparator" w:id="0">
    <w:p w14:paraId="28A2CC5B" w14:textId="77777777" w:rsidR="00C22525" w:rsidRDefault="00C22525" w:rsidP="002528FB">
      <w:pPr>
        <w:spacing w:after="0" w:line="240" w:lineRule="auto"/>
      </w:pPr>
      <w:r>
        <w:continuationSeparator/>
      </w:r>
    </w:p>
  </w:footnote>
  <w:footnote w:type="continuationNotice" w:id="1">
    <w:p w14:paraId="29C4F95B" w14:textId="77777777" w:rsidR="00C22525" w:rsidRDefault="00C225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5B60C6FE" w:rsidR="002528FB" w:rsidRPr="002528FB" w:rsidRDefault="00000000" w:rsidP="002528FB">
    <w:pPr>
      <w:pStyle w:val="En-tte"/>
      <w:jc w:val="right"/>
      <w:rPr>
        <w:i/>
        <w:iCs/>
      </w:rPr>
    </w:pPr>
    <w:sdt>
      <w:sdtPr>
        <w:rPr>
          <w:i/>
          <w:iCs/>
        </w:rPr>
        <w:id w:val="1908809936"/>
        <w:docPartObj>
          <w:docPartGallery w:val="Page Numbers (Margins)"/>
          <w:docPartUnique/>
        </w:docPartObj>
      </w:sdtPr>
      <w:sdtContent/>
    </w:sdt>
    <w:r w:rsidR="000860BA">
      <w:rPr>
        <w:i/>
      </w:rPr>
      <w:t>Wersja nr. CSG-F0001_2025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2"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E1F26"/>
    <w:multiLevelType w:val="multilevel"/>
    <w:tmpl w:val="EF4CE30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7"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9"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3"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692892">
    <w:abstractNumId w:val="25"/>
  </w:num>
  <w:num w:numId="2" w16cid:durableId="554197477">
    <w:abstractNumId w:val="4"/>
  </w:num>
  <w:num w:numId="3" w16cid:durableId="560213013">
    <w:abstractNumId w:val="7"/>
  </w:num>
  <w:num w:numId="4" w16cid:durableId="1858158038">
    <w:abstractNumId w:val="12"/>
  </w:num>
  <w:num w:numId="5" w16cid:durableId="348869784">
    <w:abstractNumId w:val="28"/>
  </w:num>
  <w:num w:numId="6" w16cid:durableId="995647398">
    <w:abstractNumId w:val="21"/>
  </w:num>
  <w:num w:numId="7" w16cid:durableId="1301350166">
    <w:abstractNumId w:val="18"/>
  </w:num>
  <w:num w:numId="8" w16cid:durableId="1502963187">
    <w:abstractNumId w:val="1"/>
  </w:num>
  <w:num w:numId="9" w16cid:durableId="1492716517">
    <w:abstractNumId w:val="9"/>
  </w:num>
  <w:num w:numId="10" w16cid:durableId="338428559">
    <w:abstractNumId w:val="23"/>
  </w:num>
  <w:num w:numId="11" w16cid:durableId="110513929">
    <w:abstractNumId w:val="27"/>
  </w:num>
  <w:num w:numId="12" w16cid:durableId="1420911488">
    <w:abstractNumId w:val="29"/>
  </w:num>
  <w:num w:numId="13" w16cid:durableId="53940014">
    <w:abstractNumId w:val="34"/>
  </w:num>
  <w:num w:numId="14" w16cid:durableId="579559828">
    <w:abstractNumId w:val="2"/>
  </w:num>
  <w:num w:numId="15" w16cid:durableId="292291787">
    <w:abstractNumId w:val="26"/>
  </w:num>
  <w:num w:numId="16" w16cid:durableId="312373085">
    <w:abstractNumId w:val="19"/>
  </w:num>
  <w:num w:numId="17" w16cid:durableId="1482847197">
    <w:abstractNumId w:val="32"/>
  </w:num>
  <w:num w:numId="18" w16cid:durableId="1770391402">
    <w:abstractNumId w:val="17"/>
  </w:num>
  <w:num w:numId="19" w16cid:durableId="1485973190">
    <w:abstractNumId w:val="16"/>
  </w:num>
  <w:num w:numId="20" w16cid:durableId="1573614515">
    <w:abstractNumId w:val="20"/>
  </w:num>
  <w:num w:numId="21" w16cid:durableId="687177416">
    <w:abstractNumId w:val="11"/>
    <w:lvlOverride w:ilvl="0">
      <w:startOverride w:val="1"/>
    </w:lvlOverride>
    <w:lvlOverride w:ilvl="1"/>
    <w:lvlOverride w:ilvl="2"/>
    <w:lvlOverride w:ilvl="3"/>
    <w:lvlOverride w:ilvl="4"/>
    <w:lvlOverride w:ilvl="5"/>
    <w:lvlOverride w:ilvl="6"/>
    <w:lvlOverride w:ilvl="7"/>
    <w:lvlOverride w:ilvl="8"/>
  </w:num>
  <w:num w:numId="22" w16cid:durableId="273248537">
    <w:abstractNumId w:val="31"/>
  </w:num>
  <w:num w:numId="23" w16cid:durableId="1208760246">
    <w:abstractNumId w:val="8"/>
  </w:num>
  <w:num w:numId="24" w16cid:durableId="1103379076">
    <w:abstractNumId w:val="3"/>
  </w:num>
  <w:num w:numId="25" w16cid:durableId="760099802">
    <w:abstractNumId w:val="35"/>
  </w:num>
  <w:num w:numId="26" w16cid:durableId="168251167">
    <w:abstractNumId w:val="6"/>
  </w:num>
  <w:num w:numId="27" w16cid:durableId="1875848975">
    <w:abstractNumId w:val="5"/>
  </w:num>
  <w:num w:numId="28" w16cid:durableId="1472866202">
    <w:abstractNumId w:val="33"/>
  </w:num>
  <w:num w:numId="29" w16cid:durableId="1735085438">
    <w:abstractNumId w:val="24"/>
  </w:num>
  <w:num w:numId="30" w16cid:durableId="16467971">
    <w:abstractNumId w:val="22"/>
  </w:num>
  <w:num w:numId="31" w16cid:durableId="464399005">
    <w:abstractNumId w:val="10"/>
  </w:num>
  <w:num w:numId="32" w16cid:durableId="919096817">
    <w:abstractNumId w:val="14"/>
  </w:num>
  <w:num w:numId="33" w16cid:durableId="716508676">
    <w:abstractNumId w:val="15"/>
  </w:num>
  <w:num w:numId="34" w16cid:durableId="2036691034">
    <w:abstractNumId w:val="13"/>
  </w:num>
  <w:num w:numId="35" w16cid:durableId="718624421">
    <w:abstractNumId w:val="30"/>
  </w:num>
  <w:num w:numId="36" w16cid:durableId="10931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111A6"/>
    <w:rsid w:val="00012AAB"/>
    <w:rsid w:val="000134FE"/>
    <w:rsid w:val="00013DFC"/>
    <w:rsid w:val="00014851"/>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25AD"/>
    <w:rsid w:val="00053C9B"/>
    <w:rsid w:val="000572C8"/>
    <w:rsid w:val="00057C4D"/>
    <w:rsid w:val="000617D2"/>
    <w:rsid w:val="00061CB3"/>
    <w:rsid w:val="0006288B"/>
    <w:rsid w:val="00072897"/>
    <w:rsid w:val="00074769"/>
    <w:rsid w:val="000759FD"/>
    <w:rsid w:val="00076665"/>
    <w:rsid w:val="00080B56"/>
    <w:rsid w:val="000826AD"/>
    <w:rsid w:val="000834A7"/>
    <w:rsid w:val="00085127"/>
    <w:rsid w:val="000859C9"/>
    <w:rsid w:val="000860BA"/>
    <w:rsid w:val="00087BF5"/>
    <w:rsid w:val="00087FAF"/>
    <w:rsid w:val="000923A3"/>
    <w:rsid w:val="00093706"/>
    <w:rsid w:val="000A1650"/>
    <w:rsid w:val="000A39D1"/>
    <w:rsid w:val="000A3F48"/>
    <w:rsid w:val="000A4867"/>
    <w:rsid w:val="000A543E"/>
    <w:rsid w:val="000A5BB4"/>
    <w:rsid w:val="000A6441"/>
    <w:rsid w:val="000A7E9C"/>
    <w:rsid w:val="000B1160"/>
    <w:rsid w:val="000B1201"/>
    <w:rsid w:val="000B3F23"/>
    <w:rsid w:val="000B508D"/>
    <w:rsid w:val="000C3CBD"/>
    <w:rsid w:val="000C49AB"/>
    <w:rsid w:val="000C4CC5"/>
    <w:rsid w:val="000C5F26"/>
    <w:rsid w:val="000C733B"/>
    <w:rsid w:val="000D14A7"/>
    <w:rsid w:val="000D156B"/>
    <w:rsid w:val="000D25C7"/>
    <w:rsid w:val="000D56F2"/>
    <w:rsid w:val="000D7C76"/>
    <w:rsid w:val="000D7CDF"/>
    <w:rsid w:val="000E4C7E"/>
    <w:rsid w:val="000E505B"/>
    <w:rsid w:val="000E7852"/>
    <w:rsid w:val="000F19E2"/>
    <w:rsid w:val="000F69DA"/>
    <w:rsid w:val="000F7535"/>
    <w:rsid w:val="000F7C77"/>
    <w:rsid w:val="0010006A"/>
    <w:rsid w:val="0010095A"/>
    <w:rsid w:val="001017C1"/>
    <w:rsid w:val="00102BF1"/>
    <w:rsid w:val="00106EAB"/>
    <w:rsid w:val="00111225"/>
    <w:rsid w:val="0011411F"/>
    <w:rsid w:val="001162F0"/>
    <w:rsid w:val="00116D9D"/>
    <w:rsid w:val="00117F27"/>
    <w:rsid w:val="00124E42"/>
    <w:rsid w:val="00125CED"/>
    <w:rsid w:val="00126E72"/>
    <w:rsid w:val="00130176"/>
    <w:rsid w:val="001319D3"/>
    <w:rsid w:val="00140DCB"/>
    <w:rsid w:val="00141C58"/>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90161"/>
    <w:rsid w:val="00191ADB"/>
    <w:rsid w:val="00192E86"/>
    <w:rsid w:val="00194615"/>
    <w:rsid w:val="001953A5"/>
    <w:rsid w:val="00197591"/>
    <w:rsid w:val="001A5C2A"/>
    <w:rsid w:val="001A781B"/>
    <w:rsid w:val="001B22F8"/>
    <w:rsid w:val="001B53A6"/>
    <w:rsid w:val="001B571B"/>
    <w:rsid w:val="001B725C"/>
    <w:rsid w:val="001C15DD"/>
    <w:rsid w:val="001C2A70"/>
    <w:rsid w:val="001C5E52"/>
    <w:rsid w:val="001C6906"/>
    <w:rsid w:val="001D200F"/>
    <w:rsid w:val="001D3F59"/>
    <w:rsid w:val="001D48E2"/>
    <w:rsid w:val="001D49BE"/>
    <w:rsid w:val="001E119A"/>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72BF"/>
    <w:rsid w:val="00224ADB"/>
    <w:rsid w:val="00226BBC"/>
    <w:rsid w:val="00226C4A"/>
    <w:rsid w:val="00227D38"/>
    <w:rsid w:val="00231C5F"/>
    <w:rsid w:val="00232515"/>
    <w:rsid w:val="002326C2"/>
    <w:rsid w:val="00232E49"/>
    <w:rsid w:val="00234299"/>
    <w:rsid w:val="00234CD9"/>
    <w:rsid w:val="00235E3D"/>
    <w:rsid w:val="00250297"/>
    <w:rsid w:val="00250546"/>
    <w:rsid w:val="00251756"/>
    <w:rsid w:val="002528FB"/>
    <w:rsid w:val="00254D2D"/>
    <w:rsid w:val="002550CE"/>
    <w:rsid w:val="00255D8D"/>
    <w:rsid w:val="00257D75"/>
    <w:rsid w:val="00260903"/>
    <w:rsid w:val="00265091"/>
    <w:rsid w:val="00267279"/>
    <w:rsid w:val="00271E18"/>
    <w:rsid w:val="002723E8"/>
    <w:rsid w:val="00273098"/>
    <w:rsid w:val="00274A34"/>
    <w:rsid w:val="00275565"/>
    <w:rsid w:val="00275CA8"/>
    <w:rsid w:val="00280A37"/>
    <w:rsid w:val="00281F07"/>
    <w:rsid w:val="002836D6"/>
    <w:rsid w:val="00286467"/>
    <w:rsid w:val="00292B48"/>
    <w:rsid w:val="00296FA0"/>
    <w:rsid w:val="002A0BB0"/>
    <w:rsid w:val="002A7868"/>
    <w:rsid w:val="002B15DC"/>
    <w:rsid w:val="002B2D8C"/>
    <w:rsid w:val="002B4284"/>
    <w:rsid w:val="002B51AE"/>
    <w:rsid w:val="002B5B82"/>
    <w:rsid w:val="002B6869"/>
    <w:rsid w:val="002B7280"/>
    <w:rsid w:val="002C1141"/>
    <w:rsid w:val="002C18D6"/>
    <w:rsid w:val="002C3832"/>
    <w:rsid w:val="002D0438"/>
    <w:rsid w:val="002D2CC6"/>
    <w:rsid w:val="002D3707"/>
    <w:rsid w:val="002E27C9"/>
    <w:rsid w:val="002E5BDA"/>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5CB7"/>
    <w:rsid w:val="0035644C"/>
    <w:rsid w:val="0035675C"/>
    <w:rsid w:val="0035742E"/>
    <w:rsid w:val="00361C90"/>
    <w:rsid w:val="003706BD"/>
    <w:rsid w:val="0037105E"/>
    <w:rsid w:val="00371B42"/>
    <w:rsid w:val="003725C0"/>
    <w:rsid w:val="003727BA"/>
    <w:rsid w:val="00373C69"/>
    <w:rsid w:val="003758ED"/>
    <w:rsid w:val="003766A9"/>
    <w:rsid w:val="00377F4E"/>
    <w:rsid w:val="00380064"/>
    <w:rsid w:val="00380242"/>
    <w:rsid w:val="00381C22"/>
    <w:rsid w:val="0038369A"/>
    <w:rsid w:val="00385455"/>
    <w:rsid w:val="003866E6"/>
    <w:rsid w:val="003872C4"/>
    <w:rsid w:val="0039337A"/>
    <w:rsid w:val="003A0C94"/>
    <w:rsid w:val="003A4358"/>
    <w:rsid w:val="003A4CC2"/>
    <w:rsid w:val="003A749A"/>
    <w:rsid w:val="003A76DD"/>
    <w:rsid w:val="003A7F47"/>
    <w:rsid w:val="003B1069"/>
    <w:rsid w:val="003B62E0"/>
    <w:rsid w:val="003C0787"/>
    <w:rsid w:val="003C0E43"/>
    <w:rsid w:val="003C1324"/>
    <w:rsid w:val="003C473D"/>
    <w:rsid w:val="003C5BD7"/>
    <w:rsid w:val="003C5C2A"/>
    <w:rsid w:val="003C5D56"/>
    <w:rsid w:val="003D208A"/>
    <w:rsid w:val="003D2984"/>
    <w:rsid w:val="003D2FF7"/>
    <w:rsid w:val="003D33B3"/>
    <w:rsid w:val="003D360A"/>
    <w:rsid w:val="003D5965"/>
    <w:rsid w:val="003D6DD9"/>
    <w:rsid w:val="003D7CEA"/>
    <w:rsid w:val="003E1363"/>
    <w:rsid w:val="003E176B"/>
    <w:rsid w:val="003E2682"/>
    <w:rsid w:val="003E419B"/>
    <w:rsid w:val="003F084A"/>
    <w:rsid w:val="003F7593"/>
    <w:rsid w:val="00401B7F"/>
    <w:rsid w:val="00403EB3"/>
    <w:rsid w:val="004074FE"/>
    <w:rsid w:val="0041245D"/>
    <w:rsid w:val="004143D6"/>
    <w:rsid w:val="00415FE3"/>
    <w:rsid w:val="004173C5"/>
    <w:rsid w:val="00417EC3"/>
    <w:rsid w:val="004202B7"/>
    <w:rsid w:val="00422501"/>
    <w:rsid w:val="00423D48"/>
    <w:rsid w:val="00425387"/>
    <w:rsid w:val="00432FAF"/>
    <w:rsid w:val="00435C20"/>
    <w:rsid w:val="00441474"/>
    <w:rsid w:val="00442A54"/>
    <w:rsid w:val="00442FFB"/>
    <w:rsid w:val="004471D3"/>
    <w:rsid w:val="00450834"/>
    <w:rsid w:val="00451091"/>
    <w:rsid w:val="0045115F"/>
    <w:rsid w:val="004512BC"/>
    <w:rsid w:val="00455CC6"/>
    <w:rsid w:val="00462AEE"/>
    <w:rsid w:val="00467093"/>
    <w:rsid w:val="00476BC8"/>
    <w:rsid w:val="00476BF7"/>
    <w:rsid w:val="00477E79"/>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6A93"/>
    <w:rsid w:val="004A6CDB"/>
    <w:rsid w:val="004B4009"/>
    <w:rsid w:val="004B41E2"/>
    <w:rsid w:val="004B65B8"/>
    <w:rsid w:val="004C077E"/>
    <w:rsid w:val="004C1D3A"/>
    <w:rsid w:val="004C1D42"/>
    <w:rsid w:val="004C73C8"/>
    <w:rsid w:val="004C77C2"/>
    <w:rsid w:val="004C7B6C"/>
    <w:rsid w:val="004D3A2C"/>
    <w:rsid w:val="004D55DB"/>
    <w:rsid w:val="004D6652"/>
    <w:rsid w:val="004D6883"/>
    <w:rsid w:val="004D7425"/>
    <w:rsid w:val="004D7A52"/>
    <w:rsid w:val="004D7A6C"/>
    <w:rsid w:val="004E12EB"/>
    <w:rsid w:val="004E130B"/>
    <w:rsid w:val="004E34E7"/>
    <w:rsid w:val="004E3931"/>
    <w:rsid w:val="004E739D"/>
    <w:rsid w:val="004E7D19"/>
    <w:rsid w:val="004F0408"/>
    <w:rsid w:val="004F0655"/>
    <w:rsid w:val="004F212C"/>
    <w:rsid w:val="004F397A"/>
    <w:rsid w:val="004F7B09"/>
    <w:rsid w:val="005006D9"/>
    <w:rsid w:val="00500DBF"/>
    <w:rsid w:val="00501B8A"/>
    <w:rsid w:val="00502739"/>
    <w:rsid w:val="00503C77"/>
    <w:rsid w:val="00505483"/>
    <w:rsid w:val="00505896"/>
    <w:rsid w:val="00505DC5"/>
    <w:rsid w:val="00510655"/>
    <w:rsid w:val="00511E69"/>
    <w:rsid w:val="00512342"/>
    <w:rsid w:val="00512B42"/>
    <w:rsid w:val="00514597"/>
    <w:rsid w:val="0051567D"/>
    <w:rsid w:val="00517F9B"/>
    <w:rsid w:val="005204B4"/>
    <w:rsid w:val="00530D1C"/>
    <w:rsid w:val="005320A2"/>
    <w:rsid w:val="00534E85"/>
    <w:rsid w:val="005417C0"/>
    <w:rsid w:val="00542157"/>
    <w:rsid w:val="00551815"/>
    <w:rsid w:val="005519D6"/>
    <w:rsid w:val="00554244"/>
    <w:rsid w:val="00554933"/>
    <w:rsid w:val="00554DC2"/>
    <w:rsid w:val="00555BBA"/>
    <w:rsid w:val="005573B1"/>
    <w:rsid w:val="00560DE6"/>
    <w:rsid w:val="00563D17"/>
    <w:rsid w:val="00563EEF"/>
    <w:rsid w:val="005664D9"/>
    <w:rsid w:val="00567CE8"/>
    <w:rsid w:val="00570D7C"/>
    <w:rsid w:val="005714E2"/>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36B"/>
    <w:rsid w:val="005A46AF"/>
    <w:rsid w:val="005A5A07"/>
    <w:rsid w:val="005B0323"/>
    <w:rsid w:val="005B22EA"/>
    <w:rsid w:val="005B3006"/>
    <w:rsid w:val="005B34A1"/>
    <w:rsid w:val="005B6D35"/>
    <w:rsid w:val="005B755D"/>
    <w:rsid w:val="005C1369"/>
    <w:rsid w:val="005C3A92"/>
    <w:rsid w:val="005C3EA5"/>
    <w:rsid w:val="005C4AAB"/>
    <w:rsid w:val="005C4B18"/>
    <w:rsid w:val="005C5E76"/>
    <w:rsid w:val="005D2A44"/>
    <w:rsid w:val="005D323D"/>
    <w:rsid w:val="005E306F"/>
    <w:rsid w:val="005E5166"/>
    <w:rsid w:val="005F437B"/>
    <w:rsid w:val="005F50F4"/>
    <w:rsid w:val="005F6EBB"/>
    <w:rsid w:val="00600124"/>
    <w:rsid w:val="006001F7"/>
    <w:rsid w:val="00600E5F"/>
    <w:rsid w:val="006013BB"/>
    <w:rsid w:val="006016DC"/>
    <w:rsid w:val="006031AD"/>
    <w:rsid w:val="00605644"/>
    <w:rsid w:val="00606C88"/>
    <w:rsid w:val="00610C3A"/>
    <w:rsid w:val="00610D61"/>
    <w:rsid w:val="00611B27"/>
    <w:rsid w:val="00612977"/>
    <w:rsid w:val="00614642"/>
    <w:rsid w:val="00615ECD"/>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5BB8"/>
    <w:rsid w:val="0064620C"/>
    <w:rsid w:val="00650B4D"/>
    <w:rsid w:val="006520F5"/>
    <w:rsid w:val="006550D1"/>
    <w:rsid w:val="006620FF"/>
    <w:rsid w:val="00662A7A"/>
    <w:rsid w:val="00662F05"/>
    <w:rsid w:val="006653CC"/>
    <w:rsid w:val="0066732F"/>
    <w:rsid w:val="00671D46"/>
    <w:rsid w:val="006734FB"/>
    <w:rsid w:val="00675E8E"/>
    <w:rsid w:val="00681449"/>
    <w:rsid w:val="00683C74"/>
    <w:rsid w:val="0068445D"/>
    <w:rsid w:val="006918FA"/>
    <w:rsid w:val="00694F9A"/>
    <w:rsid w:val="0069669E"/>
    <w:rsid w:val="00697E60"/>
    <w:rsid w:val="006A33E9"/>
    <w:rsid w:val="006A5E47"/>
    <w:rsid w:val="006A702B"/>
    <w:rsid w:val="006A7747"/>
    <w:rsid w:val="006B0636"/>
    <w:rsid w:val="006B088F"/>
    <w:rsid w:val="006B1CFA"/>
    <w:rsid w:val="006B48E0"/>
    <w:rsid w:val="006B4DA4"/>
    <w:rsid w:val="006B6F15"/>
    <w:rsid w:val="006B7E97"/>
    <w:rsid w:val="006C15EA"/>
    <w:rsid w:val="006C2AB9"/>
    <w:rsid w:val="006C6617"/>
    <w:rsid w:val="006C6BF9"/>
    <w:rsid w:val="006C7F39"/>
    <w:rsid w:val="006D0B20"/>
    <w:rsid w:val="006D132D"/>
    <w:rsid w:val="006D15F9"/>
    <w:rsid w:val="006D260C"/>
    <w:rsid w:val="006D4015"/>
    <w:rsid w:val="006D6F08"/>
    <w:rsid w:val="006E1BCA"/>
    <w:rsid w:val="006E636F"/>
    <w:rsid w:val="006E6442"/>
    <w:rsid w:val="006E6B5D"/>
    <w:rsid w:val="006E7113"/>
    <w:rsid w:val="006F29DB"/>
    <w:rsid w:val="006F45EE"/>
    <w:rsid w:val="006F4B50"/>
    <w:rsid w:val="006F50FA"/>
    <w:rsid w:val="006F6529"/>
    <w:rsid w:val="006F7179"/>
    <w:rsid w:val="006F7A78"/>
    <w:rsid w:val="0070072B"/>
    <w:rsid w:val="0070120D"/>
    <w:rsid w:val="00702125"/>
    <w:rsid w:val="007021F5"/>
    <w:rsid w:val="007030F0"/>
    <w:rsid w:val="00703CE8"/>
    <w:rsid w:val="007053B9"/>
    <w:rsid w:val="0070750C"/>
    <w:rsid w:val="00710F5C"/>
    <w:rsid w:val="0071148D"/>
    <w:rsid w:val="00712689"/>
    <w:rsid w:val="00714F4C"/>
    <w:rsid w:val="00720ED1"/>
    <w:rsid w:val="00722206"/>
    <w:rsid w:val="00722328"/>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36A4"/>
    <w:rsid w:val="007466F0"/>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373B"/>
    <w:rsid w:val="0077672B"/>
    <w:rsid w:val="00780610"/>
    <w:rsid w:val="00781808"/>
    <w:rsid w:val="00782593"/>
    <w:rsid w:val="00783C26"/>
    <w:rsid w:val="00787B15"/>
    <w:rsid w:val="00787E09"/>
    <w:rsid w:val="0079142A"/>
    <w:rsid w:val="00791EED"/>
    <w:rsid w:val="00793825"/>
    <w:rsid w:val="007967CF"/>
    <w:rsid w:val="007A1A6E"/>
    <w:rsid w:val="007A230A"/>
    <w:rsid w:val="007A4F22"/>
    <w:rsid w:val="007B1546"/>
    <w:rsid w:val="007B2510"/>
    <w:rsid w:val="007B323C"/>
    <w:rsid w:val="007B4B48"/>
    <w:rsid w:val="007B537B"/>
    <w:rsid w:val="007B5FAD"/>
    <w:rsid w:val="007B6564"/>
    <w:rsid w:val="007C1C6A"/>
    <w:rsid w:val="007C43CB"/>
    <w:rsid w:val="007C443D"/>
    <w:rsid w:val="007C560B"/>
    <w:rsid w:val="007C5F68"/>
    <w:rsid w:val="007C68C6"/>
    <w:rsid w:val="007D0152"/>
    <w:rsid w:val="007D12D6"/>
    <w:rsid w:val="007D31B7"/>
    <w:rsid w:val="007D44AD"/>
    <w:rsid w:val="007D4D57"/>
    <w:rsid w:val="007D6D1F"/>
    <w:rsid w:val="007E1B30"/>
    <w:rsid w:val="007E2F9D"/>
    <w:rsid w:val="007E3D43"/>
    <w:rsid w:val="007E5574"/>
    <w:rsid w:val="007E578F"/>
    <w:rsid w:val="007F108C"/>
    <w:rsid w:val="007F254D"/>
    <w:rsid w:val="007F4624"/>
    <w:rsid w:val="0080055F"/>
    <w:rsid w:val="00802497"/>
    <w:rsid w:val="00806356"/>
    <w:rsid w:val="008064AB"/>
    <w:rsid w:val="008105F5"/>
    <w:rsid w:val="00812758"/>
    <w:rsid w:val="00812D2B"/>
    <w:rsid w:val="00813CD4"/>
    <w:rsid w:val="00821234"/>
    <w:rsid w:val="008219B7"/>
    <w:rsid w:val="008226FD"/>
    <w:rsid w:val="0082562E"/>
    <w:rsid w:val="008257C9"/>
    <w:rsid w:val="008259B2"/>
    <w:rsid w:val="00827AEB"/>
    <w:rsid w:val="00832940"/>
    <w:rsid w:val="00832B10"/>
    <w:rsid w:val="0083540C"/>
    <w:rsid w:val="00835B00"/>
    <w:rsid w:val="00837783"/>
    <w:rsid w:val="00841F75"/>
    <w:rsid w:val="0084346E"/>
    <w:rsid w:val="00843882"/>
    <w:rsid w:val="008442A6"/>
    <w:rsid w:val="00844630"/>
    <w:rsid w:val="0085011C"/>
    <w:rsid w:val="00850CB4"/>
    <w:rsid w:val="008511FC"/>
    <w:rsid w:val="0085250E"/>
    <w:rsid w:val="00857728"/>
    <w:rsid w:val="00860CF1"/>
    <w:rsid w:val="00861F71"/>
    <w:rsid w:val="00862E8E"/>
    <w:rsid w:val="00863BAB"/>
    <w:rsid w:val="0086479A"/>
    <w:rsid w:val="00865FBE"/>
    <w:rsid w:val="00866866"/>
    <w:rsid w:val="00866BEB"/>
    <w:rsid w:val="00867B95"/>
    <w:rsid w:val="00870E67"/>
    <w:rsid w:val="0087394A"/>
    <w:rsid w:val="00874F42"/>
    <w:rsid w:val="00875AC8"/>
    <w:rsid w:val="00876AA7"/>
    <w:rsid w:val="00881A72"/>
    <w:rsid w:val="00882928"/>
    <w:rsid w:val="0088303B"/>
    <w:rsid w:val="008852CF"/>
    <w:rsid w:val="0088686A"/>
    <w:rsid w:val="0088778F"/>
    <w:rsid w:val="008965A8"/>
    <w:rsid w:val="00896A01"/>
    <w:rsid w:val="00896AA1"/>
    <w:rsid w:val="008A0B1D"/>
    <w:rsid w:val="008B2E18"/>
    <w:rsid w:val="008B5B99"/>
    <w:rsid w:val="008B72B7"/>
    <w:rsid w:val="008C4CCE"/>
    <w:rsid w:val="008C52E7"/>
    <w:rsid w:val="008C605D"/>
    <w:rsid w:val="008C67F1"/>
    <w:rsid w:val="008D416B"/>
    <w:rsid w:val="008D4D67"/>
    <w:rsid w:val="008D5171"/>
    <w:rsid w:val="008D5C93"/>
    <w:rsid w:val="008D6AD9"/>
    <w:rsid w:val="008D6C45"/>
    <w:rsid w:val="008E0701"/>
    <w:rsid w:val="008E0B1E"/>
    <w:rsid w:val="008E3A61"/>
    <w:rsid w:val="008E3BCC"/>
    <w:rsid w:val="008E401C"/>
    <w:rsid w:val="008F2634"/>
    <w:rsid w:val="008F462F"/>
    <w:rsid w:val="009006E7"/>
    <w:rsid w:val="009030C0"/>
    <w:rsid w:val="00905641"/>
    <w:rsid w:val="00905DA5"/>
    <w:rsid w:val="00907F76"/>
    <w:rsid w:val="00910D6D"/>
    <w:rsid w:val="009112A5"/>
    <w:rsid w:val="00911944"/>
    <w:rsid w:val="00914437"/>
    <w:rsid w:val="00916F01"/>
    <w:rsid w:val="00920318"/>
    <w:rsid w:val="0092071E"/>
    <w:rsid w:val="00921BBB"/>
    <w:rsid w:val="00922522"/>
    <w:rsid w:val="0092541F"/>
    <w:rsid w:val="00925466"/>
    <w:rsid w:val="009260F8"/>
    <w:rsid w:val="00926289"/>
    <w:rsid w:val="00926375"/>
    <w:rsid w:val="009301BC"/>
    <w:rsid w:val="00930551"/>
    <w:rsid w:val="00931D31"/>
    <w:rsid w:val="00931F3B"/>
    <w:rsid w:val="00942685"/>
    <w:rsid w:val="00945431"/>
    <w:rsid w:val="00951B21"/>
    <w:rsid w:val="00955B00"/>
    <w:rsid w:val="00964C80"/>
    <w:rsid w:val="00964C98"/>
    <w:rsid w:val="0096583D"/>
    <w:rsid w:val="00966A05"/>
    <w:rsid w:val="00967135"/>
    <w:rsid w:val="009702B3"/>
    <w:rsid w:val="009705AD"/>
    <w:rsid w:val="00971E1E"/>
    <w:rsid w:val="0097213E"/>
    <w:rsid w:val="009731A1"/>
    <w:rsid w:val="009756F5"/>
    <w:rsid w:val="00980E02"/>
    <w:rsid w:val="00981B52"/>
    <w:rsid w:val="00982F96"/>
    <w:rsid w:val="00984F9F"/>
    <w:rsid w:val="00985D75"/>
    <w:rsid w:val="00991039"/>
    <w:rsid w:val="00991459"/>
    <w:rsid w:val="00992C19"/>
    <w:rsid w:val="009939B2"/>
    <w:rsid w:val="00994565"/>
    <w:rsid w:val="0099502A"/>
    <w:rsid w:val="00996375"/>
    <w:rsid w:val="009A2CD3"/>
    <w:rsid w:val="009A36BC"/>
    <w:rsid w:val="009A58AF"/>
    <w:rsid w:val="009A6128"/>
    <w:rsid w:val="009A7A6F"/>
    <w:rsid w:val="009B3634"/>
    <w:rsid w:val="009B38C3"/>
    <w:rsid w:val="009B5107"/>
    <w:rsid w:val="009B61AB"/>
    <w:rsid w:val="009C0092"/>
    <w:rsid w:val="009C0AF1"/>
    <w:rsid w:val="009C3304"/>
    <w:rsid w:val="009C330E"/>
    <w:rsid w:val="009C414F"/>
    <w:rsid w:val="009C42A5"/>
    <w:rsid w:val="009C60A7"/>
    <w:rsid w:val="009C73AF"/>
    <w:rsid w:val="009D07FF"/>
    <w:rsid w:val="009D18DD"/>
    <w:rsid w:val="009D319B"/>
    <w:rsid w:val="009D3807"/>
    <w:rsid w:val="009D3F86"/>
    <w:rsid w:val="009D6CA9"/>
    <w:rsid w:val="009D7DE4"/>
    <w:rsid w:val="009E1714"/>
    <w:rsid w:val="009E4902"/>
    <w:rsid w:val="009E78FA"/>
    <w:rsid w:val="009F44A5"/>
    <w:rsid w:val="009F5115"/>
    <w:rsid w:val="009F61E2"/>
    <w:rsid w:val="009F6782"/>
    <w:rsid w:val="009F6818"/>
    <w:rsid w:val="009F69DB"/>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2B36"/>
    <w:rsid w:val="00A24646"/>
    <w:rsid w:val="00A25E27"/>
    <w:rsid w:val="00A303B8"/>
    <w:rsid w:val="00A330C1"/>
    <w:rsid w:val="00A34054"/>
    <w:rsid w:val="00A35F4B"/>
    <w:rsid w:val="00A37A30"/>
    <w:rsid w:val="00A37D2C"/>
    <w:rsid w:val="00A4154B"/>
    <w:rsid w:val="00A41A40"/>
    <w:rsid w:val="00A42055"/>
    <w:rsid w:val="00A43126"/>
    <w:rsid w:val="00A520A8"/>
    <w:rsid w:val="00A525D4"/>
    <w:rsid w:val="00A57FD3"/>
    <w:rsid w:val="00A614F4"/>
    <w:rsid w:val="00A6175D"/>
    <w:rsid w:val="00A65214"/>
    <w:rsid w:val="00A66925"/>
    <w:rsid w:val="00A71B1E"/>
    <w:rsid w:val="00A71C1A"/>
    <w:rsid w:val="00A720AD"/>
    <w:rsid w:val="00A72957"/>
    <w:rsid w:val="00A747F5"/>
    <w:rsid w:val="00A75E39"/>
    <w:rsid w:val="00A809BB"/>
    <w:rsid w:val="00A83333"/>
    <w:rsid w:val="00A87724"/>
    <w:rsid w:val="00A87BEA"/>
    <w:rsid w:val="00A93939"/>
    <w:rsid w:val="00A95178"/>
    <w:rsid w:val="00A979C8"/>
    <w:rsid w:val="00AA1013"/>
    <w:rsid w:val="00AA29F9"/>
    <w:rsid w:val="00AB0400"/>
    <w:rsid w:val="00AB19D7"/>
    <w:rsid w:val="00AB1AC0"/>
    <w:rsid w:val="00AB4881"/>
    <w:rsid w:val="00AB48AA"/>
    <w:rsid w:val="00AC1A23"/>
    <w:rsid w:val="00AC39FC"/>
    <w:rsid w:val="00AC3D55"/>
    <w:rsid w:val="00AC6C60"/>
    <w:rsid w:val="00AC7FA0"/>
    <w:rsid w:val="00AD0478"/>
    <w:rsid w:val="00AD0DED"/>
    <w:rsid w:val="00AD34BC"/>
    <w:rsid w:val="00AD53A2"/>
    <w:rsid w:val="00AD6042"/>
    <w:rsid w:val="00AE01E0"/>
    <w:rsid w:val="00AE1946"/>
    <w:rsid w:val="00AE4C30"/>
    <w:rsid w:val="00AE5486"/>
    <w:rsid w:val="00AF0EC2"/>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2111D"/>
    <w:rsid w:val="00B22B82"/>
    <w:rsid w:val="00B23122"/>
    <w:rsid w:val="00B240F1"/>
    <w:rsid w:val="00B2415C"/>
    <w:rsid w:val="00B2441A"/>
    <w:rsid w:val="00B24740"/>
    <w:rsid w:val="00B27E74"/>
    <w:rsid w:val="00B3016B"/>
    <w:rsid w:val="00B302FD"/>
    <w:rsid w:val="00B308E2"/>
    <w:rsid w:val="00B34AE3"/>
    <w:rsid w:val="00B36EDB"/>
    <w:rsid w:val="00B36FE2"/>
    <w:rsid w:val="00B37944"/>
    <w:rsid w:val="00B42E87"/>
    <w:rsid w:val="00B43E28"/>
    <w:rsid w:val="00B444CB"/>
    <w:rsid w:val="00B44C95"/>
    <w:rsid w:val="00B4635C"/>
    <w:rsid w:val="00B5039E"/>
    <w:rsid w:val="00B505AD"/>
    <w:rsid w:val="00B5253F"/>
    <w:rsid w:val="00B60A2E"/>
    <w:rsid w:val="00B610EE"/>
    <w:rsid w:val="00B621E5"/>
    <w:rsid w:val="00B63F24"/>
    <w:rsid w:val="00B64B94"/>
    <w:rsid w:val="00B673A0"/>
    <w:rsid w:val="00B67E7D"/>
    <w:rsid w:val="00B706C7"/>
    <w:rsid w:val="00B71C75"/>
    <w:rsid w:val="00B724AE"/>
    <w:rsid w:val="00B76484"/>
    <w:rsid w:val="00B76FA8"/>
    <w:rsid w:val="00B82B1B"/>
    <w:rsid w:val="00B83530"/>
    <w:rsid w:val="00B863CD"/>
    <w:rsid w:val="00B90382"/>
    <w:rsid w:val="00B909AB"/>
    <w:rsid w:val="00B91701"/>
    <w:rsid w:val="00B92BD1"/>
    <w:rsid w:val="00B930F2"/>
    <w:rsid w:val="00B9363E"/>
    <w:rsid w:val="00B93C6D"/>
    <w:rsid w:val="00B97439"/>
    <w:rsid w:val="00B97E99"/>
    <w:rsid w:val="00BA08DF"/>
    <w:rsid w:val="00BA22C1"/>
    <w:rsid w:val="00BB1D29"/>
    <w:rsid w:val="00BB702B"/>
    <w:rsid w:val="00BC2188"/>
    <w:rsid w:val="00BC372F"/>
    <w:rsid w:val="00BC39D1"/>
    <w:rsid w:val="00BC3BC3"/>
    <w:rsid w:val="00BC4210"/>
    <w:rsid w:val="00BC4650"/>
    <w:rsid w:val="00BC63CF"/>
    <w:rsid w:val="00BC6E00"/>
    <w:rsid w:val="00BC708B"/>
    <w:rsid w:val="00BD0947"/>
    <w:rsid w:val="00BD2522"/>
    <w:rsid w:val="00BD5D56"/>
    <w:rsid w:val="00BE1A67"/>
    <w:rsid w:val="00BE3537"/>
    <w:rsid w:val="00BE37C3"/>
    <w:rsid w:val="00BE772F"/>
    <w:rsid w:val="00BE77B2"/>
    <w:rsid w:val="00BF0EDC"/>
    <w:rsid w:val="00BF196F"/>
    <w:rsid w:val="00BF4455"/>
    <w:rsid w:val="00BF5262"/>
    <w:rsid w:val="00BF6DF4"/>
    <w:rsid w:val="00BF7B2C"/>
    <w:rsid w:val="00C00046"/>
    <w:rsid w:val="00C03EF0"/>
    <w:rsid w:val="00C05676"/>
    <w:rsid w:val="00C05B0A"/>
    <w:rsid w:val="00C10D1B"/>
    <w:rsid w:val="00C11655"/>
    <w:rsid w:val="00C120EC"/>
    <w:rsid w:val="00C1244F"/>
    <w:rsid w:val="00C13CC1"/>
    <w:rsid w:val="00C13FBF"/>
    <w:rsid w:val="00C15280"/>
    <w:rsid w:val="00C2195E"/>
    <w:rsid w:val="00C22525"/>
    <w:rsid w:val="00C236EA"/>
    <w:rsid w:val="00C23AEB"/>
    <w:rsid w:val="00C24120"/>
    <w:rsid w:val="00C2455E"/>
    <w:rsid w:val="00C33B8B"/>
    <w:rsid w:val="00C34A03"/>
    <w:rsid w:val="00C35A51"/>
    <w:rsid w:val="00C35E22"/>
    <w:rsid w:val="00C412F2"/>
    <w:rsid w:val="00C445FC"/>
    <w:rsid w:val="00C50B03"/>
    <w:rsid w:val="00C514A3"/>
    <w:rsid w:val="00C53084"/>
    <w:rsid w:val="00C53834"/>
    <w:rsid w:val="00C5460C"/>
    <w:rsid w:val="00C56EC3"/>
    <w:rsid w:val="00C56FB0"/>
    <w:rsid w:val="00C604C2"/>
    <w:rsid w:val="00C6066E"/>
    <w:rsid w:val="00C60B76"/>
    <w:rsid w:val="00C63CA0"/>
    <w:rsid w:val="00C65A3F"/>
    <w:rsid w:val="00C664ED"/>
    <w:rsid w:val="00C672B1"/>
    <w:rsid w:val="00C737BA"/>
    <w:rsid w:val="00C77601"/>
    <w:rsid w:val="00C7799D"/>
    <w:rsid w:val="00C81EC7"/>
    <w:rsid w:val="00C8284F"/>
    <w:rsid w:val="00C83715"/>
    <w:rsid w:val="00C87099"/>
    <w:rsid w:val="00C878A1"/>
    <w:rsid w:val="00C91872"/>
    <w:rsid w:val="00C9213F"/>
    <w:rsid w:val="00C92165"/>
    <w:rsid w:val="00C9352F"/>
    <w:rsid w:val="00CA250F"/>
    <w:rsid w:val="00CA4B42"/>
    <w:rsid w:val="00CA4C92"/>
    <w:rsid w:val="00CA4F9A"/>
    <w:rsid w:val="00CA523D"/>
    <w:rsid w:val="00CA7CAF"/>
    <w:rsid w:val="00CB0747"/>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22B0"/>
    <w:rsid w:val="00CE3676"/>
    <w:rsid w:val="00CE594E"/>
    <w:rsid w:val="00CE7119"/>
    <w:rsid w:val="00CE7376"/>
    <w:rsid w:val="00CE7E82"/>
    <w:rsid w:val="00CF15B2"/>
    <w:rsid w:val="00CF2424"/>
    <w:rsid w:val="00CF453F"/>
    <w:rsid w:val="00CF4FC7"/>
    <w:rsid w:val="00CF52C6"/>
    <w:rsid w:val="00D00510"/>
    <w:rsid w:val="00D05EBE"/>
    <w:rsid w:val="00D101C3"/>
    <w:rsid w:val="00D1030D"/>
    <w:rsid w:val="00D103DD"/>
    <w:rsid w:val="00D140BB"/>
    <w:rsid w:val="00D157E5"/>
    <w:rsid w:val="00D17324"/>
    <w:rsid w:val="00D20F8B"/>
    <w:rsid w:val="00D21C5E"/>
    <w:rsid w:val="00D224C7"/>
    <w:rsid w:val="00D257AB"/>
    <w:rsid w:val="00D31171"/>
    <w:rsid w:val="00D327F3"/>
    <w:rsid w:val="00D33318"/>
    <w:rsid w:val="00D37F9F"/>
    <w:rsid w:val="00D4016B"/>
    <w:rsid w:val="00D40D50"/>
    <w:rsid w:val="00D42075"/>
    <w:rsid w:val="00D442C7"/>
    <w:rsid w:val="00D5163A"/>
    <w:rsid w:val="00D5181E"/>
    <w:rsid w:val="00D51E3F"/>
    <w:rsid w:val="00D53912"/>
    <w:rsid w:val="00D5708E"/>
    <w:rsid w:val="00D6025B"/>
    <w:rsid w:val="00D65320"/>
    <w:rsid w:val="00D66020"/>
    <w:rsid w:val="00D70B90"/>
    <w:rsid w:val="00D73888"/>
    <w:rsid w:val="00D73ACC"/>
    <w:rsid w:val="00D81F25"/>
    <w:rsid w:val="00D82E38"/>
    <w:rsid w:val="00D85753"/>
    <w:rsid w:val="00D90775"/>
    <w:rsid w:val="00D908D7"/>
    <w:rsid w:val="00D90AF6"/>
    <w:rsid w:val="00D91881"/>
    <w:rsid w:val="00D97037"/>
    <w:rsid w:val="00DA0739"/>
    <w:rsid w:val="00DA0805"/>
    <w:rsid w:val="00DA2FA0"/>
    <w:rsid w:val="00DA3F10"/>
    <w:rsid w:val="00DA4829"/>
    <w:rsid w:val="00DA5A2C"/>
    <w:rsid w:val="00DA75B7"/>
    <w:rsid w:val="00DA77E3"/>
    <w:rsid w:val="00DA7CFC"/>
    <w:rsid w:val="00DB017D"/>
    <w:rsid w:val="00DB1960"/>
    <w:rsid w:val="00DB223E"/>
    <w:rsid w:val="00DB2A0E"/>
    <w:rsid w:val="00DB2D64"/>
    <w:rsid w:val="00DB4892"/>
    <w:rsid w:val="00DC24B4"/>
    <w:rsid w:val="00DC27B0"/>
    <w:rsid w:val="00DC29DA"/>
    <w:rsid w:val="00DC431C"/>
    <w:rsid w:val="00DC6301"/>
    <w:rsid w:val="00DD089C"/>
    <w:rsid w:val="00DD4153"/>
    <w:rsid w:val="00DD6532"/>
    <w:rsid w:val="00DE1111"/>
    <w:rsid w:val="00DE3ABF"/>
    <w:rsid w:val="00DE4362"/>
    <w:rsid w:val="00DE5275"/>
    <w:rsid w:val="00DE600B"/>
    <w:rsid w:val="00DE6D57"/>
    <w:rsid w:val="00DE75A6"/>
    <w:rsid w:val="00DF118F"/>
    <w:rsid w:val="00DF18D3"/>
    <w:rsid w:val="00DF50A0"/>
    <w:rsid w:val="00DF6833"/>
    <w:rsid w:val="00E00356"/>
    <w:rsid w:val="00E02A94"/>
    <w:rsid w:val="00E035A7"/>
    <w:rsid w:val="00E03F86"/>
    <w:rsid w:val="00E060D8"/>
    <w:rsid w:val="00E07001"/>
    <w:rsid w:val="00E10A39"/>
    <w:rsid w:val="00E210AD"/>
    <w:rsid w:val="00E218AF"/>
    <w:rsid w:val="00E23882"/>
    <w:rsid w:val="00E25673"/>
    <w:rsid w:val="00E25844"/>
    <w:rsid w:val="00E27035"/>
    <w:rsid w:val="00E27BBA"/>
    <w:rsid w:val="00E315EE"/>
    <w:rsid w:val="00E31D2F"/>
    <w:rsid w:val="00E377C2"/>
    <w:rsid w:val="00E411F3"/>
    <w:rsid w:val="00E47DA4"/>
    <w:rsid w:val="00E52367"/>
    <w:rsid w:val="00E52614"/>
    <w:rsid w:val="00E52ADF"/>
    <w:rsid w:val="00E53D6F"/>
    <w:rsid w:val="00E5422C"/>
    <w:rsid w:val="00E553C4"/>
    <w:rsid w:val="00E629DE"/>
    <w:rsid w:val="00E730DF"/>
    <w:rsid w:val="00E73DE6"/>
    <w:rsid w:val="00E74916"/>
    <w:rsid w:val="00E74A39"/>
    <w:rsid w:val="00E756FC"/>
    <w:rsid w:val="00E77561"/>
    <w:rsid w:val="00E81E72"/>
    <w:rsid w:val="00E82239"/>
    <w:rsid w:val="00E843AD"/>
    <w:rsid w:val="00E853A9"/>
    <w:rsid w:val="00E8651B"/>
    <w:rsid w:val="00E90DD7"/>
    <w:rsid w:val="00E9150B"/>
    <w:rsid w:val="00E93843"/>
    <w:rsid w:val="00E93941"/>
    <w:rsid w:val="00E95B88"/>
    <w:rsid w:val="00E9643C"/>
    <w:rsid w:val="00E9717D"/>
    <w:rsid w:val="00E97B37"/>
    <w:rsid w:val="00E97ED4"/>
    <w:rsid w:val="00EA037D"/>
    <w:rsid w:val="00EA1163"/>
    <w:rsid w:val="00EA357C"/>
    <w:rsid w:val="00EA6E36"/>
    <w:rsid w:val="00EB269E"/>
    <w:rsid w:val="00EB5F8E"/>
    <w:rsid w:val="00EB7983"/>
    <w:rsid w:val="00EC019C"/>
    <w:rsid w:val="00EC3A61"/>
    <w:rsid w:val="00EC7146"/>
    <w:rsid w:val="00ED2EB4"/>
    <w:rsid w:val="00ED3B0B"/>
    <w:rsid w:val="00ED555E"/>
    <w:rsid w:val="00EE21C4"/>
    <w:rsid w:val="00EE4743"/>
    <w:rsid w:val="00EE4885"/>
    <w:rsid w:val="00EE4A0B"/>
    <w:rsid w:val="00EE4E77"/>
    <w:rsid w:val="00EE78A0"/>
    <w:rsid w:val="00EF0C0E"/>
    <w:rsid w:val="00EF2768"/>
    <w:rsid w:val="00EF2FCE"/>
    <w:rsid w:val="00EF4721"/>
    <w:rsid w:val="00EF4B29"/>
    <w:rsid w:val="00EF4BFF"/>
    <w:rsid w:val="00EF70C5"/>
    <w:rsid w:val="00F011AD"/>
    <w:rsid w:val="00F04E7C"/>
    <w:rsid w:val="00F05CD5"/>
    <w:rsid w:val="00F06FC5"/>
    <w:rsid w:val="00F07568"/>
    <w:rsid w:val="00F119F3"/>
    <w:rsid w:val="00F11EE0"/>
    <w:rsid w:val="00F155E4"/>
    <w:rsid w:val="00F220B9"/>
    <w:rsid w:val="00F23049"/>
    <w:rsid w:val="00F23AEF"/>
    <w:rsid w:val="00F248A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4C8C"/>
    <w:rsid w:val="00F47926"/>
    <w:rsid w:val="00F511B5"/>
    <w:rsid w:val="00F52EFC"/>
    <w:rsid w:val="00F5346C"/>
    <w:rsid w:val="00F55212"/>
    <w:rsid w:val="00F55404"/>
    <w:rsid w:val="00F55CAE"/>
    <w:rsid w:val="00F60016"/>
    <w:rsid w:val="00F63807"/>
    <w:rsid w:val="00F64CF2"/>
    <w:rsid w:val="00F724DA"/>
    <w:rsid w:val="00F731CC"/>
    <w:rsid w:val="00F745DB"/>
    <w:rsid w:val="00F817FA"/>
    <w:rsid w:val="00F8535E"/>
    <w:rsid w:val="00F853A6"/>
    <w:rsid w:val="00F913CD"/>
    <w:rsid w:val="00F97588"/>
    <w:rsid w:val="00F97837"/>
    <w:rsid w:val="00FA0187"/>
    <w:rsid w:val="00FA43F1"/>
    <w:rsid w:val="00FA474C"/>
    <w:rsid w:val="00FA47CE"/>
    <w:rsid w:val="00FB10FD"/>
    <w:rsid w:val="00FB1F0B"/>
    <w:rsid w:val="00FB4455"/>
    <w:rsid w:val="00FB5963"/>
    <w:rsid w:val="00FB6845"/>
    <w:rsid w:val="00FB6D46"/>
    <w:rsid w:val="00FB768F"/>
    <w:rsid w:val="00FD12FE"/>
    <w:rsid w:val="00FD7FAE"/>
    <w:rsid w:val="00FE0DA5"/>
    <w:rsid w:val="00FE2723"/>
    <w:rsid w:val="00FE28DE"/>
    <w:rsid w:val="00FE2B25"/>
    <w:rsid w:val="00FE5620"/>
    <w:rsid w:val="00FE7FF3"/>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AC874F"/>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E642E688-35DD-451B-BB79-C76E49C3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BF5"/>
  </w:style>
  <w:style w:type="paragraph" w:styleId="Titre1">
    <w:name w:val="heading 1"/>
    <w:basedOn w:val="Normal"/>
    <w:next w:val="Normal"/>
    <w:link w:val="Titre1Car"/>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7B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87B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87B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87B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87B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87B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87B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87BF5"/>
    <w:rPr>
      <w:rFonts w:eastAsiaTheme="majorEastAsia" w:cstheme="majorBidi"/>
      <w:color w:val="272727" w:themeColor="text1" w:themeTint="D8"/>
    </w:rPr>
  </w:style>
  <w:style w:type="paragraph" w:styleId="Titre">
    <w:name w:val="Title"/>
    <w:basedOn w:val="Normal"/>
    <w:next w:val="Normal"/>
    <w:link w:val="TitreCar"/>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7B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87B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87BF5"/>
    <w:pPr>
      <w:spacing w:before="160"/>
      <w:jc w:val="center"/>
    </w:pPr>
    <w:rPr>
      <w:i/>
      <w:iCs/>
      <w:color w:val="404040" w:themeColor="text1" w:themeTint="BF"/>
    </w:rPr>
  </w:style>
  <w:style w:type="character" w:customStyle="1" w:styleId="CitationCar">
    <w:name w:val="Citation Car"/>
    <w:basedOn w:val="Policepardfaut"/>
    <w:link w:val="Citation"/>
    <w:uiPriority w:val="29"/>
    <w:rsid w:val="00087BF5"/>
    <w:rPr>
      <w:i/>
      <w:iCs/>
      <w:color w:val="404040" w:themeColor="text1" w:themeTint="BF"/>
    </w:rPr>
  </w:style>
  <w:style w:type="paragraph" w:styleId="Paragraphedeliste">
    <w:name w:val="List Paragraph"/>
    <w:basedOn w:val="Normal"/>
    <w:uiPriority w:val="34"/>
    <w:qFormat/>
    <w:rsid w:val="00087BF5"/>
    <w:pPr>
      <w:ind w:left="720"/>
      <w:contextualSpacing/>
    </w:pPr>
  </w:style>
  <w:style w:type="character" w:styleId="Accentuationintense">
    <w:name w:val="Intense Emphasis"/>
    <w:basedOn w:val="Policepardfaut"/>
    <w:uiPriority w:val="21"/>
    <w:qFormat/>
    <w:rsid w:val="00087BF5"/>
    <w:rPr>
      <w:i/>
      <w:iCs/>
      <w:color w:val="0F4761" w:themeColor="accent1" w:themeShade="BF"/>
    </w:rPr>
  </w:style>
  <w:style w:type="paragraph" w:styleId="Citationintense">
    <w:name w:val="Intense Quote"/>
    <w:basedOn w:val="Normal"/>
    <w:next w:val="Normal"/>
    <w:link w:val="CitationintenseCar"/>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87BF5"/>
    <w:rPr>
      <w:i/>
      <w:iCs/>
      <w:color w:val="0F4761" w:themeColor="accent1" w:themeShade="BF"/>
    </w:rPr>
  </w:style>
  <w:style w:type="character" w:styleId="Rfrenceintense">
    <w:name w:val="Intense Reference"/>
    <w:basedOn w:val="Policepardfaut"/>
    <w:uiPriority w:val="32"/>
    <w:qFormat/>
    <w:rsid w:val="00087BF5"/>
    <w:rPr>
      <w:b/>
      <w:bCs/>
      <w:smallCaps/>
      <w:color w:val="0F4761" w:themeColor="accent1" w:themeShade="BF"/>
      <w:spacing w:val="5"/>
    </w:rPr>
  </w:style>
  <w:style w:type="character" w:styleId="Marquedecommentaire">
    <w:name w:val="annotation reference"/>
    <w:basedOn w:val="Policepardfaut"/>
    <w:uiPriority w:val="99"/>
    <w:semiHidden/>
    <w:unhideWhenUsed/>
    <w:rsid w:val="00FB4455"/>
    <w:rPr>
      <w:sz w:val="16"/>
      <w:szCs w:val="16"/>
    </w:rPr>
  </w:style>
  <w:style w:type="paragraph" w:styleId="Commentaire">
    <w:name w:val="annotation text"/>
    <w:basedOn w:val="Normal"/>
    <w:link w:val="CommentaireCar"/>
    <w:uiPriority w:val="99"/>
    <w:unhideWhenUsed/>
    <w:rsid w:val="00FB4455"/>
    <w:pPr>
      <w:spacing w:line="240" w:lineRule="auto"/>
    </w:pPr>
    <w:rPr>
      <w:sz w:val="20"/>
      <w:szCs w:val="20"/>
    </w:rPr>
  </w:style>
  <w:style w:type="character" w:customStyle="1" w:styleId="CommentaireCar">
    <w:name w:val="Commentaire Car"/>
    <w:basedOn w:val="Policepardfaut"/>
    <w:link w:val="Commentaire"/>
    <w:uiPriority w:val="99"/>
    <w:rsid w:val="00FB4455"/>
    <w:rPr>
      <w:sz w:val="20"/>
      <w:szCs w:val="20"/>
    </w:rPr>
  </w:style>
  <w:style w:type="character" w:styleId="Mention">
    <w:name w:val="Mention"/>
    <w:basedOn w:val="Policepardfaut"/>
    <w:uiPriority w:val="99"/>
    <w:unhideWhenUsed/>
    <w:rsid w:val="00B67E7D"/>
    <w:rPr>
      <w:color w:val="2B579A"/>
      <w:shd w:val="clear" w:color="auto" w:fill="E1DFDD"/>
    </w:rPr>
  </w:style>
  <w:style w:type="character" w:styleId="Lienhypertexte">
    <w:name w:val="Hyperlink"/>
    <w:basedOn w:val="Policepardfaut"/>
    <w:uiPriority w:val="99"/>
    <w:unhideWhenUsed/>
    <w:rsid w:val="00C03EF0"/>
    <w:rPr>
      <w:color w:val="467886" w:themeColor="hyperlink"/>
      <w:u w:val="single"/>
    </w:rPr>
  </w:style>
  <w:style w:type="character" w:styleId="Mentionnonrsolue">
    <w:name w:val="Unresolved Mention"/>
    <w:basedOn w:val="Policepardfaut"/>
    <w:uiPriority w:val="99"/>
    <w:semiHidden/>
    <w:unhideWhenUsed/>
    <w:rsid w:val="00C03EF0"/>
    <w:rPr>
      <w:color w:val="605E5C"/>
      <w:shd w:val="clear" w:color="auto" w:fill="E1DFDD"/>
    </w:rPr>
  </w:style>
  <w:style w:type="character" w:styleId="Lienhypertextesuivivisit">
    <w:name w:val="FollowedHyperlink"/>
    <w:basedOn w:val="Policepardfaut"/>
    <w:uiPriority w:val="99"/>
    <w:semiHidden/>
    <w:unhideWhenUsed/>
    <w:rsid w:val="00781808"/>
    <w:rPr>
      <w:color w:val="96607D" w:themeColor="followedHyperlink"/>
      <w:u w:val="single"/>
    </w:rPr>
  </w:style>
  <w:style w:type="paragraph" w:styleId="En-tte">
    <w:name w:val="header"/>
    <w:basedOn w:val="Normal"/>
    <w:link w:val="En-tteCar"/>
    <w:uiPriority w:val="99"/>
    <w:unhideWhenUsed/>
    <w:rsid w:val="002528FB"/>
    <w:pPr>
      <w:tabs>
        <w:tab w:val="center" w:pos="4819"/>
        <w:tab w:val="right" w:pos="9638"/>
      </w:tabs>
      <w:spacing w:after="0" w:line="240" w:lineRule="auto"/>
    </w:pPr>
  </w:style>
  <w:style w:type="character" w:customStyle="1" w:styleId="En-tteCar">
    <w:name w:val="En-tête Car"/>
    <w:basedOn w:val="Policepardfaut"/>
    <w:link w:val="En-tte"/>
    <w:uiPriority w:val="99"/>
    <w:rsid w:val="002528FB"/>
  </w:style>
  <w:style w:type="paragraph" w:styleId="Pieddepage">
    <w:name w:val="footer"/>
    <w:basedOn w:val="Normal"/>
    <w:link w:val="PieddepageCar"/>
    <w:uiPriority w:val="99"/>
    <w:unhideWhenUsed/>
    <w:rsid w:val="002528FB"/>
    <w:pPr>
      <w:tabs>
        <w:tab w:val="center" w:pos="4819"/>
        <w:tab w:val="right" w:pos="9638"/>
      </w:tabs>
      <w:spacing w:after="0" w:line="240" w:lineRule="auto"/>
    </w:pPr>
  </w:style>
  <w:style w:type="character" w:customStyle="1" w:styleId="PieddepageCar">
    <w:name w:val="Pied de page Car"/>
    <w:basedOn w:val="Policepardfaut"/>
    <w:link w:val="Pieddepage"/>
    <w:uiPriority w:val="99"/>
    <w:rsid w:val="002528FB"/>
  </w:style>
  <w:style w:type="character" w:styleId="Numrodepage">
    <w:name w:val="page number"/>
    <w:basedOn w:val="Policepardfaut"/>
    <w:uiPriority w:val="99"/>
    <w:unhideWhenUsed/>
    <w:rsid w:val="002528FB"/>
  </w:style>
  <w:style w:type="paragraph" w:styleId="En-ttedetabledesmatires">
    <w:name w:val="TOC Heading"/>
    <w:basedOn w:val="Titre1"/>
    <w:next w:val="Normal"/>
    <w:uiPriority w:val="39"/>
    <w:unhideWhenUsed/>
    <w:qFormat/>
    <w:rsid w:val="006620FF"/>
    <w:pPr>
      <w:spacing w:before="240" w:after="0"/>
      <w:outlineLvl w:val="9"/>
    </w:pPr>
    <w:rPr>
      <w:kern w:val="0"/>
      <w:sz w:val="32"/>
      <w:szCs w:val="32"/>
      <w:lang w:eastAsia="it-IT"/>
      <w14:ligatures w14:val="none"/>
    </w:rPr>
  </w:style>
  <w:style w:type="paragraph" w:styleId="TM1">
    <w:name w:val="toc 1"/>
    <w:basedOn w:val="Normal"/>
    <w:next w:val="Normal"/>
    <w:autoRedefine/>
    <w:uiPriority w:val="39"/>
    <w:unhideWhenUsed/>
    <w:rsid w:val="00787B15"/>
    <w:pPr>
      <w:tabs>
        <w:tab w:val="left" w:pos="480"/>
        <w:tab w:val="right" w:leader="dot" w:pos="9628"/>
      </w:tabs>
      <w:spacing w:after="100" w:line="480" w:lineRule="auto"/>
      <w:jc w:val="both"/>
    </w:pPr>
  </w:style>
  <w:style w:type="paragraph" w:styleId="TM2">
    <w:name w:val="toc 2"/>
    <w:basedOn w:val="Normal"/>
    <w:next w:val="Normal"/>
    <w:autoRedefine/>
    <w:uiPriority w:val="39"/>
    <w:unhideWhenUsed/>
    <w:rsid w:val="00E73DE6"/>
    <w:pPr>
      <w:tabs>
        <w:tab w:val="left" w:pos="960"/>
        <w:tab w:val="right" w:leader="dot" w:pos="9628"/>
      </w:tabs>
      <w:spacing w:after="100" w:line="360" w:lineRule="auto"/>
      <w:jc w:val="both"/>
    </w:pPr>
  </w:style>
  <w:style w:type="paragraph" w:styleId="Rvision">
    <w:name w:val="Revision"/>
    <w:hidden/>
    <w:uiPriority w:val="99"/>
    <w:semiHidden/>
    <w:rsid w:val="00AC3D55"/>
    <w:pPr>
      <w:spacing w:after="0" w:line="240" w:lineRule="auto"/>
    </w:pPr>
  </w:style>
  <w:style w:type="paragraph" w:styleId="Objetducommentaire">
    <w:name w:val="annotation subject"/>
    <w:basedOn w:val="Commentaire"/>
    <w:next w:val="Commentaire"/>
    <w:link w:val="ObjetducommentaireCar"/>
    <w:uiPriority w:val="99"/>
    <w:semiHidden/>
    <w:unhideWhenUsed/>
    <w:rsid w:val="00AC3D55"/>
    <w:rPr>
      <w:b/>
      <w:bCs/>
    </w:rPr>
  </w:style>
  <w:style w:type="character" w:customStyle="1" w:styleId="ObjetducommentaireCar">
    <w:name w:val="Objet du commentaire Car"/>
    <w:basedOn w:val="CommentaireCar"/>
    <w:link w:val="Objetducommentaire"/>
    <w:uiPriority w:val="99"/>
    <w:semiHidden/>
    <w:rsid w:val="00AC3D55"/>
    <w:rPr>
      <w:b/>
      <w:bCs/>
      <w:sz w:val="20"/>
      <w:szCs w:val="20"/>
    </w:rPr>
  </w:style>
  <w:style w:type="paragraph" w:styleId="NormalWeb">
    <w:name w:val="Normal (Web)"/>
    <w:basedOn w:val="Normal"/>
    <w:uiPriority w:val="99"/>
    <w:semiHidden/>
    <w:unhideWhenUsed/>
    <w:rsid w:val="00152A4F"/>
    <w:rPr>
      <w:rFonts w:ascii="Times New Roman" w:hAnsi="Times New Roman" w:cs="Times New Roman"/>
      <w:sz w:val="24"/>
      <w:szCs w:val="24"/>
    </w:rPr>
  </w:style>
  <w:style w:type="character" w:styleId="lev">
    <w:name w:val="Strong"/>
    <w:basedOn w:val="Policepardfaut"/>
    <w:uiPriority w:val="22"/>
    <w:qFormat/>
    <w:rsid w:val="00373C69"/>
    <w:rPr>
      <w:b/>
      <w:bCs/>
    </w:rPr>
  </w:style>
  <w:style w:type="table" w:styleId="Grilledutableau">
    <w:name w:val="Table Grid"/>
    <w:basedOn w:val="TableauNormal"/>
    <w:uiPriority w:val="39"/>
    <w:rsid w:val="002E2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warranty@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6" ma:contentTypeDescription="Creare un nuovo documento." ma:contentTypeScope="" ma:versionID="794f28e9f9c1c01d20ca5568f57ce2b3">
  <xsd:schema xmlns:xsd="http://www.w3.org/2001/XMLSchema" xmlns:xs="http://www.w3.org/2001/XMLSchema" xmlns:p="http://schemas.microsoft.com/office/2006/metadata/properties" xmlns:ns3="f7396375-a897-440c-9607-e3ce3c90a6a8" targetNamespace="http://schemas.microsoft.com/office/2006/metadata/properties" ma:root="true" ma:fieldsID="a2946b8445c35ec84bbd6d04aae71fc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customXml/itemProps2.xml><?xml version="1.0" encoding="utf-8"?>
<ds:datastoreItem xmlns:ds="http://schemas.openxmlformats.org/officeDocument/2006/customXml" ds:itemID="{47FE3A70-517D-458F-84A4-9B9CCE8CF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5299</Words>
  <Characters>29145</Characters>
  <Application>Microsoft Office Word</Application>
  <DocSecurity>0</DocSecurity>
  <Lines>242</Lines>
  <Paragraphs>68</Paragraphs>
  <ScaleCrop>false</ScaleCrop>
  <Company/>
  <LinksUpToDate>false</LinksUpToDate>
  <CharactersWithSpaces>34376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Catherine Popczyk</cp:lastModifiedBy>
  <cp:revision>23</cp:revision>
  <cp:lastPrinted>2024-11-11T17:48:00Z</cp:lastPrinted>
  <dcterms:created xsi:type="dcterms:W3CDTF">2025-10-03T13:49:00Z</dcterms:created>
  <dcterms:modified xsi:type="dcterms:W3CDTF">2026-01-10T16:34:00Z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