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Condiții specifice </w:t>
      </w:r>
    </w:p>
    <w:p w14:paraId="7E92C198" w14:textId="7A2D55C1" w:rsidR="00087BF5" w:rsidRPr="00E9150B" w:rsidRDefault="00B27E74" w:rsidP="00087BF5">
      <w:pPr>
        <w:jc w:val="center"/>
        <w:rPr>
          <w:rFonts w:ascii="Verdana" w:hAnsi="Verdana"/>
          <w:b/>
          <w:bCs/>
          <w:smallCaps/>
        </w:rPr>
      </w:pPr>
      <w:r>
        <w:rPr>
          <w:rFonts w:ascii="Verdana" w:hAnsi="Verdana"/>
          <w:b/>
          <w:smallCaps/>
        </w:rPr>
        <w:t>Serviciul de garanție Powertrain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Sumar</w:t>
          </w:r>
        </w:p>
        <w:p w14:paraId="0DAB6929" w14:textId="77777777" w:rsidR="001D49BE" w:rsidRPr="00080B56" w:rsidRDefault="001D49BE" w:rsidP="001D49BE">
          <w:pPr>
            <w:rPr>
              <w:sz w:val="20"/>
              <w:szCs w:val="20"/>
              <w:lang w:eastAsia="it-IT"/>
            </w:rPr>
          </w:pPr>
        </w:p>
        <w:p w14:paraId="21CE31E8" w14:textId="43B26844" w:rsidR="00775078"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216861" w:history="1">
            <w:r w:rsidR="00775078" w:rsidRPr="008A27F9">
              <w:rPr>
                <w:rStyle w:val="Collegamentoipertestuale"/>
                <w:rFonts w:ascii="Verdana" w:hAnsi="Verdana"/>
                <w:b/>
                <w:bCs/>
                <w:noProof/>
              </w:rPr>
              <w:t>1.</w:t>
            </w:r>
            <w:r w:rsidR="00775078">
              <w:rPr>
                <w:rFonts w:eastAsiaTheme="minorEastAsia"/>
                <w:noProof/>
                <w:kern w:val="0"/>
                <w:lang w:val="it-IT" w:eastAsia="it-IT"/>
                <w14:ligatures w14:val="none"/>
              </w:rPr>
              <w:tab/>
            </w:r>
            <w:r w:rsidR="00775078" w:rsidRPr="008A27F9">
              <w:rPr>
                <w:rStyle w:val="Collegamentoipertestuale"/>
                <w:rFonts w:ascii="Verdana" w:hAnsi="Verdana"/>
                <w:b/>
                <w:smallCaps/>
                <w:noProof/>
              </w:rPr>
              <w:t>Definiții</w:t>
            </w:r>
            <w:r w:rsidR="00775078" w:rsidRPr="008A27F9">
              <w:rPr>
                <w:rStyle w:val="Collegamentoipertestuale"/>
                <w:rFonts w:ascii="Verdana" w:hAnsi="Verdana"/>
                <w:noProof/>
              </w:rPr>
              <w:t>.</w:t>
            </w:r>
            <w:r w:rsidR="00775078">
              <w:rPr>
                <w:noProof/>
                <w:webHidden/>
              </w:rPr>
              <w:tab/>
            </w:r>
            <w:r w:rsidR="00775078">
              <w:rPr>
                <w:noProof/>
                <w:webHidden/>
              </w:rPr>
              <w:fldChar w:fldCharType="begin"/>
            </w:r>
            <w:r w:rsidR="00775078">
              <w:rPr>
                <w:noProof/>
                <w:webHidden/>
              </w:rPr>
              <w:instrText xml:space="preserve"> PAGEREF _Toc219216861 \h </w:instrText>
            </w:r>
            <w:r w:rsidR="00775078">
              <w:rPr>
                <w:noProof/>
                <w:webHidden/>
              </w:rPr>
            </w:r>
            <w:r w:rsidR="00775078">
              <w:rPr>
                <w:noProof/>
                <w:webHidden/>
              </w:rPr>
              <w:fldChar w:fldCharType="separate"/>
            </w:r>
            <w:r w:rsidR="00775078">
              <w:rPr>
                <w:noProof/>
                <w:webHidden/>
              </w:rPr>
              <w:t>1</w:t>
            </w:r>
            <w:r w:rsidR="00775078">
              <w:rPr>
                <w:noProof/>
                <w:webHidden/>
              </w:rPr>
              <w:fldChar w:fldCharType="end"/>
            </w:r>
          </w:hyperlink>
        </w:p>
        <w:p w14:paraId="7E5D51F1" w14:textId="4642F60E" w:rsidR="00775078" w:rsidRDefault="00775078">
          <w:pPr>
            <w:pStyle w:val="Sommario1"/>
            <w:rPr>
              <w:rFonts w:eastAsiaTheme="minorEastAsia"/>
              <w:noProof/>
              <w:kern w:val="0"/>
              <w:lang w:val="it-IT" w:eastAsia="it-IT"/>
              <w14:ligatures w14:val="none"/>
            </w:rPr>
          </w:pPr>
          <w:hyperlink w:anchor="_Toc219216862" w:history="1">
            <w:r w:rsidRPr="008A27F9">
              <w:rPr>
                <w:rStyle w:val="Collegamentoipertestuale"/>
                <w:rFonts w:ascii="Verdana" w:hAnsi="Verdana"/>
                <w:b/>
                <w:bCs/>
                <w:noProof/>
              </w:rPr>
              <w:t>2.</w:t>
            </w:r>
            <w:r>
              <w:rPr>
                <w:rFonts w:eastAsiaTheme="minorEastAsia"/>
                <w:noProof/>
                <w:kern w:val="0"/>
                <w:lang w:val="it-IT" w:eastAsia="it-IT"/>
                <w14:ligatures w14:val="none"/>
              </w:rPr>
              <w:tab/>
            </w:r>
            <w:r w:rsidRPr="008A27F9">
              <w:rPr>
                <w:rStyle w:val="Collegamentoipertestuale"/>
                <w:rFonts w:ascii="Verdana" w:hAnsi="Verdana"/>
                <w:b/>
                <w:smallCaps/>
                <w:noProof/>
              </w:rPr>
              <w:t>Obiectul serviciului</w:t>
            </w:r>
            <w:r w:rsidRPr="008A27F9">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_Toc219216862 \h </w:instrText>
            </w:r>
            <w:r>
              <w:rPr>
                <w:noProof/>
                <w:webHidden/>
              </w:rPr>
            </w:r>
            <w:r>
              <w:rPr>
                <w:noProof/>
                <w:webHidden/>
              </w:rPr>
              <w:fldChar w:fldCharType="separate"/>
            </w:r>
            <w:r>
              <w:rPr>
                <w:noProof/>
                <w:webHidden/>
              </w:rPr>
              <w:t>2</w:t>
            </w:r>
            <w:r>
              <w:rPr>
                <w:noProof/>
                <w:webHidden/>
              </w:rPr>
              <w:fldChar w:fldCharType="end"/>
            </w:r>
          </w:hyperlink>
        </w:p>
        <w:p w14:paraId="5D1D8163" w14:textId="34F0015F" w:rsidR="00775078" w:rsidRDefault="00775078">
          <w:pPr>
            <w:pStyle w:val="Sommario1"/>
            <w:rPr>
              <w:rFonts w:eastAsiaTheme="minorEastAsia"/>
              <w:noProof/>
              <w:kern w:val="0"/>
              <w:lang w:val="it-IT" w:eastAsia="it-IT"/>
              <w14:ligatures w14:val="none"/>
            </w:rPr>
          </w:pPr>
          <w:hyperlink w:anchor="_Toc219216863" w:history="1">
            <w:r w:rsidRPr="008A27F9">
              <w:rPr>
                <w:rStyle w:val="Collegamentoipertestuale"/>
                <w:rFonts w:ascii="Verdana" w:hAnsi="Verdana"/>
                <w:b/>
                <w:bCs/>
                <w:noProof/>
              </w:rPr>
              <w:t>3.</w:t>
            </w:r>
            <w:r>
              <w:rPr>
                <w:rFonts w:eastAsiaTheme="minorEastAsia"/>
                <w:noProof/>
                <w:kern w:val="0"/>
                <w:lang w:val="it-IT" w:eastAsia="it-IT"/>
                <w14:ligatures w14:val="none"/>
              </w:rPr>
              <w:tab/>
            </w:r>
            <w:r w:rsidRPr="008A27F9">
              <w:rPr>
                <w:rStyle w:val="Collegamentoipertestuale"/>
                <w:rFonts w:ascii="Verdana" w:hAnsi="Verdana"/>
                <w:b/>
                <w:smallCaps/>
                <w:noProof/>
              </w:rPr>
              <w:t>Componente acoperite și excluse din garanție</w:t>
            </w:r>
            <w:r w:rsidRPr="008A27F9">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_Toc219216863 \h </w:instrText>
            </w:r>
            <w:r>
              <w:rPr>
                <w:noProof/>
                <w:webHidden/>
              </w:rPr>
            </w:r>
            <w:r>
              <w:rPr>
                <w:noProof/>
                <w:webHidden/>
              </w:rPr>
              <w:fldChar w:fldCharType="separate"/>
            </w:r>
            <w:r>
              <w:rPr>
                <w:noProof/>
                <w:webHidden/>
              </w:rPr>
              <w:t>3</w:t>
            </w:r>
            <w:r>
              <w:rPr>
                <w:noProof/>
                <w:webHidden/>
              </w:rPr>
              <w:fldChar w:fldCharType="end"/>
            </w:r>
          </w:hyperlink>
        </w:p>
        <w:p w14:paraId="4FF9901A" w14:textId="38A5C9DD" w:rsidR="00775078" w:rsidRDefault="00775078">
          <w:pPr>
            <w:pStyle w:val="Sommario1"/>
            <w:rPr>
              <w:rFonts w:eastAsiaTheme="minorEastAsia"/>
              <w:noProof/>
              <w:kern w:val="0"/>
              <w:lang w:val="it-IT" w:eastAsia="it-IT"/>
              <w14:ligatures w14:val="none"/>
            </w:rPr>
          </w:pPr>
          <w:hyperlink w:anchor="_Toc219216864" w:history="1">
            <w:r w:rsidRPr="008A27F9">
              <w:rPr>
                <w:rStyle w:val="Collegamentoipertestuale"/>
                <w:rFonts w:ascii="Verdana" w:hAnsi="Verdana"/>
                <w:b/>
                <w:bCs/>
                <w:smallCaps/>
                <w:noProof/>
              </w:rPr>
              <w:t>4.</w:t>
            </w:r>
            <w:r>
              <w:rPr>
                <w:rFonts w:eastAsiaTheme="minorEastAsia"/>
                <w:noProof/>
                <w:kern w:val="0"/>
                <w:lang w:val="it-IT" w:eastAsia="it-IT"/>
                <w14:ligatures w14:val="none"/>
              </w:rPr>
              <w:tab/>
            </w:r>
            <w:r w:rsidRPr="008A27F9">
              <w:rPr>
                <w:rStyle w:val="Collegamentoipertestuale"/>
                <w:rFonts w:ascii="Verdana" w:hAnsi="Verdana"/>
                <w:b/>
                <w:smallCaps/>
                <w:noProof/>
              </w:rPr>
              <w:t>Începerea, durata și condițiile de eficacitate.</w:t>
            </w:r>
            <w:r>
              <w:rPr>
                <w:noProof/>
                <w:webHidden/>
              </w:rPr>
              <w:tab/>
            </w:r>
            <w:r>
              <w:rPr>
                <w:noProof/>
                <w:webHidden/>
              </w:rPr>
              <w:fldChar w:fldCharType="begin"/>
            </w:r>
            <w:r>
              <w:rPr>
                <w:noProof/>
                <w:webHidden/>
              </w:rPr>
              <w:instrText xml:space="preserve"> PAGEREF _Toc219216864 \h </w:instrText>
            </w:r>
            <w:r>
              <w:rPr>
                <w:noProof/>
                <w:webHidden/>
              </w:rPr>
            </w:r>
            <w:r>
              <w:rPr>
                <w:noProof/>
                <w:webHidden/>
              </w:rPr>
              <w:fldChar w:fldCharType="separate"/>
            </w:r>
            <w:r>
              <w:rPr>
                <w:noProof/>
                <w:webHidden/>
              </w:rPr>
              <w:t>4</w:t>
            </w:r>
            <w:r>
              <w:rPr>
                <w:noProof/>
                <w:webHidden/>
              </w:rPr>
              <w:fldChar w:fldCharType="end"/>
            </w:r>
          </w:hyperlink>
        </w:p>
        <w:p w14:paraId="341A06D2" w14:textId="5299A876" w:rsidR="00775078" w:rsidRDefault="00775078">
          <w:pPr>
            <w:pStyle w:val="Sommario1"/>
            <w:rPr>
              <w:rFonts w:eastAsiaTheme="minorEastAsia"/>
              <w:noProof/>
              <w:kern w:val="0"/>
              <w:lang w:val="it-IT" w:eastAsia="it-IT"/>
              <w14:ligatures w14:val="none"/>
            </w:rPr>
          </w:pPr>
          <w:hyperlink w:anchor="_Toc219216865" w:history="1">
            <w:r w:rsidRPr="008A27F9">
              <w:rPr>
                <w:rStyle w:val="Collegamentoipertestuale"/>
                <w:rFonts w:ascii="Verdana" w:hAnsi="Verdana"/>
                <w:b/>
                <w:bCs/>
                <w:noProof/>
              </w:rPr>
              <w:t>5.</w:t>
            </w:r>
            <w:r>
              <w:rPr>
                <w:rFonts w:eastAsiaTheme="minorEastAsia"/>
                <w:noProof/>
                <w:kern w:val="0"/>
                <w:lang w:val="it-IT" w:eastAsia="it-IT"/>
                <w14:ligatures w14:val="none"/>
              </w:rPr>
              <w:tab/>
            </w:r>
            <w:r w:rsidRPr="008A27F9">
              <w:rPr>
                <w:rStyle w:val="Collegamentoipertestuale"/>
                <w:rFonts w:ascii="Verdana" w:hAnsi="Verdana"/>
                <w:b/>
                <w:smallCaps/>
                <w:noProof/>
              </w:rPr>
              <w:t>Zona de aplicare teritorială.</w:t>
            </w:r>
            <w:r>
              <w:rPr>
                <w:noProof/>
                <w:webHidden/>
              </w:rPr>
              <w:tab/>
            </w:r>
            <w:r>
              <w:rPr>
                <w:noProof/>
                <w:webHidden/>
              </w:rPr>
              <w:fldChar w:fldCharType="begin"/>
            </w:r>
            <w:r>
              <w:rPr>
                <w:noProof/>
                <w:webHidden/>
              </w:rPr>
              <w:instrText xml:space="preserve"> PAGEREF _Toc219216865 \h </w:instrText>
            </w:r>
            <w:r>
              <w:rPr>
                <w:noProof/>
                <w:webHidden/>
              </w:rPr>
            </w:r>
            <w:r>
              <w:rPr>
                <w:noProof/>
                <w:webHidden/>
              </w:rPr>
              <w:fldChar w:fldCharType="separate"/>
            </w:r>
            <w:r>
              <w:rPr>
                <w:noProof/>
                <w:webHidden/>
              </w:rPr>
              <w:t>5</w:t>
            </w:r>
            <w:r>
              <w:rPr>
                <w:noProof/>
                <w:webHidden/>
              </w:rPr>
              <w:fldChar w:fldCharType="end"/>
            </w:r>
          </w:hyperlink>
        </w:p>
        <w:p w14:paraId="658463CE" w14:textId="65F3F0F4" w:rsidR="00775078" w:rsidRDefault="00775078">
          <w:pPr>
            <w:pStyle w:val="Sommario1"/>
            <w:rPr>
              <w:rFonts w:eastAsiaTheme="minorEastAsia"/>
              <w:noProof/>
              <w:kern w:val="0"/>
              <w:lang w:val="it-IT" w:eastAsia="it-IT"/>
              <w14:ligatures w14:val="none"/>
            </w:rPr>
          </w:pPr>
          <w:hyperlink w:anchor="_Toc219216866" w:history="1">
            <w:r w:rsidRPr="008A27F9">
              <w:rPr>
                <w:rStyle w:val="Collegamentoipertestuale"/>
                <w:rFonts w:ascii="Verdana" w:hAnsi="Verdana"/>
                <w:b/>
                <w:bCs/>
                <w:smallCaps/>
                <w:noProof/>
              </w:rPr>
              <w:t>6.</w:t>
            </w:r>
            <w:r>
              <w:rPr>
                <w:rFonts w:eastAsiaTheme="minorEastAsia"/>
                <w:noProof/>
                <w:kern w:val="0"/>
                <w:lang w:val="it-IT" w:eastAsia="it-IT"/>
                <w14:ligatures w14:val="none"/>
              </w:rPr>
              <w:tab/>
            </w:r>
            <w:r w:rsidRPr="008A27F9">
              <w:rPr>
                <w:rStyle w:val="Collegamentoipertestuale"/>
                <w:rFonts w:ascii="Verdana" w:hAnsi="Verdana"/>
                <w:b/>
                <w:smallCaps/>
                <w:noProof/>
              </w:rPr>
              <w:t>Obligațiile Cumpărătorului.</w:t>
            </w:r>
            <w:r>
              <w:rPr>
                <w:noProof/>
                <w:webHidden/>
              </w:rPr>
              <w:tab/>
            </w:r>
            <w:r>
              <w:rPr>
                <w:noProof/>
                <w:webHidden/>
              </w:rPr>
              <w:fldChar w:fldCharType="begin"/>
            </w:r>
            <w:r>
              <w:rPr>
                <w:noProof/>
                <w:webHidden/>
              </w:rPr>
              <w:instrText xml:space="preserve"> PAGEREF _Toc219216866 \h </w:instrText>
            </w:r>
            <w:r>
              <w:rPr>
                <w:noProof/>
                <w:webHidden/>
              </w:rPr>
            </w:r>
            <w:r>
              <w:rPr>
                <w:noProof/>
                <w:webHidden/>
              </w:rPr>
              <w:fldChar w:fldCharType="separate"/>
            </w:r>
            <w:r>
              <w:rPr>
                <w:noProof/>
                <w:webHidden/>
              </w:rPr>
              <w:t>6</w:t>
            </w:r>
            <w:r>
              <w:rPr>
                <w:noProof/>
                <w:webHidden/>
              </w:rPr>
              <w:fldChar w:fldCharType="end"/>
            </w:r>
          </w:hyperlink>
        </w:p>
        <w:p w14:paraId="22F5B48C" w14:textId="278530E5" w:rsidR="00775078" w:rsidRDefault="00775078">
          <w:pPr>
            <w:pStyle w:val="Sommario1"/>
            <w:rPr>
              <w:rFonts w:eastAsiaTheme="minorEastAsia"/>
              <w:noProof/>
              <w:kern w:val="0"/>
              <w:lang w:val="it-IT" w:eastAsia="it-IT"/>
              <w14:ligatures w14:val="none"/>
            </w:rPr>
          </w:pPr>
          <w:hyperlink w:anchor="_Toc219216867" w:history="1">
            <w:r w:rsidRPr="008A27F9">
              <w:rPr>
                <w:rStyle w:val="Collegamentoipertestuale"/>
                <w:rFonts w:ascii="Verdana" w:hAnsi="Verdana"/>
                <w:b/>
                <w:bCs/>
                <w:smallCaps/>
                <w:noProof/>
              </w:rPr>
              <w:t>7.</w:t>
            </w:r>
            <w:r>
              <w:rPr>
                <w:rFonts w:eastAsiaTheme="minorEastAsia"/>
                <w:noProof/>
                <w:kern w:val="0"/>
                <w:lang w:val="it-IT" w:eastAsia="it-IT"/>
                <w14:ligatures w14:val="none"/>
              </w:rPr>
              <w:tab/>
            </w:r>
            <w:r w:rsidRPr="008A27F9">
              <w:rPr>
                <w:rStyle w:val="Collegamentoipertestuale"/>
                <w:rFonts w:ascii="Verdana" w:hAnsi="Verdana"/>
                <w:b/>
                <w:smallCaps/>
                <w:noProof/>
              </w:rPr>
              <w:t>Raportarea daunei.</w:t>
            </w:r>
            <w:r>
              <w:rPr>
                <w:noProof/>
                <w:webHidden/>
              </w:rPr>
              <w:tab/>
            </w:r>
            <w:r>
              <w:rPr>
                <w:noProof/>
                <w:webHidden/>
              </w:rPr>
              <w:fldChar w:fldCharType="begin"/>
            </w:r>
            <w:r>
              <w:rPr>
                <w:noProof/>
                <w:webHidden/>
              </w:rPr>
              <w:instrText xml:space="preserve"> PAGEREF _Toc219216867 \h </w:instrText>
            </w:r>
            <w:r>
              <w:rPr>
                <w:noProof/>
                <w:webHidden/>
              </w:rPr>
            </w:r>
            <w:r>
              <w:rPr>
                <w:noProof/>
                <w:webHidden/>
              </w:rPr>
              <w:fldChar w:fldCharType="separate"/>
            </w:r>
            <w:r>
              <w:rPr>
                <w:noProof/>
                <w:webHidden/>
              </w:rPr>
              <w:t>6</w:t>
            </w:r>
            <w:r>
              <w:rPr>
                <w:noProof/>
                <w:webHidden/>
              </w:rPr>
              <w:fldChar w:fldCharType="end"/>
            </w:r>
          </w:hyperlink>
        </w:p>
        <w:p w14:paraId="471C291D" w14:textId="23A3A497" w:rsidR="00775078" w:rsidRDefault="00775078">
          <w:pPr>
            <w:pStyle w:val="Sommario1"/>
            <w:rPr>
              <w:rFonts w:eastAsiaTheme="minorEastAsia"/>
              <w:noProof/>
              <w:kern w:val="0"/>
              <w:lang w:val="it-IT" w:eastAsia="it-IT"/>
              <w14:ligatures w14:val="none"/>
            </w:rPr>
          </w:pPr>
          <w:hyperlink w:anchor="_Toc219216868" w:history="1">
            <w:r w:rsidRPr="008A27F9">
              <w:rPr>
                <w:rStyle w:val="Collegamentoipertestuale"/>
                <w:rFonts w:ascii="Verdana" w:hAnsi="Verdana"/>
                <w:b/>
                <w:bCs/>
                <w:smallCaps/>
                <w:noProof/>
              </w:rPr>
              <w:t>8.</w:t>
            </w:r>
            <w:r>
              <w:rPr>
                <w:rFonts w:eastAsiaTheme="minorEastAsia"/>
                <w:noProof/>
                <w:kern w:val="0"/>
                <w:lang w:val="it-IT" w:eastAsia="it-IT"/>
                <w14:ligatures w14:val="none"/>
              </w:rPr>
              <w:tab/>
            </w:r>
            <w:r w:rsidRPr="008A27F9">
              <w:rPr>
                <w:rStyle w:val="Collegamentoipertestuale"/>
                <w:rFonts w:ascii="Verdana" w:hAnsi="Verdana"/>
                <w:b/>
                <w:smallCaps/>
                <w:noProof/>
              </w:rPr>
              <w:t>Gestionarea daunei.</w:t>
            </w:r>
            <w:r>
              <w:rPr>
                <w:noProof/>
                <w:webHidden/>
              </w:rPr>
              <w:tab/>
            </w:r>
            <w:r>
              <w:rPr>
                <w:noProof/>
                <w:webHidden/>
              </w:rPr>
              <w:fldChar w:fldCharType="begin"/>
            </w:r>
            <w:r>
              <w:rPr>
                <w:noProof/>
                <w:webHidden/>
              </w:rPr>
              <w:instrText xml:space="preserve"> PAGEREF _Toc219216868 \h </w:instrText>
            </w:r>
            <w:r>
              <w:rPr>
                <w:noProof/>
                <w:webHidden/>
              </w:rPr>
            </w:r>
            <w:r>
              <w:rPr>
                <w:noProof/>
                <w:webHidden/>
              </w:rPr>
              <w:fldChar w:fldCharType="separate"/>
            </w:r>
            <w:r>
              <w:rPr>
                <w:noProof/>
                <w:webHidden/>
              </w:rPr>
              <w:t>7</w:t>
            </w:r>
            <w:r>
              <w:rPr>
                <w:noProof/>
                <w:webHidden/>
              </w:rPr>
              <w:fldChar w:fldCharType="end"/>
            </w:r>
          </w:hyperlink>
        </w:p>
        <w:p w14:paraId="1E62179A" w14:textId="528B9549" w:rsidR="00775078" w:rsidRDefault="00775078">
          <w:pPr>
            <w:pStyle w:val="Sommario1"/>
            <w:rPr>
              <w:rFonts w:eastAsiaTheme="minorEastAsia"/>
              <w:noProof/>
              <w:kern w:val="0"/>
              <w:lang w:val="it-IT" w:eastAsia="it-IT"/>
              <w14:ligatures w14:val="none"/>
            </w:rPr>
          </w:pPr>
          <w:hyperlink w:anchor="_Toc219216869" w:history="1">
            <w:r w:rsidRPr="008A27F9">
              <w:rPr>
                <w:rStyle w:val="Collegamentoipertestuale"/>
                <w:rFonts w:ascii="Verdana" w:hAnsi="Verdana"/>
                <w:b/>
                <w:bCs/>
                <w:smallCaps/>
                <w:noProof/>
              </w:rPr>
              <w:t>9.</w:t>
            </w:r>
            <w:r>
              <w:rPr>
                <w:rFonts w:eastAsiaTheme="minorEastAsia"/>
                <w:noProof/>
                <w:kern w:val="0"/>
                <w:lang w:val="it-IT" w:eastAsia="it-IT"/>
                <w14:ligatures w14:val="none"/>
              </w:rPr>
              <w:tab/>
            </w:r>
            <w:r w:rsidRPr="008A27F9">
              <w:rPr>
                <w:rStyle w:val="Collegamentoipertestuale"/>
                <w:rFonts w:ascii="Verdana" w:hAnsi="Verdana"/>
                <w:b/>
                <w:smallCaps/>
                <w:noProof/>
              </w:rPr>
              <w:t>Limitele garanției și ale răspunderii.</w:t>
            </w:r>
            <w:r>
              <w:rPr>
                <w:noProof/>
                <w:webHidden/>
              </w:rPr>
              <w:tab/>
            </w:r>
            <w:r>
              <w:rPr>
                <w:noProof/>
                <w:webHidden/>
              </w:rPr>
              <w:fldChar w:fldCharType="begin"/>
            </w:r>
            <w:r>
              <w:rPr>
                <w:noProof/>
                <w:webHidden/>
              </w:rPr>
              <w:instrText xml:space="preserve"> PAGEREF _Toc219216869 \h </w:instrText>
            </w:r>
            <w:r>
              <w:rPr>
                <w:noProof/>
                <w:webHidden/>
              </w:rPr>
            </w:r>
            <w:r>
              <w:rPr>
                <w:noProof/>
                <w:webHidden/>
              </w:rPr>
              <w:fldChar w:fldCharType="separate"/>
            </w:r>
            <w:r>
              <w:rPr>
                <w:noProof/>
                <w:webHidden/>
              </w:rPr>
              <w:t>8</w:t>
            </w:r>
            <w:r>
              <w:rPr>
                <w:noProof/>
                <w:webHidden/>
              </w:rPr>
              <w:fldChar w:fldCharType="end"/>
            </w:r>
          </w:hyperlink>
        </w:p>
        <w:p w14:paraId="34302F29" w14:textId="3DB70BDE" w:rsidR="00775078" w:rsidRDefault="00775078">
          <w:pPr>
            <w:pStyle w:val="Sommario2"/>
            <w:rPr>
              <w:rFonts w:eastAsiaTheme="minorEastAsia"/>
              <w:noProof/>
              <w:kern w:val="0"/>
              <w:lang w:val="it-IT" w:eastAsia="it-IT"/>
              <w14:ligatures w14:val="none"/>
            </w:rPr>
          </w:pPr>
          <w:hyperlink w:anchor="_Toc219216870" w:history="1">
            <w:r w:rsidRPr="008A27F9">
              <w:rPr>
                <w:rStyle w:val="Collegamentoipertestuale"/>
                <w:rFonts w:ascii="Verdana" w:hAnsi="Verdana"/>
                <w:b/>
                <w:bCs/>
                <w:smallCaps/>
                <w:noProof/>
              </w:rPr>
              <w:t>10.</w:t>
            </w:r>
            <w:r>
              <w:rPr>
                <w:rFonts w:eastAsiaTheme="minorEastAsia"/>
                <w:noProof/>
                <w:kern w:val="0"/>
                <w:lang w:val="it-IT" w:eastAsia="it-IT"/>
                <w14:ligatures w14:val="none"/>
              </w:rPr>
              <w:tab/>
            </w:r>
            <w:r w:rsidRPr="008A27F9">
              <w:rPr>
                <w:rStyle w:val="Collegamentoipertestuale"/>
                <w:rFonts w:ascii="Verdana" w:hAnsi="Verdana"/>
                <w:b/>
                <w:smallCaps/>
                <w:noProof/>
              </w:rPr>
              <w:t>Prestări, reparații și limitări operaționale.</w:t>
            </w:r>
            <w:r>
              <w:rPr>
                <w:noProof/>
                <w:webHidden/>
              </w:rPr>
              <w:tab/>
            </w:r>
            <w:r>
              <w:rPr>
                <w:noProof/>
                <w:webHidden/>
              </w:rPr>
              <w:fldChar w:fldCharType="begin"/>
            </w:r>
            <w:r>
              <w:rPr>
                <w:noProof/>
                <w:webHidden/>
              </w:rPr>
              <w:instrText xml:space="preserve"> PAGEREF _Toc219216870 \h </w:instrText>
            </w:r>
            <w:r>
              <w:rPr>
                <w:noProof/>
                <w:webHidden/>
              </w:rPr>
            </w:r>
            <w:r>
              <w:rPr>
                <w:noProof/>
                <w:webHidden/>
              </w:rPr>
              <w:fldChar w:fldCharType="separate"/>
            </w:r>
            <w:r>
              <w:rPr>
                <w:noProof/>
                <w:webHidden/>
              </w:rPr>
              <w:t>9</w:t>
            </w:r>
            <w:r>
              <w:rPr>
                <w:noProof/>
                <w:webHidden/>
              </w:rPr>
              <w:fldChar w:fldCharType="end"/>
            </w:r>
          </w:hyperlink>
        </w:p>
        <w:p w14:paraId="378E04EC" w14:textId="098606BC" w:rsidR="00775078" w:rsidRDefault="00775078">
          <w:pPr>
            <w:pStyle w:val="Sommario2"/>
            <w:rPr>
              <w:rFonts w:eastAsiaTheme="minorEastAsia"/>
              <w:noProof/>
              <w:kern w:val="0"/>
              <w:lang w:val="it-IT" w:eastAsia="it-IT"/>
              <w14:ligatures w14:val="none"/>
            </w:rPr>
          </w:pPr>
          <w:hyperlink w:anchor="_Toc219216871" w:history="1">
            <w:r w:rsidRPr="008A27F9">
              <w:rPr>
                <w:rStyle w:val="Collegamentoipertestuale"/>
                <w:rFonts w:ascii="Verdana" w:hAnsi="Verdana"/>
                <w:b/>
                <w:bCs/>
                <w:smallCaps/>
                <w:noProof/>
              </w:rPr>
              <w:t>11.</w:t>
            </w:r>
            <w:r>
              <w:rPr>
                <w:rFonts w:eastAsiaTheme="minorEastAsia"/>
                <w:noProof/>
                <w:kern w:val="0"/>
                <w:lang w:val="it-IT" w:eastAsia="it-IT"/>
                <w14:ligatures w14:val="none"/>
              </w:rPr>
              <w:tab/>
            </w:r>
            <w:r w:rsidRPr="008A27F9">
              <w:rPr>
                <w:rStyle w:val="Collegamentoipertestuale"/>
                <w:rFonts w:ascii="Verdana" w:hAnsi="Verdana"/>
                <w:b/>
                <w:smallCaps/>
                <w:noProof/>
              </w:rPr>
              <w:t>Reclamații și litigii.</w:t>
            </w:r>
            <w:r>
              <w:rPr>
                <w:noProof/>
                <w:webHidden/>
              </w:rPr>
              <w:tab/>
            </w:r>
            <w:r>
              <w:rPr>
                <w:noProof/>
                <w:webHidden/>
              </w:rPr>
              <w:fldChar w:fldCharType="begin"/>
            </w:r>
            <w:r>
              <w:rPr>
                <w:noProof/>
                <w:webHidden/>
              </w:rPr>
              <w:instrText xml:space="preserve"> PAGEREF _Toc219216871 \h </w:instrText>
            </w:r>
            <w:r>
              <w:rPr>
                <w:noProof/>
                <w:webHidden/>
              </w:rPr>
            </w:r>
            <w:r>
              <w:rPr>
                <w:noProof/>
                <w:webHidden/>
              </w:rPr>
              <w:fldChar w:fldCharType="separate"/>
            </w:r>
            <w:r>
              <w:rPr>
                <w:noProof/>
                <w:webHidden/>
              </w:rPr>
              <w:t>10</w:t>
            </w:r>
            <w:r>
              <w:rPr>
                <w:noProof/>
                <w:webHidden/>
              </w:rPr>
              <w:fldChar w:fldCharType="end"/>
            </w:r>
          </w:hyperlink>
        </w:p>
        <w:p w14:paraId="5E5FA115" w14:textId="2ADEA933" w:rsidR="00775078" w:rsidRDefault="00775078">
          <w:pPr>
            <w:pStyle w:val="Sommario2"/>
            <w:rPr>
              <w:rFonts w:eastAsiaTheme="minorEastAsia"/>
              <w:noProof/>
              <w:kern w:val="0"/>
              <w:lang w:val="it-IT" w:eastAsia="it-IT"/>
              <w14:ligatures w14:val="none"/>
            </w:rPr>
          </w:pPr>
          <w:hyperlink w:anchor="_Toc219216872" w:history="1">
            <w:r w:rsidRPr="008A27F9">
              <w:rPr>
                <w:rStyle w:val="Collegamentoipertestuale"/>
                <w:rFonts w:ascii="Verdana" w:hAnsi="Verdana"/>
                <w:b/>
                <w:bCs/>
                <w:smallCaps/>
                <w:noProof/>
              </w:rPr>
              <w:t>12.</w:t>
            </w:r>
            <w:r>
              <w:rPr>
                <w:rFonts w:eastAsiaTheme="minorEastAsia"/>
                <w:noProof/>
                <w:kern w:val="0"/>
                <w:lang w:val="it-IT" w:eastAsia="it-IT"/>
                <w14:ligatures w14:val="none"/>
              </w:rPr>
              <w:tab/>
            </w:r>
            <w:r w:rsidRPr="008A27F9">
              <w:rPr>
                <w:rStyle w:val="Collegamentoipertestuale"/>
                <w:rFonts w:ascii="Verdana" w:hAnsi="Verdana"/>
                <w:b/>
                <w:smallCaps/>
                <w:noProof/>
              </w:rPr>
              <w:t>Situații de forță majoră.</w:t>
            </w:r>
            <w:r>
              <w:rPr>
                <w:noProof/>
                <w:webHidden/>
              </w:rPr>
              <w:tab/>
            </w:r>
            <w:r>
              <w:rPr>
                <w:noProof/>
                <w:webHidden/>
              </w:rPr>
              <w:fldChar w:fldCharType="begin"/>
            </w:r>
            <w:r>
              <w:rPr>
                <w:noProof/>
                <w:webHidden/>
              </w:rPr>
              <w:instrText xml:space="preserve"> PAGEREF _Toc219216872 \h </w:instrText>
            </w:r>
            <w:r>
              <w:rPr>
                <w:noProof/>
                <w:webHidden/>
              </w:rPr>
            </w:r>
            <w:r>
              <w:rPr>
                <w:noProof/>
                <w:webHidden/>
              </w:rPr>
              <w:fldChar w:fldCharType="separate"/>
            </w:r>
            <w:r>
              <w:rPr>
                <w:noProof/>
                <w:webHidden/>
              </w:rPr>
              <w:t>11</w:t>
            </w:r>
            <w:r>
              <w:rPr>
                <w:noProof/>
                <w:webHidden/>
              </w:rPr>
              <w:fldChar w:fldCharType="end"/>
            </w:r>
          </w:hyperlink>
        </w:p>
        <w:p w14:paraId="15B38A2F" w14:textId="7B19F945" w:rsidR="00775078" w:rsidRDefault="00775078">
          <w:pPr>
            <w:pStyle w:val="Sommario1"/>
            <w:rPr>
              <w:rFonts w:eastAsiaTheme="minorEastAsia"/>
              <w:noProof/>
              <w:kern w:val="0"/>
              <w:lang w:val="it-IT" w:eastAsia="it-IT"/>
              <w14:ligatures w14:val="none"/>
            </w:rPr>
          </w:pPr>
          <w:hyperlink w:anchor="_Toc219216873" w:history="1">
            <w:r w:rsidRPr="008A27F9">
              <w:rPr>
                <w:rStyle w:val="Collegamentoipertestuale"/>
                <w:rFonts w:ascii="Verdana" w:hAnsi="Verdana"/>
                <w:b/>
                <w:bCs/>
                <w:noProof/>
              </w:rPr>
              <w:t>13.</w:t>
            </w:r>
            <w:r>
              <w:rPr>
                <w:rFonts w:eastAsiaTheme="minorEastAsia"/>
                <w:noProof/>
                <w:kern w:val="0"/>
                <w:lang w:val="it-IT" w:eastAsia="it-IT"/>
                <w14:ligatures w14:val="none"/>
              </w:rPr>
              <w:tab/>
            </w:r>
            <w:r w:rsidRPr="008A27F9">
              <w:rPr>
                <w:rStyle w:val="Collegamentoipertestuale"/>
                <w:rFonts w:ascii="Verdana" w:hAnsi="Verdana"/>
                <w:b/>
                <w:smallCaps/>
                <w:noProof/>
              </w:rPr>
              <w:t>Modificări unilaterale ale Condițiilor specifice.</w:t>
            </w:r>
            <w:r>
              <w:rPr>
                <w:noProof/>
                <w:webHidden/>
              </w:rPr>
              <w:tab/>
            </w:r>
            <w:r>
              <w:rPr>
                <w:noProof/>
                <w:webHidden/>
              </w:rPr>
              <w:fldChar w:fldCharType="begin"/>
            </w:r>
            <w:r>
              <w:rPr>
                <w:noProof/>
                <w:webHidden/>
              </w:rPr>
              <w:instrText xml:space="preserve"> PAGEREF _Toc219216873 \h </w:instrText>
            </w:r>
            <w:r>
              <w:rPr>
                <w:noProof/>
                <w:webHidden/>
              </w:rPr>
            </w:r>
            <w:r>
              <w:rPr>
                <w:noProof/>
                <w:webHidden/>
              </w:rPr>
              <w:fldChar w:fldCharType="separate"/>
            </w:r>
            <w:r>
              <w:rPr>
                <w:noProof/>
                <w:webHidden/>
              </w:rPr>
              <w:t>12</w:t>
            </w:r>
            <w:r>
              <w:rPr>
                <w:noProof/>
                <w:webHidden/>
              </w:rPr>
              <w:fldChar w:fldCharType="end"/>
            </w:r>
          </w:hyperlink>
        </w:p>
        <w:p w14:paraId="23C8E19A" w14:textId="1058227E" w:rsidR="00775078" w:rsidRDefault="00775078">
          <w:pPr>
            <w:pStyle w:val="Sommario1"/>
            <w:rPr>
              <w:rFonts w:eastAsiaTheme="minorEastAsia"/>
              <w:noProof/>
              <w:kern w:val="0"/>
              <w:lang w:val="it-IT" w:eastAsia="it-IT"/>
              <w14:ligatures w14:val="none"/>
            </w:rPr>
          </w:pPr>
          <w:hyperlink w:anchor="_Toc219216874" w:history="1">
            <w:r w:rsidRPr="008A27F9">
              <w:rPr>
                <w:rStyle w:val="Collegamentoipertestuale"/>
                <w:rFonts w:ascii="Verdana" w:hAnsi="Verdana"/>
                <w:b/>
                <w:bCs/>
                <w:smallCaps/>
                <w:noProof/>
              </w:rPr>
              <w:t>14.</w:t>
            </w:r>
            <w:r>
              <w:rPr>
                <w:rFonts w:eastAsiaTheme="minorEastAsia"/>
                <w:noProof/>
                <w:kern w:val="0"/>
                <w:lang w:val="it-IT" w:eastAsia="it-IT"/>
                <w14:ligatures w14:val="none"/>
              </w:rPr>
              <w:tab/>
            </w:r>
            <w:r w:rsidRPr="008A27F9">
              <w:rPr>
                <w:rStyle w:val="Collegamentoipertestuale"/>
                <w:rFonts w:ascii="Verdana" w:hAnsi="Verdana"/>
                <w:b/>
                <w:smallCaps/>
                <w:noProof/>
              </w:rPr>
              <w:t>Legislația aplicabilă, limbă și jurisdicție.</w:t>
            </w:r>
            <w:r>
              <w:rPr>
                <w:noProof/>
                <w:webHidden/>
              </w:rPr>
              <w:tab/>
            </w:r>
            <w:r>
              <w:rPr>
                <w:noProof/>
                <w:webHidden/>
              </w:rPr>
              <w:fldChar w:fldCharType="begin"/>
            </w:r>
            <w:r>
              <w:rPr>
                <w:noProof/>
                <w:webHidden/>
              </w:rPr>
              <w:instrText xml:space="preserve"> PAGEREF _Toc219216874 \h </w:instrText>
            </w:r>
            <w:r>
              <w:rPr>
                <w:noProof/>
                <w:webHidden/>
              </w:rPr>
            </w:r>
            <w:r>
              <w:rPr>
                <w:noProof/>
                <w:webHidden/>
              </w:rPr>
              <w:fldChar w:fldCharType="separate"/>
            </w:r>
            <w:r>
              <w:rPr>
                <w:noProof/>
                <w:webHidden/>
              </w:rPr>
              <w:t>12</w:t>
            </w:r>
            <w:r>
              <w:rPr>
                <w:noProof/>
                <w:webHidden/>
              </w:rPr>
              <w:fldChar w:fldCharType="end"/>
            </w:r>
          </w:hyperlink>
        </w:p>
        <w:p w14:paraId="6C839115" w14:textId="66D54F04" w:rsidR="00775078" w:rsidRDefault="00775078">
          <w:pPr>
            <w:pStyle w:val="Sommario2"/>
            <w:rPr>
              <w:rFonts w:eastAsiaTheme="minorEastAsia"/>
              <w:noProof/>
              <w:kern w:val="0"/>
              <w:lang w:val="it-IT" w:eastAsia="it-IT"/>
              <w14:ligatures w14:val="none"/>
            </w:rPr>
          </w:pPr>
          <w:hyperlink w:anchor="_Toc219216875" w:history="1">
            <w:r w:rsidRPr="008A27F9">
              <w:rPr>
                <w:rStyle w:val="Collegamentoipertestuale"/>
                <w:rFonts w:ascii="Verdana" w:hAnsi="Verdana"/>
                <w:b/>
                <w:bCs/>
                <w:smallCaps/>
                <w:noProof/>
              </w:rPr>
              <w:t>15.</w:t>
            </w:r>
            <w:r>
              <w:rPr>
                <w:rFonts w:eastAsiaTheme="minorEastAsia"/>
                <w:noProof/>
                <w:kern w:val="0"/>
                <w:lang w:val="it-IT" w:eastAsia="it-IT"/>
                <w14:ligatures w14:val="none"/>
              </w:rPr>
              <w:tab/>
            </w:r>
            <w:r w:rsidRPr="008A27F9">
              <w:rPr>
                <w:rStyle w:val="Collegamentoipertestuale"/>
                <w:rFonts w:ascii="Verdana" w:hAnsi="Verdana"/>
                <w:b/>
                <w:smallCaps/>
                <w:noProof/>
              </w:rPr>
              <w:t>Notificări.</w:t>
            </w:r>
            <w:r>
              <w:rPr>
                <w:noProof/>
                <w:webHidden/>
              </w:rPr>
              <w:tab/>
            </w:r>
            <w:r>
              <w:rPr>
                <w:noProof/>
                <w:webHidden/>
              </w:rPr>
              <w:fldChar w:fldCharType="begin"/>
            </w:r>
            <w:r>
              <w:rPr>
                <w:noProof/>
                <w:webHidden/>
              </w:rPr>
              <w:instrText xml:space="preserve"> PAGEREF _Toc219216875 \h </w:instrText>
            </w:r>
            <w:r>
              <w:rPr>
                <w:noProof/>
                <w:webHidden/>
              </w:rPr>
            </w:r>
            <w:r>
              <w:rPr>
                <w:noProof/>
                <w:webHidden/>
              </w:rPr>
              <w:fldChar w:fldCharType="separate"/>
            </w:r>
            <w:r>
              <w:rPr>
                <w:noProof/>
                <w:webHidden/>
              </w:rPr>
              <w:t>13</w:t>
            </w:r>
            <w:r>
              <w:rPr>
                <w:noProof/>
                <w:webHidden/>
              </w:rPr>
              <w:fldChar w:fldCharType="end"/>
            </w:r>
          </w:hyperlink>
        </w:p>
        <w:p w14:paraId="544723A2" w14:textId="0E61BF0E"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216861"/>
      <w:r>
        <w:rPr>
          <w:rFonts w:ascii="Verdana" w:hAnsi="Verdana"/>
          <w:b/>
          <w:smallCaps/>
          <w:sz w:val="20"/>
        </w:rPr>
        <w:t>Definiții</w:t>
      </w:r>
      <w:r>
        <w:rPr>
          <w:rFonts w:ascii="Verdana" w:hAnsi="Verdana"/>
          <w:sz w:val="20"/>
        </w:rPr>
        <w:t>.</w:t>
      </w:r>
      <w:bookmarkEnd w:id="1"/>
    </w:p>
    <w:p w14:paraId="05C1936D" w14:textId="450572D1" w:rsidR="00881A72" w:rsidRPr="00E9150B" w:rsidRDefault="00E93843" w:rsidP="00087BF5">
      <w:pPr>
        <w:pStyle w:val="Paragrafoelenco"/>
        <w:spacing w:line="360" w:lineRule="auto"/>
        <w:ind w:left="0"/>
        <w:jc w:val="both"/>
        <w:rPr>
          <w:rFonts w:ascii="Verdana" w:hAnsi="Verdana"/>
          <w:sz w:val="20"/>
          <w:szCs w:val="20"/>
        </w:rPr>
      </w:pPr>
      <w:r>
        <w:t xml:space="preserve">În plus față de celelalte definiții care apar în </w:t>
      </w:r>
      <w:r>
        <w:rPr>
          <w:i/>
          <w:iCs/>
        </w:rPr>
        <w:t>„Condițiile generale  Marketplace Fleequid®”</w:t>
      </w:r>
      <w:r>
        <w:t xml:space="preserve"> („Condiții generale”), care pot fi consultate în secțiunea dedicată (</w:t>
      </w:r>
      <w:hyperlink r:id="rId11" w:tgtFrame="_blank" w:history="1">
        <w:r>
          <w:rPr>
            <w:rStyle w:val="Collegamentoipertestuale"/>
            <w:rFonts w:ascii="Verdana" w:hAnsi="Verdana"/>
            <w:sz w:val="20"/>
          </w:rPr>
          <w:t>https://fleequid.com/it/ terms-and-conditions</w:t>
        </w:r>
      </w:hyperlink>
      <w:r>
        <w:t xml:space="preserve">), care reglementează Marketplace Fleequid® și care se consideră integral citate și reproduse în prezentul </w:t>
      </w:r>
      <w:r>
        <w:lastRenderedPageBreak/>
        <w:t>document, în sensul prezentelor Condiții specifice ale Serviciului de garanție Powertrain Fleequid®(„CSG”) se aplică următoarele definiții:</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„Cumpărător”</w:t>
      </w:r>
      <w:r>
        <w:rPr>
          <w:rFonts w:ascii="Verdana" w:hAnsi="Verdana"/>
          <w:sz w:val="20"/>
        </w:rPr>
        <w:t>: entitatea care, după adjudecarea unui Vehicul de pe Marketplace Fleequid®, în exercitarea activității sale comerciale sau profesionale, solicită și obține activarea Serviciului de garanție Powertrain. Serviciul nu este destinat consumatorilor în conformitate cu decretul legislativ 206/2005 (Codul consumului).</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w:t>
      </w:r>
      <w:r>
        <w:rPr>
          <w:rFonts w:ascii="Verdana" w:hAnsi="Verdana"/>
          <w:b/>
          <w:i/>
          <w:sz w:val="20"/>
        </w:rPr>
        <w:t>Așteptare”</w:t>
      </w:r>
      <w:r>
        <w:rPr>
          <w:rFonts w:ascii="Verdana" w:hAnsi="Verdana"/>
          <w:sz w:val="20"/>
        </w:rPr>
        <w:t>: perioada inițială, începând de la data activării Serviciului de garanție Powertrain, fie că aceasta are loc concomitent cu vânzarea sau ulterior acesteia, pe parcursul căreia Garanția nu este activă și nu acoperă defecțiunile apărute la Vehicul.</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„Centru autorizat”</w:t>
      </w:r>
      <w:r>
        <w:rPr>
          <w:rFonts w:ascii="Verdana" w:hAnsi="Verdana"/>
          <w:sz w:val="20"/>
        </w:rPr>
        <w:t>: atelierul sau centrul de service identificat sau autorizat anterior de Fleequid® pentru a efectua reparațiile și intervențiile acoperite de Serviciul de garanție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„Componente acoperite de garanție”</w:t>
      </w:r>
      <w:r>
        <w:rPr>
          <w:rFonts w:ascii="Verdana" w:hAnsi="Verdana"/>
          <w:sz w:val="20"/>
        </w:rPr>
        <w:t>: componentele principale ale motorului și ale cutiei de viteze ale Vehiculului care face obiectul Garanției, astfel cum sunt detaliate în prezentele CSG.</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„Componente excluse”</w:t>
      </w:r>
      <w:r>
        <w:rPr>
          <w:rFonts w:ascii="Verdana" w:hAnsi="Verdana"/>
          <w:sz w:val="20"/>
        </w:rPr>
        <w:t>: organele, piesele și accesoriile Vehiculului care nu fac parte din Componentele acoperite de garanție și care rămân, prin urmare, excluse din Garanție, astfel cum sunt detaliate în prezentele CSG.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„Condiții specifice ale Serviciului de garanție Powertrain</w:t>
      </w:r>
      <w:r>
        <w:rPr>
          <w:rFonts w:ascii="Verdana" w:hAnsi="Verdana"/>
          <w:sz w:val="20"/>
        </w:rPr>
        <w:t>" sau „</w:t>
      </w:r>
      <w:r>
        <w:rPr>
          <w:rFonts w:ascii="Verdana" w:hAnsi="Verdana"/>
          <w:b/>
          <w:i/>
          <w:sz w:val="20"/>
        </w:rPr>
        <w:t>CSG</w:t>
      </w:r>
      <w:r>
        <w:rPr>
          <w:rFonts w:ascii="Verdana" w:hAnsi="Verdana"/>
          <w:sz w:val="20"/>
        </w:rPr>
        <w:t>”: prezentele Condiții specifice care reglementează termenii și modalitățile Serviciului de garanție Powertrain (motor și cutie de viteze) oferit de Fleequid®. Raportul de prevalență dintre prezentele CSG, eventuale alte Condiții Specifice și/sau Condiții speciale de licitație și/sau contracte individuale, și Condițiile generale ale Marketplace Fleequid®, este reglementat de acestea din urmă.</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are înțelesul dat de Condițiile Generale ale Marketplace Fleequid® și include, în sensul prezentelor CSG, Società Adorea S.r.l. sau o altă entitate juridică desemnată de aceasta ca furnizor al Serviciului de Garanție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„Expert de încredere”</w:t>
      </w:r>
      <w:r>
        <w:rPr>
          <w:rFonts w:ascii="Verdana" w:hAnsi="Verdana"/>
          <w:sz w:val="20"/>
        </w:rPr>
        <w:t>: tehnicianul desemnat de Fleequid® pentru stabilirea cauzelor defecțiunii și pentru verificarea condițiilor de aplicabilitate a Garanției.</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„Serviciul de garanție Powertrain"</w:t>
      </w:r>
      <w:r>
        <w:rPr>
          <w:rFonts w:ascii="Verdana" w:hAnsi="Verdana"/>
          <w:sz w:val="20"/>
        </w:rPr>
        <w:t>: garanția comercială opțională, fără caracter de asigurare, prin care Fleequid® își asumă direct, contra cost, obligația de a acoperi defecțiunile și funcționările defectuoase ale principalelor componente ale motorului și cutiei de viteze aparținând Vehiculului adjudecat pe Marketplace, în limitele, condițiile și cu excluderile prevăzute de prezentele CSG.</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„Vehicul”</w:t>
      </w:r>
      <w:r>
        <w:rPr>
          <w:rFonts w:ascii="Verdana" w:hAnsi="Verdana"/>
          <w:sz w:val="20"/>
        </w:rPr>
        <w:t>: Vehiculul, astfel cum este definit în Condițiile generale ale Marketplace Fleequid®, pentru care Cumpărătorul a solicitat și a obținut activarea Serviciului de garanție Powertrain.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216862"/>
      <w:r>
        <w:rPr>
          <w:rFonts w:ascii="Verdana" w:hAnsi="Verdana"/>
          <w:b/>
          <w:smallCaps/>
          <w:sz w:val="20"/>
        </w:rPr>
        <w:t>Obiectul serviciului</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Prezentele Condiții Specifice reglementează </w:t>
      </w:r>
      <w:r>
        <w:rPr>
          <w:rFonts w:ascii="Verdana" w:hAnsi="Verdana"/>
          <w:b/>
          <w:sz w:val="20"/>
        </w:rPr>
        <w:t>Serviciul de garanție Powertrain</w:t>
      </w:r>
      <w:r>
        <w:rPr>
          <w:rFonts w:ascii="Verdana" w:hAnsi="Verdana"/>
          <w:sz w:val="20"/>
        </w:rPr>
        <w:t xml:space="preserve"> oferit de Fleequid® Cumpărătorilor care solicită acest lucru și care au plătit în mod corespunzător taxa aferentă.</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Serviciul de garanție Powertrain are natura unei </w:t>
      </w:r>
      <w:r>
        <w:rPr>
          <w:rFonts w:ascii="Verdana" w:hAnsi="Verdana"/>
          <w:b/>
          <w:sz w:val="20"/>
        </w:rPr>
        <w:t>garanții comerciale</w:t>
      </w:r>
      <w:r>
        <w:rPr>
          <w:rFonts w:ascii="Verdana" w:hAnsi="Verdana"/>
          <w:sz w:val="20"/>
        </w:rPr>
        <w:t xml:space="preserve"> </w:t>
      </w:r>
      <w:r>
        <w:rPr>
          <w:rFonts w:ascii="Verdana" w:hAnsi="Verdana"/>
          <w:b/>
          <w:bCs/>
          <w:sz w:val="20"/>
        </w:rPr>
        <w:t>opționale</w:t>
      </w:r>
      <w:r>
        <w:rPr>
          <w:rFonts w:ascii="Verdana" w:hAnsi="Verdana"/>
          <w:sz w:val="20"/>
        </w:rPr>
        <w:t xml:space="preserve"> și nu constituie în niciun caz un produs de asigurare. Riscul legat de executarea Garanției este asumat direct de Fleequid®.</w:t>
      </w:r>
      <w:r>
        <w:t xml:space="preserve"> </w:t>
      </w:r>
      <w:r>
        <w:rPr>
          <w:rFonts w:ascii="Verdana" w:hAnsi="Verdana"/>
          <w:sz w:val="20"/>
        </w:rPr>
        <w:t>Fleequid® nu este societate de asigurări, nici intermediar de asigurări și nu este supusă supravegherii IVASS sau legislației privind Codul asigurărilor private.</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Garanția se aplică exclusiv </w:t>
      </w:r>
      <w:r>
        <w:rPr>
          <w:rFonts w:ascii="Verdana" w:hAnsi="Verdana"/>
          <w:b/>
          <w:sz w:val="20"/>
        </w:rPr>
        <w:t>Componentelor acoperite de garanție</w:t>
      </w:r>
      <w:r>
        <w:rPr>
          <w:rFonts w:ascii="Verdana" w:hAnsi="Verdana"/>
          <w:sz w:val="20"/>
        </w:rPr>
        <w:t xml:space="preserve"> ale Vehiculului, doar pentru defecțiunile și funcționările defectuoase apărute în perioada de valabilitate a Serviciului și în limitele, condițiile și cu excluderile prevăzute de  prezentele CSG.</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În consecință, toate </w:t>
      </w:r>
      <w:r>
        <w:rPr>
          <w:rFonts w:ascii="Verdana" w:hAnsi="Verdana"/>
          <w:b/>
          <w:sz w:val="20"/>
        </w:rPr>
        <w:t xml:space="preserve">Componentele excluse, </w:t>
      </w:r>
      <w:r>
        <w:rPr>
          <w:rFonts w:ascii="Verdana" w:hAnsi="Verdana"/>
          <w:sz w:val="20"/>
        </w:rPr>
        <w:t>precum și cazurile și situațiile enumerate la articolele următoare, rămân excluse din Garanție.</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Relația dintre prezentele CSG și Condițiile generale este reglementată de articolul 3.3 din </w:t>
      </w:r>
      <w:r>
        <w:rPr>
          <w:rFonts w:ascii="Verdana" w:hAnsi="Verdana"/>
          <w:i/>
          <w:sz w:val="20"/>
        </w:rPr>
        <w:t>Condițiile generale ale Marketplace Fleequid®</w:t>
      </w:r>
      <w:r>
        <w:rPr>
          <w:rFonts w:ascii="Verdana" w:hAnsi="Verdana"/>
          <w:sz w:val="20"/>
        </w:rPr>
        <w:t>: prezentele CSG prevalează asupra Condițiilor generale în caz de conflict, numai în ceea ce privește reglementarea Serviciului de garanție Powertrain.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216863"/>
      <w:r>
        <w:rPr>
          <w:rFonts w:ascii="Verdana" w:hAnsi="Verdana"/>
          <w:b/>
          <w:smallCaps/>
          <w:sz w:val="20"/>
        </w:rPr>
        <w:t>Componente acoperite și excluse din garanție</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 acoperite de garanție - </w:t>
      </w:r>
      <w:r>
        <w:rPr>
          <w:rFonts w:ascii="Verdana" w:hAnsi="Verdana"/>
          <w:sz w:val="20"/>
        </w:rPr>
        <w:t xml:space="preserve">Serviciul de garanție Powertrain se aplică exclusiv principalelor organe mecanice ale </w:t>
      </w:r>
      <w:r>
        <w:rPr>
          <w:rFonts w:ascii="Verdana" w:hAnsi="Verdana"/>
          <w:b/>
          <w:sz w:val="20"/>
        </w:rPr>
        <w:t>motorului</w:t>
      </w:r>
      <w:r>
        <w:rPr>
          <w:rFonts w:ascii="Verdana" w:hAnsi="Verdana"/>
          <w:sz w:val="20"/>
        </w:rPr>
        <w:t xml:space="preserve"> și </w:t>
      </w:r>
      <w:r>
        <w:rPr>
          <w:rFonts w:ascii="Verdana" w:hAnsi="Verdana"/>
          <w:b/>
          <w:sz w:val="20"/>
        </w:rPr>
        <w:t>cutiei de viteze</w:t>
      </w:r>
      <w:r>
        <w:rPr>
          <w:rFonts w:ascii="Verdana" w:hAnsi="Verdana"/>
          <w:sz w:val="20"/>
        </w:rPr>
        <w:t xml:space="preserve"> Vehiculului, și anume:</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pentru </w:t>
      </w:r>
      <w:r>
        <w:rPr>
          <w:rFonts w:ascii="Verdana" w:hAnsi="Verdana"/>
          <w:b/>
          <w:sz w:val="20"/>
        </w:rPr>
        <w:t>motor</w:t>
      </w:r>
      <w:r>
        <w:rPr>
          <w:rFonts w:ascii="Verdana" w:hAnsi="Verdana"/>
          <w:sz w:val="20"/>
        </w:rPr>
        <w:t>: bloc motor, chiulasă, arbore cotit, pistoane, biele, supape, arbori cu came și alte organe strict necesare pentru funcționarea propulsorului;</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pentru </w:t>
      </w:r>
      <w:r>
        <w:rPr>
          <w:rFonts w:ascii="Verdana" w:hAnsi="Verdana"/>
          <w:b/>
          <w:sz w:val="20"/>
        </w:rPr>
        <w:t>cutia de viteze</w:t>
      </w:r>
      <w:r>
        <w:rPr>
          <w:rFonts w:ascii="Verdana" w:hAnsi="Verdana"/>
          <w:sz w:val="20"/>
        </w:rPr>
        <w:t>: carcasă, angrenaje, arbori, rulmenți, diferențial și alte organe strict necesare pentru funcționarea cutiei de viteze manuale sau automate.</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 excluse - </w:t>
      </w:r>
      <w:r>
        <w:rPr>
          <w:rFonts w:ascii="Verdana" w:hAnsi="Verdana"/>
          <w:sz w:val="20"/>
        </w:rPr>
        <w:t>Sunt excluse din Serviciul de garanție Powertrain, printre altele:</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piesele supuse uzurii obișnuite (de exemplu, ambreiaj, discuri, curele, filtre, garnituri, manșoane, tubulatură, lichide și consumabile);</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sisteme electrice, electronice și accesorii care nu sunt strict necesare funcționării motorului sau cutiei de viteze (de exemplu, alternator, motor de pornire, cablaje, unități de control, altele decât cele ale motorului sau cutiei de viteze);</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sisteme de evacuare și de tratare a emisiilor (de exemplu, catalizatoare, filtre de particule, EGR, sisteme AdBlue, sonde lambda);</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componente externe motorului și cutiei de viteze (de exemplu, radiatoare, pompe de apă, pompe auxiliare, compresor de aer condiționat, suporturi elastice, volan);</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întregul sistem de climatizare și aer condiționat al habitaclului, inclusiv - cu titlu exemplificativ - compresorul de aer condiționat, condensatorul, evaporatorul, ventilatoarele electrice, ventilatoarele, conductele și fitingurile, senzorii, supapele de expansiune, unitățile de control și modulele de control ale sistemului de aer condiționat;</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daune rezultate din impacturi, accidente, incendiu, furt, dezastre naturale, utilizare necorespunzătoare sau intervenții neautorizate;</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defectele deja existente la momentul livrării Vehiculului sau, în orice caz, apărute înainte de data activării Serviciului, inclusiv cele survenite în perioada de Așteptare.</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Principiul ex</w:t>
      </w:r>
      <w:r>
        <w:rPr>
          <w:rFonts w:ascii="Verdana" w:hAnsi="Verdana"/>
          <w:b/>
          <w:bCs/>
          <w:sz w:val="20"/>
        </w:rPr>
        <w:t>haustivității</w:t>
      </w:r>
      <w:r>
        <w:rPr>
          <w:rFonts w:ascii="Verdana" w:hAnsi="Verdana"/>
          <w:sz w:val="20"/>
        </w:rPr>
        <w:t xml:space="preserve"> - Prin activarea Serviciului de garanție Powertrain, Cumpărătorul acceptă și ia la cunoștință că garanția se aplică exclusiv Componentelor acoperite de garanție, astfel cum sunt enumerate mai sus, și că orice nu este inclus în mod expres se consideră exclus din Garanție.</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216864"/>
      <w:r>
        <w:rPr>
          <w:rFonts w:ascii="Verdana" w:hAnsi="Verdana"/>
          <w:b/>
          <w:smallCaps/>
          <w:sz w:val="20"/>
        </w:rPr>
        <w:t>Începerea, durata și condițiile de eficacitate.</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de garanție Powertrain decurge de la data livrării Vehiculului către Cumpărător, astfel cum figurează în documentele de vânzare și de transport. În cazul în care Serviciul de garanție Powertrain este achiziționat după vânzarea Vehiculului, data de intrare în vigoare coincide cu data indicată de Fleequid® în documentația contractuală de activare a Serviciului, cu următoarele condiții:</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Vehiculul să fi fost reevaluat de Fleequid® sau Fleequid® să fi renunțat oficial la evaluare;</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valoarea Serviciului să fi fost achitată integral de către Cumpărător.</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acceptă și recunoaște că Serviciul de garanție Powertrain nu acoperă defecțiunile sau avariile deja existente sau care s-au manifestat înainte de livrarea Vehiculului, nici cele apărute înainte de data intrării în vigoare a Serviciului sau în perioada de Așteptare.</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de garanție Powertrain are o durată fixată în prealabil, care va fi aleasă de Cumpărător la momentul semnării, dintre următoarele opțiuni:</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(trei) luni sau 15.000 (cincisprezece mii)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(șase) luni sau 30.000 (treizeci de mii)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(nouă) luni sau 45.000 (patruzeci și cinci de mii)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(douăsprezece) luni sau 60.000 (șaizeci de mii)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Serviciul nu se prelungește tacit și încetează la împlinirea primeia dintre limita de timp sau limita de kilometraj aleasă în prealabil.</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de garanție Powertrain poate fi activat numai pentru Vehiculele care, la data intrării în vigoare a Serviciului (articolul 4.1), îndeplinesc următoarele cerințe:</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o durată nu mai mare de 15 (cincisprezece) ani de la prima înmatriculare;</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kilometrajul și întreținerea documentate în conformitate cu tabelul următor:</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Categorie Vehicul</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Limită kilometrică obișnuită</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Admisibilitate peste limită</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Autobuz clasa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Admise dacă motorul și cutia de viteze au fost supuse reviziei în ultimii 250.000 km (cu documente oficiale)</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lastRenderedPageBreak/>
              <w:t xml:space="preserve">Clasă autobuz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Admise dacă motorul și cutia de viteze au fost supuse reviziei în ultimii 250.000 km (cu documente oficiale)</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Microbuz clasa 1-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Admise dacă motorul și cutia de viteze au fost supuse reviziei în ultimii 100.000 km (cu documente oficiale)</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Microbuz clasa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Admise dacă motorul și cutia de viteze au fost supuse reviziei în ultimii 100.000 km (cu documente oficiale)</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Autobuz școlar</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Admise dacă motorul și cutia de viteze au fost supuse reviziei în ultimii 100.000 km (cu documente oficiale)</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În prezent, Serviciul de garanție Powertrain este disponibil numai pentru autobuze și microbuze.</w:t>
      </w:r>
      <w:r>
        <w:rPr>
          <w:rFonts w:ascii="Verdana" w:hAnsi="Verdana"/>
          <w:sz w:val="20"/>
        </w:rPr>
        <w:br/>
        <w:t>Fleequid® își rezervă dreptul de a extinde, actualiza sau modifica acele categorii de Vehicule eligibile în cadrul Garanției, prin menționarea expresă a acestui lucru în documentația precontractuală sau în anexele specifice la prezentele CSG, care vor fi puse la dispoziția Cumpărătorului la momentul semnării.</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cazul înstrăinării sau transferului Vehiculului către o terță parte, Serviciul de garanție Powertrain încetează în mod automat, fără drept de rambursare. Eventualul transfer al Garanției către noul proprietar este posibil numai cu aprobarea scrisă prealabilă a Fleequid® și este condiționat de plata taxelor aferente de către Cumpărătorul inițial sau de către succesor. Acest lucru nu aduce atingere încetării Serviciului de garanție Powertrain în cazul nerespectării, de către Cumpărător, a obligațiilor care îi revin în temeiul prezentelor CSG.</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cazul în care Serviciul de garanție Powertrain este achiziționat după vânzarea Vehiculului (art. 4.1, alineat 2), garanția va deveni activă numai după o perioadă de Așteptare de 30 (treizeci) de zile de la data intrării în vigoare a Serviciului, respectiv după primii 1.000 (o mie) de kilometri parcurși de Vehicul după acea dată, oricare dintre aceste evenimente survine ultimul. În timpul acestei perioade de Așteptare, eventualele defecțiuni sau funcționări defectuoase nu sunt acoperite de garanție. Pe de altă parte, nu se aplică nicio perioadă de Așteptare în cazul în care Serviciul este achiziționat odată cu achiziționarea Vehiculului în cadrul procesului de vânzare pe Marketplace Fleequid®, înainte de livrarea Vehiculului.</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216865"/>
      <w:r>
        <w:rPr>
          <w:rFonts w:ascii="Verdana" w:hAnsi="Verdana"/>
          <w:b/>
          <w:smallCaps/>
          <w:sz w:val="20"/>
        </w:rPr>
        <w:t>Zona de aplicare teritorială.</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Serviciul de garanție Powertrain este valabil și eficient pentru Vehiculele utilizate și reparate în orice țară, cu excepția cazului în care Fleequid® comunică în mod expres  Cumpărătorului o anumită limitare sau excludere în documentația precontractuală sau contractuală de activare a Serviciului.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Intervențiile în perioada garanției trebuie efectuate la Centrele autorizate alese sau autorizate în prealabil de Fleequid®. Orice reparație efectuată în afara acestor Centre va duce la pierderea dreptului la garanție, cu excepția cazului în care Fleequid® aprobă în prealabil în scris acest lucru.</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Cumpărătorul acceptă și ia la cunoștință că, în cazul în care Vehiculul este transferat sau utilizat în țări pentru care Fleequid® a comunicat limitări specifice, Serviciul de garanție Powertrain nu va fi valabil pe întreaga durată a șederii în respectivele țări.</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216866"/>
      <w:bookmarkEnd w:id="8"/>
      <w:r>
        <w:rPr>
          <w:rFonts w:ascii="Verdana" w:hAnsi="Verdana"/>
          <w:b/>
          <w:smallCaps/>
          <w:sz w:val="20"/>
        </w:rPr>
        <w:t>Obligațiile Cumpărătorului.</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este obligat să efectueze sau să dispună efectuarea întreținerii periodice și a celei excepționale a Vehiculului în conformitate cu prevederile producătorului și cu reglementările în vigoare, păstrând documentația corespunzătoare (facturi, carnete de întreținere, chitanțe etc.) pentru a fi prezentată la cererea Fleequid®.</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trebuie să notifice Fleequid® cu privire la orice defecțiune sau funcționare defectuoasă în termen de cel mult 5 (cinci) zile lucrătoare de la apariția acesteia, trimițând o cerere de intervenție conform modalităților specificate de Fleequid® și anexând documentația necesară (descrierea defecțiunii, kilometraj, fotografii, copia registrului de întreținere etc.).</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nu poate să efectueze sau să dispună efectuarea de reparații sau intervenții asupra Componentelor acoperite de garanție fără acordul prealabil scris al Fleequid®. Eventualele intervenții neautorizate duc la pierderea dreptului de garanție pentru defecțiunile respective.</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va coopera cu Expertul desemnat de Fleequid® pentru verificările necesare și va permite accesul la Vehicul pentru controale.</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este obligat să utilizeze Vehiculul în conformitate cu destinația sa, cu reglementările aplicabile și cu instrucțiunile producătorului, abținându-se de la supraîncărcări, intervenții neautorizate, utilizări necorespunzătoare sau necompatibile cu diligența profesională normală (principiul fair use).</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 de activare a martorilor de avertizare, a semnalelor acustice, în caz de anomalii de funcționare evidente sau de orice circumstanțe pe baza cărora se poate presupune în mod rezonabil o deteriorare iminentă a Componentelor acoperite de garanție, Cumpărătorul va înceta imediat utilizarea Vehiculului și va solicita asistența Fleequid®. Orice continuare a utilizării în astfel de condiții atrage după sine pierderea garanției pentru daunele ulterioare acestui comportament sau agravate de acesta.</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acceptă și ia la cunoștință că nerespectarea obligațiilor prevăzute în prezentul articol duce la pierderea totală sau parțială a dreptului de garanție prevăzut de Serviciul de garanție Powertrain.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216867"/>
      <w:r>
        <w:rPr>
          <w:rFonts w:ascii="Verdana" w:hAnsi="Verdana"/>
          <w:b/>
          <w:smallCaps/>
          <w:sz w:val="20"/>
        </w:rPr>
        <w:t>Raportarea daunei.</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Scopul prezentei proceduri este de a permite Fleequid® să se ocupe în mod prompt și eficient de defecțiunile acoperite de Serviciul de garanție Powertrain, evitând agravarea daunelor și asigurându-se că intervențiile sunt efectuate numai la Centrele autorizate.</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Cumpărătorul este obligat să notifice Fleequid® cu privire la apariția defecțiunii sau a funcționării defectuoase printr-o cerere scrisă, transmisă exclusiv prin canalele de comunicare indicate la punctul 7.3. Raportarea se va face în termen de cel mult 5 (cinci) zile lucrătoare de la apariția defecțiunii. Nerespectarea acestui termen duce la decăderea automată din dreptul de garanție pentru evenimentul raportat.</w:t>
      </w:r>
    </w:p>
    <w:p w14:paraId="6881D941" w14:textId="77777777"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t xml:space="preserve">Raportarea daunei se va face exclusiv la următoarea adresă de e-mail dedicată: </w:t>
      </w:r>
      <w:hyperlink r:id="rId12" w:history="1">
        <w:r>
          <w:rPr>
            <w:rStyle w:val="Collegamentoipertestuale"/>
            <w:rFonts w:ascii="Verdana" w:hAnsi="Verdana"/>
            <w:b/>
            <w:sz w:val="20"/>
          </w:rPr>
          <w:t>warranty@fleequid.com</w:t>
        </w:r>
      </w:hyperlink>
      <w:r>
        <w:t>.</w:t>
      </w:r>
      <w:r>
        <w:rPr>
          <w:rFonts w:ascii="Verdana" w:hAnsi="Verdana"/>
          <w:sz w:val="20"/>
        </w:rPr>
        <w:t xml:space="preserve"> Comunicările transmise prin alte canale, inclusiv cu furnizarea dovezii de primire de către Fleequid® (de exemplu, prin telefon, mesagerie instantă, poștă electronică certificată, scrisori obișnuite sau alte adrese de e-mail) nu vor fi valabile și, prin urmare, nu vor produce niciun efect în scopul Garanției.</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Raportarea va conține cel puțin:</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datele de identificare ale Cumpărătorului și ale Vehiculului (număr de înmatriculare, șasiu/VIN, km parcurși);</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descrierea defecțiunii sau a funcționării defectuoase și data apariției;</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locul în care se află Vehiculului;</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documentație fotografică (dacă este disponibilă);</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copia documentației de întreținere și a intervențiilor anterioare (dacă se cere).</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primirea raportării, Fleequid® va deschide dosarul de daună, va numi un Expert de încredere pentru verificările tehnice și va autoriza ulterior în scris eventualele intervenții la un Centru autorizat. Orice intervenție efectuată fără autorizația scrisă prealabilă a Fleequid® duce la pierderea garanției.</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216868"/>
      <w:r>
        <w:rPr>
          <w:rFonts w:ascii="Verdana" w:hAnsi="Verdana"/>
          <w:b/>
          <w:smallCaps/>
          <w:sz w:val="20"/>
        </w:rPr>
        <w:t>Gestionarea daunei.</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primirea raportării de daună în conformitate cu articolul 7, Fleequid® deschide dosarul și poate, la discreția sa exclusivă, să numească un Expert de încredere pentru stabilirea cauzelor defecțiunii și verificarea condițiilor de aplicabilitate a Serviciului de garanție Powertrain.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Cumpărătorul este obligat:</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să pună Vehiculul la dispoziția Expertului de încredere și să îi permită acestuia să efectueze toate verificările necesare;</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să se abțină de la efectuarea sau dispunerea efectuării, din proprie inițiativă, a oricăror investigații tehnice, dezasamblări sau intervenții care ar putea face imposibilă sau mai dificilă stabilirea cauzelor daunei.</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Încălcarea acestor obligații duce la pierderea garanției pentru evenimentul raportat.</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Fleequid® va transmite Cumpărătorului rezultatul investigației în termen de 10 (zece) zile lucrătoare de la primirea raportului Expertului de încredere, dacă a fost numit, sau de la finalizarea evaluării interne.</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Rezultatul gestionării daunei poate consta în:</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autorizarea și efectuarea reparației sau înlocuirii Componentelor acoperite de garanție la un Centru autorizat, costurile urmând a fi suportate de Fleequid® în limitele prezentelor CSG;</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în mod excepțional, în cazul în care Fleequid® consideră oportun, posibilitatea de a autoriza Cumpărătorul să efectueze reparația la un centru ales personal, cu rambursarea ulterioară numai a cheltuielilor achitate efectiv și documentate, după predarea către Fleequid® a facturilor originale, după verificarea conformității cu prezentele CSG și predarea dovezilor de plată. Plata din partea Fleequid® se va efectua în termen de 30 (treizeci) de zile lucrătoare de la încheierea cu succes a verificării;</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respingerea raportării, în cazul în care nu sunt îndeplinite condițiile de valabilitate a Serviciului de garanție Powertrain.</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Orice reparație este supusă autorizării scrise prealabile din partea Fleequid®. În lipsa unei astfel de autorizări, cheltuielile rămân integral în sarcina Cumpărătorului.</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216869"/>
      <w:r>
        <w:rPr>
          <w:rFonts w:ascii="Verdana" w:hAnsi="Verdana"/>
          <w:b/>
          <w:smallCaps/>
          <w:sz w:val="20"/>
        </w:rPr>
        <w:t>Limitele garanției și ale răspunderii.</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Serviciul de garanție Powertrain are ca obiect exclusiv repararea sau înlocuirea Componentelor acoperite de garanție, în limitele, condițiile și conform modalităților stabilite în prezentele CSG. Fleequid® își asumă doar riscul economic rezultat din pierderea financiară legată de necesitatea de a repara sau înlocui astfel de componente, excluzând orice altă obligație de despăgubire, rambursare sau compensare.</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special, se exclude în mod expres orice răspundere a Fleequid® pentru:</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daune directe sau indirecte care rezultă din defectarea Componentelor acoperite de garanție (inclusiv, cu titlu exemplificativ, timpi morți, neutilizarea Vehiculului, pierderi de vânzări sau contracte, daune aduse imaginii sau pierderea clienților);</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daune provocate persoanelor, bunurilor sau animalelor rezultate din defectarea sau repararea Componentelor acoperite de garanție;</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deteriorarea componentelor, sistemelor sau organelor, altele decât cele incluse în mod expres în asigurare, inclusiv a întregului sistem de climatizare și aer condiționat al habitaclului (compresor AC, condensator, evaporator, conducte, ventilatoare, senzori, unități de control și orice altă componentă AC);</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consecințe de suspendare, întârzieri, proastă funcționare sau întreruperi în furnizarea Serviciului, cu excepția cazului în care acestea pot fi atribuite intenției sau neglijenței grave din partea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Plafonul maxim de cheltuieli aplicabil fiecărui Vehicul este stabilit și comunicat Cumpărătorului în documentația precontractuală aferentă Serviciului de garanție Powertrain.</w:t>
      </w:r>
      <w:r>
        <w:rPr>
          <w:rFonts w:ascii="Verdana" w:hAnsi="Verdana"/>
          <w:sz w:val="20"/>
        </w:rPr>
        <w:br/>
      </w:r>
      <w:r>
        <w:rPr>
          <w:rFonts w:ascii="Verdana" w:hAnsi="Verdana"/>
          <w:sz w:val="20"/>
        </w:rPr>
        <w:lastRenderedPageBreak/>
        <w:t>Acest plafon se referă la întreaga durată a Serviciului și nu la fiecare eveniment de defecțiune în parte, cu excepția cazului în care se prevede altfel în mod expres în documentația precontractuală. În orice caz, obligația totală a Fleequid® pentru fiecare Vehicul nu va depăși niciodată valoarea cea mai mică dintre suma de 25.000,00 € (douăzeci și cinci de mii/00) plus TVA și valoarea reziduală a Vehiculului la momentul producerii daunei, stabilită conform criteriilor actuale ale pieței.</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cazul în care, pentru repararea sau înlocuirea unei Componente acoperite de garanție, sunt necesare intervenții asupra unor componente sau piese care nu sunt incluse în Garanție, costurile aferente vor fi suportate integral de către Cumpărător. În astfel de cazuri, Fleequid® va putea pune direct la dispoziția Centrului autorizat sumele aferente părții sale de intervenții asupra Componentelor acoperite de garanție, în timp ce partea de cheltuială neacoperită de Garanție va fi plătită direct de Cumpărător la Centrul autorizat. Centrul autorizat este autorizat în mod expres să-și exercite dreptul de retenție asupra Vehiculului până la plata integrală a sumelor datorate de Cumpărător. În lipsa acceptării ofertei în perioada de valabilitate, Fleequid® are dreptul de a suspenda dosarul până la o nouă decizie a Cumpărătorului.</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acceptă și ia la cunoștință că, în cea mai mare măsură permisă de lege, scutește și exonerează Fleequid® de orice răspundere pentru întârzieri, nereguli sau omisiuni în gestionarea cererii de activare a garanției, cu excepția cazului în care acestea se datorează neglijenței grave sau intenției Fleequid®. În special, se exclud:</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consecințele care derivă din faptul că Cumpărătorul nu a făcut raportarea daunei în timp util;</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daunele rezultate din întârzierile cu efectuarea investigației, cu expertiza sau decizia privind acoperirea;</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orice pretenții de despăgubire ulterioare executării Serviciului de garanție în limitele prevăzute de prezentele CSG.</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Nicio comunicare, preluare a raportării sau activitate de investigare din partea Fleequid® nu poate fi interpretată ca o recunoaștere, chiar și implicită, a dreptului la garanție, care rămâne condiționat de rezultatul pozitiv al procedurii prevăzute de prezentele CSG.</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216870"/>
      <w:r>
        <w:rPr>
          <w:rFonts w:ascii="Verdana" w:hAnsi="Verdana"/>
          <w:b/>
          <w:smallCaps/>
          <w:sz w:val="20"/>
        </w:rPr>
        <w:t>Prestări, reparații și limitări operaționale.</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Serviciul de garanție Powertrain se referă exclusiv la Componentele acoperite de garanție și nu include în niciun caz următoarele (cu titlu exemplificativ, fără limitare):</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remorcarea sau asistența rutieră acordată Vehiculului;</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furnizarea de vehicule de înlocuire sau de servicii alternative de deplasare;</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cheltuieli cu cazarea, masa sau logistica pentru Cumpărător sau șoferi;</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consumabile, lichide, filtre, lubrifianți, cu excepția cazului în care acestea sunt necesare și direct legate de o intervenție autorizată asupra Componentelor acoperite de garanție;</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activități de diagnoză, inspecție sau ofertare care nu au fost autorizate în prealabil de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lastRenderedPageBreak/>
        <w:t>orice intervenție, reparație, înlocuire sau diagnoză referitoare la componente, sisteme sau organe care nu sunt incluse în Componentele acoperite de garanție, inclusiv - în mod expres - întregul sistem de climatizare și aer condiționat al habitaclului (compresor AC, condensator, evaporator, ventilatoare, conducte, senzori, unități de control și orice altă componentă AC).</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Intervențiile autorizate în temeiul prezentelor CSG vor fi efectuate cu piese de schimb originale sau echivalente, respectiv cu piese de schimb refabricate de aceeași calitate, la discreția Fleequid®. Manopera este facturată în funcție de timpul de lucru și de tarifele de referință recunoscute de Fleequid®. Sunt excluse în mod expres îmbunătățirile, modernizările sau modificările tehnice ale Vehiculului care nu sunt strict necesare pentru repararea Componentelor acoperite de garanție.</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Toate componentele înlocuite în cadrul Serviciului de garanție Powertrain devin proprietatea Fleequid®, care va putea dispune de ele în mod liber, inclusiv în scopuri de expertiză tehnică, refabricare sau eliminare.</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Orice comportament fraudulos, falsificare a documentelor, manipulare a odometrului sau a unităților de control electronic ale Vehiculului va atrage după sine pierderea imediată a Serviciului de garanție Powertrain, fără a aduce atingere dreptului Fleequid® de a acționa pentru despăgubirea daunelor suplimentare.</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Cumpărătorul este obligat să permită Fleequid® sau Expertului de încredere acces la vehicul, la datele de bord (inclusiv OBD și sisteme telematice) și la documentația de întreținere în scopul inspecțiilor tehnice necesare. Lipsa de cooperare duce la pierderea dreptului de garanție.</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Cumpărătorul acceptă și ia la cunoștință faptul că Fleequid® nu oferă nicio garanție, expresă sau implicită, cu privire la calitatea, durabilitatea sau succesul reparațiilor și înlocuirilor efectuate, fie la Centrele Autorizate identificate sau aprobate de Fleequid®, fie la service-urile sau Centrele de asistență alese de Cumpărător și în orice caz autorizate de Fleequid®. Orice garanție referitoare la componentele instalate și la lucrările efectuate trebuie solicitată direct service-ului care a efectuat intervenția. În măsura maximă permisă de lege, Cumpărătorul scutește și exonerează Fleequid® de orice pretenții, acțiuni sau cereri de despăgubire în legătură cu astfel de componente sau lucrări.</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216871"/>
      <w:bookmarkEnd w:id="15"/>
      <w:r>
        <w:rPr>
          <w:rFonts w:ascii="Verdana" w:hAnsi="Verdana"/>
          <w:b/>
          <w:smallCaps/>
          <w:sz w:val="20"/>
        </w:rPr>
        <w:t>Reclamații și litigii.</w:t>
      </w:r>
      <w:bookmarkEnd w:id="17"/>
    </w:p>
    <w:p w14:paraId="3E0CEEAD" w14:textId="0D66355E" w:rsidR="00F97588" w:rsidRDefault="003A7F47">
      <w:pPr>
        <w:pStyle w:val="Paragrafoelenco"/>
        <w:numPr>
          <w:ilvl w:val="1"/>
          <w:numId w:val="1"/>
        </w:numPr>
        <w:spacing w:line="360" w:lineRule="auto"/>
        <w:ind w:left="0" w:firstLine="0"/>
        <w:jc w:val="both"/>
        <w:rPr>
          <w:rFonts w:ascii="Verdana" w:hAnsi="Verdana"/>
          <w:sz w:val="20"/>
          <w:szCs w:val="20"/>
        </w:rPr>
      </w:pPr>
      <w:r>
        <w:t xml:space="preserve">În ceea ce privește reclamațiile referitoare la Serviciul de garanție Powertrain, Cumpărătorul este obligat să respecte integral procedura prevăzută la articolul 13 din Condițiile generale ale Marketplace Fleequid®, care pot fi consultate pe site-ul </w:t>
      </w:r>
      <w:hyperlink r:id="rId13" w:history="1">
        <w:r>
          <w:rPr>
            <w:rStyle w:val="Collegamentoipertestuale"/>
            <w:rFonts w:ascii="Verdana" w:hAnsi="Verdana"/>
            <w:sz w:val="20"/>
          </w:rPr>
          <w:t>www.fleequid.com</w:t>
        </w:r>
      </w:hyperlink>
      <w:r>
        <w:t>.</w:t>
      </w:r>
      <w:r>
        <w:rPr>
          <w:rFonts w:ascii="Verdana" w:hAnsi="Verdana"/>
          <w:sz w:val="20"/>
        </w:rPr>
        <w:t xml:space="preserve"> Părțile înțeleg că regulamentul privind soluționarea reclamațiilor prevăzute de Condițiile generale este distinct și separat de </w:t>
      </w:r>
      <w:r>
        <w:rPr>
          <w:rFonts w:ascii="Verdana" w:hAnsi="Verdana"/>
          <w:b/>
          <w:sz w:val="20"/>
        </w:rPr>
        <w:t>Raportarea daunei</w:t>
      </w:r>
      <w:r>
        <w:rPr>
          <w:rFonts w:ascii="Verdana" w:hAnsi="Verdana"/>
          <w:sz w:val="20"/>
        </w:rPr>
        <w:t xml:space="preserve"> prevăzute la articolul 7 din prezentele CSG.</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va gestiona reclamațiile în conformitate cu procedurile și în termenele stabilite în Condițiile generale, comunicând rezultatul investigației conform modalităților prevăzute în </w:t>
      </w:r>
      <w:r>
        <w:rPr>
          <w:rFonts w:ascii="Verdana" w:hAnsi="Verdana"/>
          <w:sz w:val="20"/>
        </w:rPr>
        <w:lastRenderedPageBreak/>
        <w:t>acestea. În cazul în care reclamația este acceptată, Fleequid® va aplica măsurile de remediere contractuale prevăzute de prezentele CSG și de Condițiile generale, în limitele acestora și ale legislației aplicabile.</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Înainte de a întreprinde orice acțiune judiciară sau arbitrală, Părțile se angajează să încerce cu bună credință să soluționeze litigiul pe cale amiabilă, inclusiv prin utilizarea instrumentelor de conciliere puse la dispoziție de platforma Marketplace Fleequid® sau a altor instrumente informale de negociere.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cazul în care o astfel de tentativă nu are succes în termen de 30 (treizeci) de zile de la comunicarea scrisă a litigiului, Părțile se angajează să încerce medierea la Organismul de mediere al Camerei de Comerț din Como, în conformitate cu Decretul legislativ nr. 28/2010. Medierea se va demara până la termenul sus-menționat și se va încheia în decurs de 60 (șaizeci) de zile de la demararea procedurii, cu excepția prelungirilor prevăzute de lege.</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cazul în care medierea nu se încheie cu un acord în termen de 60 (șaizeci) de zile de la demararea procedurii, litigiul va fi soluționat definitiv prin arbitraj formal, în conformitate cu Regulamentul Camerei de Arbitraj din Milano, de către un arbitru unic numit în conformitate cu același regulament. Locul arbitrajului va fi Milano, limba va fi italiana, iar legislația aplicabilă va fi cea prevăzută în prezentele CSG.</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Aceasta nu aduce atingere dreptului fiecărei Părți de a solicita instanței competente măsuri de precauție sau de urgență, chiar înainte sau în timpul procedurii de arbitraj, fără ca acest lucru să constituie o renunțare la clauza compromisorie.</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Pentru tot ceea ce nu este reglementat în mod expres în prezentul articol, se face referire în întregime la procedurile, termenii și modalitățile stabilite în Condițiile generale ale Marketplace Fleequid®.</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216872"/>
      <w:r>
        <w:rPr>
          <w:rFonts w:ascii="Verdana" w:hAnsi="Verdana"/>
          <w:b/>
          <w:smallCaps/>
          <w:sz w:val="20"/>
        </w:rPr>
        <w:t>Situații de forță majoră.</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În sensul prezentelor Condiții specifice, constituie situație de forță majoră orice eveniment, împrejurare, fapt, act, omisiune sau situație, indiferent de previzibilitatea sa, care se află în afara controlului rezonabil al Părții care o invocă și care împiedică, obstrucționează, restricționează sau întârzie, în totalitate sau în parte, îndeplinirea obligațiilor contractuale referitoare la Serviciul de garanție Powertrain. Cu titlu exemplificativ, fără a se limita la acestea, sunt considerate situații de forță majoră: calamități naturale de orice fel, fenomene atmosferice excepționale, incendii, explozii, inundații, cutremure; epidemii, pandemii, măsuri de izolare medicală; războaie (declarate sau nu), invazii, acte de terorism, revolte, tulburări civile; greve, lockdown-uri sau alte tulburări ale sindicatelor, chiar dacă acestea nu implică direct personalul Părții; embargouri, blocade, restricții sau măsuri ale oricărei autorități publice; indisponibilitatea infrastructurii, energiei, combustibililor, materiilor prime sau a pieselor de schimb; întreruperi ale serviciilor esențiale (inclusiv servicii informatice, de comunicații sau de rețea); atacuri cibernetice sau nefuncționalități tehnologice; pene de curent sau crize energetice; crize financiare sistemice sau modificări legislative sau de reglementare care afectează în mod direct </w:t>
      </w:r>
      <w:r>
        <w:rPr>
          <w:rFonts w:ascii="Verdana" w:hAnsi="Verdana"/>
          <w:sz w:val="20"/>
        </w:rPr>
        <w:lastRenderedPageBreak/>
        <w:t>furnizarea Serviciului; indisponibilitatea Centrelor autorizate sau opriri ale producției producătorilor care fac imposibilă găsirea sau montarea componentelor necesare.</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Apariția unei situații de forță majoră atrage după sine suspendarea, pe durata evenimentului și pe perioada strict necesară încetării acestuia, a obligațiilor Părții în cauză. În astfel de cazuri, nicio răspundere, compensație sau penalizare nu poate fi imputată Părții afectate de situația de forță majoră.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Partea care intenționează să invoce forța majoră va notifica fără întârziere cealaltă Parte în scris, specificând natura evenimentului, durata prevăzută a acestuia și consecințele previzibile cu privire la executarea contractului.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În cazul în care situația de forță majoră se prelungește mai mult de 30 (treizeci) de zile consecutive, fiecare Parte va avea dreptul de a rezilia acordul, fără obligația de a plăti despăgubiri, prin notificarea scrisă a celeilalte Părți.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Părțile se angajează să coopereze cu bună-credință pentru a lua toate măsurile rezonabile cu scopul de a atenua efectele situației de forță majore și  relua executarea obligațiilor contractuale cât mai curând posibil.</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216873"/>
      <w:r>
        <w:rPr>
          <w:rFonts w:ascii="Verdana" w:hAnsi="Verdana"/>
          <w:b/>
          <w:smallCaps/>
          <w:sz w:val="20"/>
        </w:rPr>
        <w:t>Modificări unilaterale ale Condițiilor specifice.</w:t>
      </w:r>
      <w:bookmarkEnd w:id="20"/>
    </w:p>
    <w:p w14:paraId="50854042" w14:textId="6D6E9F6E"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Prezentele Condiții specifice ale Serviciului de garanție Powertrain se înțeleg ca fiind supuse în întregime, în ceea ce privește modalitățile de modificare, prevederilor articolului 3) din Condițiile generale ale Marketplace Fleequid®, publicate pe site-ul oficial </w:t>
      </w:r>
      <w:hyperlink r:id="rId14" w:tgtFrame="_new" w:history="1">
        <w:r>
          <w:rPr>
            <w:rStyle w:val="Collegamentoipertestuale"/>
            <w:rFonts w:ascii="Verdana" w:hAnsi="Verdana"/>
            <w:sz w:val="20"/>
          </w:rPr>
          <w:t>www.fleequid.com</w:t>
        </w:r>
      </w:hyperlink>
      <w:r>
        <w:rPr>
          <w:rFonts w:ascii="Verdana" w:hAnsi="Verdana"/>
          <w:sz w:val="20"/>
        </w:rPr>
        <w:t xml:space="preserve"> și care pot fi consultate în mod liber de Utilizatori. În special, Fleequid® își rezervă dreptul de a le modifica unilateral, cu aceleași modalități, limite, forme de notificare prealabilă și mijloace de comunicare prevăzute pentru Condițiile generale. Astfel de modificări vor intra în vigoare după termenul limită indicat în notificare, cu excepția cazului în care Utilizatorul a acceptat în mod expres în prealabil sau și-a exercitat, în termenul limită, dreptul de retragere. Părțile înțeleg că, în lipsa unei derogări scrise exprese, versiunile anterioare ale prezentelor Condiții specifice vor continua să se aplice exclusiv raporturilor deja inițiate la data modificării, astfel cum se prevede în Condițiile generale. Utilizarea Serviciului de garanție Powertrain după modificare va constitui acceptarea tacită a Condițiilor specifice, astfel cum au fost modificate.</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216874"/>
      <w:r>
        <w:rPr>
          <w:rFonts w:ascii="Verdana" w:hAnsi="Verdana"/>
          <w:b/>
          <w:smallCaps/>
          <w:sz w:val="20"/>
        </w:rPr>
        <w:t>Legislația aplicabilă, limbă și jurisdicție.</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Prezentele Condiții specifice ale Serviciului de garanție Powertrain, împreună cu Condițiile Generale ale Marketplace Fleequid® și cu toate dispozițiile contractuale aferente, sunt reglementate exclusiv de legislația italiană. Orice normă internațională sau convenție aplicabilă va fi integrată numai în măsura în care nu intră în conflict cu legislația italiană.</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Pentru orice litigiu privind validitatea, interpretarea, executarea sau rezilierea prezentelor CSG, a Condițiilor generale sau a oricărui alt act juridic conex, se aplică procedura de reclamație, negociere, mediere și arbitraj prevăzută la articolul 11 din prezentele CSG. Prin urmare, competența instanțelor de drept comun este exclusă în mod expres, cu excepția adoptării de </w:t>
      </w:r>
      <w:r>
        <w:rPr>
          <w:rFonts w:ascii="Verdana" w:hAnsi="Verdana"/>
          <w:sz w:val="20"/>
        </w:rPr>
        <w:lastRenderedPageBreak/>
        <w:t>măsuri de precauție sau de urgență în limitele stabilite la articolul 11.6. În ultimul caz menționat, Tribunalul Como va avea competență exclusivă, cu excluderea expresă a oricărei alte jurisdicții concurente sau alternative, cu excepția cazului în care Părțile convin altfel în scris.</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Limba oficială a prezentelor Condiții specifice ale Serviciului de garanție Powertrain și a raporturilor contractuale aferente este italiana. În cazul în care prezentele Condiții specifice sunt traduse în alte limbi, versiunea în limba italiană va prevala și va fi considerată singura versiune obligatorie în scopul interpretării și aplicării contractului.</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216875"/>
      <w:r>
        <w:rPr>
          <w:rFonts w:ascii="Verdana" w:hAnsi="Verdana"/>
          <w:b/>
          <w:smallCaps/>
          <w:sz w:val="20"/>
        </w:rPr>
        <w:t>Notificări.</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Cu excepția cazului în care se prevede altfel în prezentele CSG, toate notificările dintre </w:t>
      </w:r>
      <w:r>
        <w:rPr>
          <w:rFonts w:ascii="Verdana" w:hAnsi="Verdana"/>
          <w:b/>
          <w:sz w:val="20"/>
        </w:rPr>
        <w:t>Fleequid®</w:t>
      </w:r>
      <w:r>
        <w:rPr>
          <w:rFonts w:ascii="Verdana" w:hAnsi="Verdana"/>
          <w:sz w:val="20"/>
        </w:rPr>
        <w:t xml:space="preserve"> și</w:t>
      </w:r>
      <w:r>
        <w:rPr>
          <w:rFonts w:ascii="Verdana" w:hAnsi="Verdana"/>
          <w:b/>
          <w:sz w:val="20"/>
        </w:rPr>
        <w:t xml:space="preserve"> Cumpărător</w:t>
      </w:r>
      <w:r>
        <w:rPr>
          <w:rFonts w:ascii="Verdana" w:hAnsi="Verdana"/>
          <w:sz w:val="20"/>
        </w:rPr>
        <w:t xml:space="preserve"> se vor face în scris și se vor trimite prin scrisoare recomandată cu confirmare de primire, serviciu de curierat rapid sau e-mail, la următoarele adrese oficiale ale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Cod fiscal și cod TVA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64FA5A03"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Notificările vor fi considerate valabile și obligatorii în momentul predării dacă sunt trimise prin scrisoare recomandată cu confirmare de primire, în momentul predării către curier dacă sunt trimise prin serviciul de curierat rapid, respectiv în momentul confirmării de primire dacă sunt trimise prin e-mail către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Notificările din partea Fleequid® vor fi transmise la adresele, inclusiv cele de e-mail obișnuite, indicate de Cumpărător la înregistrarea pe Marketplace Fleequid® sau actualizate ulterior, și vor fi considerate cunoscute și primite de destinatar în momentul expedierii de către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În conformitate cu articolele 1341 și 1342 din Codul civil italian, Cumpărătorul declară în mod expres că a citit, a înțeles și a acceptat următoarele clauze</w:t>
      </w:r>
      <w:r>
        <w:t xml:space="preserve"> </w:t>
      </w:r>
      <w:r>
        <w:rPr>
          <w:rFonts w:ascii="Verdana" w:hAnsi="Verdana"/>
          <w:sz w:val="20"/>
        </w:rPr>
        <w:t xml:space="preserve">ale Condițiilor specifice ale Serviciului de garanție Powertrain: Art. 2.4 (excluderi generale ale garanției pentru cazuri/circumstanțe suplimentare); Art. 3.2 (lista excluderilor obiective); Art. 3.3 (Principiul exhaustivității); Art. 4.2 (excluderi ale garanției pentru defecțiuni preexistente, înainte de începerea garanției sau în timpul perioadei de așteptare); Art. 4.3 (durată prestabilită, lipsa prelungirii tacite și încetarea </w:t>
      </w:r>
      <w:r>
        <w:rPr>
          <w:rFonts w:ascii="Verdana" w:hAnsi="Verdana"/>
          <w:sz w:val="20"/>
        </w:rPr>
        <w:lastRenderedPageBreak/>
        <w:t>automată la atingerea limitelor); Art. 4.4 (limite de vechime și kilometraj, întreținere documentată, dreptul unilateral al Fleequid® de a modifica acele categorii de vehicule eligibile); Art. 4.5 (decădere automată în caz de transfer al Vehiculului și subordonarea transferului Garanției aprobării scrise a Fleequid®); Art. 4.6 (perioadă de așteptare inițială și suspendarea garanției); Art. 5.1 (excluderi teritoriale în faza precontractuală); Art. 5.2 și 5.3 (Decăderi și inoperabilitate în țările care fac obiectul unor limitări comunicate); Art. 6.2, 6.3, 6.6 și 6.7 (Obligațiile Cumpărătorului); Art. 7.2 și 7.3 (Raportarea daunei și decădere); Art. 8.1, 8.2, 8.4 și 8.5 (Gestionarea daunei, Excluderi, Cheltuieli); Art. 9.1 și 9.2 (Limite de responsabilitate); Art. 9.3 (Plafon de despăgubire și valoare reziduală); Art. 9.4 (Reparații suplimentare și drept de retenție); Art. 9.5 (Exonerare); Art. 9.6 (Excluderea recunoașterii garanției); Art. 10 (Prestări, Reparații, Excluderi și Limitări Operaționale); 11 (Reclamații și litigii, mediere, arbitraj); Art. 12 (Forță majoră); Art. 13 (Modificări unilaterale); Art. 14.2 (Legislați aplicabilă, Excluderea jurisdicției de drept comun, cu excepția adoptării de măsuri de precauție, Instanță competentă)</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775078"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Versiunea nr.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5078"/>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5551</Words>
  <Characters>31647</Characters>
  <Application>Microsoft Office Word</Application>
  <DocSecurity>0</DocSecurity>
  <Lines>263</Lines>
  <Paragraphs>74</Paragraphs>
  <ScaleCrop>false</ScaleCrop>
  <Company/>
  <LinksUpToDate>false</LinksUpToDate>
  <CharactersWithSpaces>37124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22</cp:revision>
  <cp:lastPrinted>2024-11-11T17:48:00Z</cp:lastPrinted>
  <dcterms:created xsi:type="dcterms:W3CDTF">2025-10-03T13:49:00Z</dcterms:created>
  <dcterms:modified xsi:type="dcterms:W3CDTF">2026-01-13T16:14:00Z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