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Anil Varghese</w:t>
      </w:r>
    </w:p>
    <w:p>
      <w:pPr>
        <w:pBdr>
          <w:bottom w:val="single" w:color="444444" w:sz="4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anil.varghese@finance.com  |  +91 94456 78901  |  Kochi, Kerala  |  CFA Level II Candidate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Finance Analyst with 4 years of experience in financial modelling, FP&amp;A, and investment analysis across banking and corporate finance environments. CFA Level II candidate. Skilled in Excel-based modelling, Power BI reporting, and communicating financial insights to senior stakeholders.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Financial Modelling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DCF, LBO, Comparable Company Analysis, Scenario &amp; Sensitivity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Excel (Advanced — VBA, Power Query), Bloomberg Terminal, Capital IQ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 &amp; 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BI, SAP BPC, Tableau, PowerPoint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Accounting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IFRS, IndAS, P&amp;L, Balance Sheet, Cash Flow Statement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(basic — Pandas for data analysis), SQL</w:t>
            </w:r>
          </w:p>
        </w:tc>
      </w:tr>
    </w:tbl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Finance Analyst – FP&amp;A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Muthoot Finance, Kochi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maintained 3-statement financial model used for quarterly board presentations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annual budgeting process for 4 business units — Rs. 280 Cr combined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Power BI dashboard for real-time P&amp;L and variance tracking — adopted company-wide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Performed DCF and comparable analysis for 2 acquisition targets; reports presented to CFO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monthly close reporting time from 7 days to 4 days through Excel automation (VBA macros)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Finance Analyst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Federal Bank, Kochi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Aug 2019 – May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Analysed branch-level P&amp;L for 120 branches and prepared monthly performance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Assisted in preparation of RBI regulatory filings and Basel III capital adequacy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loan portfolio analysis model tracking Rs. 800 Cr NPA data across segments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MBA – Finance</w:t>
      </w:r>
      <w:r>
        <w:rPr>
          <w:rFonts w:ascii="Arial" w:cs="Arial" w:eastAsia="Arial" w:hAnsi="Arial"/>
          <w:sz w:val="20"/>
          <w:szCs w:val="20"/>
        </w:rPr>
        <w:t xml:space="preserve">  |  IIM Kozhikode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2017 – 2019  |  CGPA: 7.8 / 10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B.Com (Hons) Finance</w:t>
      </w:r>
      <w:r>
        <w:rPr>
          <w:rFonts w:ascii="Arial" w:cs="Arial" w:eastAsia="Arial" w:hAnsi="Arial"/>
          <w:sz w:val="20"/>
          <w:szCs w:val="20"/>
        </w:rPr>
        <w:t xml:space="preserve">  |  Christ University, Bangalore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2014 – 2017  |  First Class — 81%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 &amp; QUALIFICATIONS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CFA Level II Candidate – CFA Institute  (Appearing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CFA Level I – Cleared with above-90th-percentile score 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Financial Modelling &amp; Valuation Analyst (FMVA) – CFI 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Bloomberg Market Concepts (BMC) Certification  (2020)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2026-05-11T06:31:16.351Z</dcterms:created>
  <dcterms:modified xsi:type="dcterms:W3CDTF">2026-05-11T06:31:16.351Z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