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a42e8fa1a6d84db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8f5b5d579b704b9c"/>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FFFFFF"/>
          <w:sz w:val="88"/>
        </w:rPr>
        <w:t>RAG</w:t>
      </w:r>
    </w:p>
    <w:p>
      <w:pPr>
        <w:spacing w:after="400"/>
        <w:ind w:left="1200" w:right="1200"/>
        <w:jc w:val="left"/>
      </w:pPr>
      <w:r>
        <w:rPr>
          <w:color w:val="FFFFFF"/>
          <w:sz w:val="44"/>
        </w:rPr>
        <w:t>Retrieval-Augmented Generation</w:t>
      </w:r>
    </w:p>
    <w:p>
      <w:pPr>
        <w:spacing w:after="3000"/>
        <w:ind w:left="1200" w:right="1200"/>
        <w:jc w:val="left"/>
      </w:pPr>
      <w:r>
        <w:rPr>
          <w:color w:val="00d4aa"/>
          <w:spacing w:val="30"/>
          <w:sz w:val="24"/>
        </w:rPr>
        <w:t>Guia Completa: Conceptos, Arquitectura y Aplicaciones</w:t>
      </w:r>
    </w:p>
    <w:p>
      <w:pPr>
        <w:spacing w:after="120"/>
        <w:ind w:left="1200"/>
        <w:jc w:val="left"/>
      </w:pPr>
      <w:r>
        <w:rPr>
          <w:color w:val="a0aec0"/>
          <w:sz w:val="20"/>
        </w:rPr>
        <w:t>Investigacion Tecnica</w:t>
      </w:r>
    </w:p>
    <w:p>
      <w:pPr>
        <w:ind w:left="1200"/>
        <w:jc w:val="left"/>
      </w:pPr>
      <w:r>
        <w:rPr>
          <w:color w:val="a0aec0"/>
          <w:sz w:val="18"/>
        </w:rPr>
        <w:t>Febrero 2025</w:t>
      </w:r>
    </w:p>
    <w:p>
      <w:pPr>
        <w:sectPr>
          <w:type w:val="nextPage"/>
          <w:pgSz w:w="11906" w:h="16838"/>
          <w:pgMar w:top="0" w:right="0" w:bottom="0" w:left="0" w:header="0" w:footer="0"/>
        </w:sectPr>
      </w:pPr>
    </w:p>
    <w:p>
      <w:pPr>
        <w:pStyle w:val="Heading1"/>
      </w:pPr>
      <w:r>
        <w:t>Contenido</w:t>
      </w:r>
    </w:p>
    <w:p>
      <w:pPr>
        <w:spacing w:after="300"/>
      </w:pPr>
      <w:r>
        <w:rPr>
          <w:color w:val="718096"/>
          <w:sz w:val="18"/>
        </w:rPr>
        <w:t>Haga clic derecho en el indice y seleccione "Actualizar campo" para refrescar los numeros de pagina</w:t>
      </w:r>
    </w:p>
    <w:p>
      <w:r>
        <w:fldChar w:fldCharType="begin"/>
      </w:r>
      <w:r>
        <w:instrText xml:space="preserve"> TOC \o "1-3" \h \z \u </w:instrText>
      </w:r>
      <w:r>
        <w:fldChar w:fldCharType="separate"/>
      </w:r>
    </w:p>
    <w:p>
      <w:pPr>
        <w:pStyle w:val="TOC1"/>
      </w:pPr>
      <w:r>
        <w:t>1. Introduccion a RAG</w:t>
      </w:r>
      <w:r>
        <w:tab/>
      </w:r>
      <w:r>
        <w:t>3</w:t>
      </w:r>
    </w:p>
    <w:p>
      <w:pPr>
        <w:pStyle w:val="TOC1"/>
      </w:pPr>
      <w:r>
        <w:t>2. Arquitectura del Sistema RAG</w:t>
      </w:r>
      <w:r>
        <w:tab/>
      </w:r>
      <w:r>
        <w:t>4</w:t>
      </w:r>
    </w:p>
    <w:p>
      <w:pPr>
        <w:pStyle w:val="TOC2"/>
      </w:pPr>
      <w:r>
        <w:t>2.1 Componentes Principales</w:t>
      </w:r>
      <w:r>
        <w:tab/>
      </w:r>
      <w:r>
        <w:t>4</w:t>
      </w:r>
    </w:p>
    <w:p>
      <w:pPr>
        <w:pStyle w:val="TOC2"/>
      </w:pPr>
      <w:r>
        <w:t>2.2 Flujo de Trabajo</w:t>
      </w:r>
      <w:r>
        <w:tab/>
      </w:r>
      <w:r>
        <w:t>5</w:t>
      </w:r>
    </w:p>
    <w:p>
      <w:pPr>
        <w:pStyle w:val="TOC1"/>
      </w:pPr>
      <w:r>
        <w:t>3. Bases de Datos Vectoriales</w:t>
      </w:r>
      <w:r>
        <w:tab/>
      </w:r>
      <w:r>
        <w:t>6</w:t>
      </w:r>
    </w:p>
    <w:p>
      <w:pPr>
        <w:pStyle w:val="TOC1"/>
      </w:pPr>
      <w:r>
        <w:t>4. Modelos de Embeddings</w:t>
      </w:r>
      <w:r>
        <w:tab/>
      </w:r>
      <w:r>
        <w:t>7</w:t>
      </w:r>
    </w:p>
    <w:p>
      <w:pPr>
        <w:pStyle w:val="TOC1"/>
      </w:pPr>
      <w:r>
        <w:t>5. Aplicaciones y Casos de Uso</w:t>
      </w:r>
      <w:r>
        <w:tab/>
      </w:r>
      <w:r>
        <w:t>8</w:t>
      </w:r>
    </w:p>
    <w:p>
      <w:pPr>
        <w:pStyle w:val="TOC1"/>
      </w:pPr>
      <w:r>
        <w:t>6. RAG vs Fine-Tuning</w:t>
      </w:r>
      <w:r>
        <w:tab/>
      </w:r>
      <w:r>
        <w:t>9</w:t>
      </w:r>
    </w:p>
    <w:p>
      <w:pPr>
        <w:pStyle w:val="TOC1"/>
      </w:pPr>
      <w:r>
        <w:t>7. Desafios y Limitaciones</w:t>
      </w:r>
      <w:r>
        <w:tab/>
      </w:r>
      <w:r>
        <w:t>10</w:t>
      </w:r>
    </w:p>
    <w:p>
      <w:pPr>
        <w:pStyle w:val="TOC1"/>
      </w:pPr>
      <w:r>
        <w:t>8. Tendencias Futuras</w:t>
      </w:r>
      <w:r>
        <w:tab/>
      </w:r>
      <w:r>
        <w:t>11</w:t>
      </w:r>
    </w:p>
    <w:p>
      <w:pPr>
        <w:pStyle w:val="TOC1"/>
      </w:pPr>
      <w:r>
        <w:t>9. Conclusiones</w:t>
      </w:r>
      <w:r>
        <w:tab/>
      </w:r>
      <w:r>
        <w:t>12</w:t>
      </w:r>
    </w:p>
    <w:p>
      <w:r>
        <w:fldChar w:fldCharType="end"/>
      </w:r>
    </w:p>
    <w:p>
      <w:pPr>
        <w:sectPr>
          <w:type w:val="nextPage"/>
          <w:pgSz w:w="11906" w:h="16838"/>
          <w:pgMar w:top="1800" w:right="1440" w:bottom="1440" w:left="1440" w:header="720" w:footer="720"/>
        </w:sectPr>
      </w:pPr>
    </w:p>
    <w:p>
      <w:pPr>
        <w:pStyle w:val="Heading1"/>
      </w:pPr>
      <w:bookmarkStart w:name="_Toc001" w:id="001"/>
      <w:r>
        <w:t>1. Introduccion a RAG</w:t>
      </w:r>
      <w:bookmarkEnd w:id="001"/>
    </w:p>
    <w:p>
      <w:r>
        <w:t>Retrieval-Augmented Generation (RAG), o Generacion Aumentada por Recuperacion, es una tecnica avanzada de inteligencia artificial que combina las capacidades de los modelos de lenguaje extenso (LLM) con sistemas de recuperacion de informacion. Esta arquitectura hibrida permite a los modelos de IA acceder y utilizar datos externos en tiempo real para generar respuestas mas precisas, actualizadas y contextualmente relevantes.</w:t>
      </w:r>
    </w:p>
    <w:p>
      <w:r>
        <w:t>El framework RAG fue introducido en un paper de investigacion de 2020 por Lewis et al. y desde entonces se ha convertido en una piedra angular para vincular modelos generativos con recursos externos. Segun AWS, "un sistema RAG permite a los LLM recuperar informacion relevante de fuentes de datos externas para generar respuestas mas precisas y contextualmente relevantes".</w:t>
      </w:r>
    </w:p>
    <w:p>
      <w:pPr>
        <w:pStyle w:val="Heading2"/>
      </w:pPr>
      <w:r>
        <w:t>Definicion y Concepto Fundamental</w:t>
      </w:r>
    </w:p>
    <w:p>
      <w:r>
        <w:t>RAG es un framework de IA que posee las capacidades de los modelos generativos de lenguaje y las ventajas de los sistemas tradicionales de recuperacion de informacion. A diferencia de los modelos tradicionales que responden unicamente en base a lo aprendido durante el entrenamiento, RAG es capaz de acceder a una base de datos y extraer informacion de fuentes externas en tiempo real para dar una respuesta mucho mas ajustada, actualizada y confiable.</w:t>
      </w:r>
    </w:p>
    <w:p>
      <w:r>
        <w:t>Esta capacidad es ideal dentro de contextos en los que la informacion esta en constante cambio o es demasiado extensa como para utilizarla en el entrenamiento de una IA. Como senala Ars Technica: "cuando se dispone de nueva informacion, en lugar de tener que volver a entrenar el modelo, basta con aumentar la base de conocimiento externa del modelo con la informacion actualizada".</w:t>
      </w:r>
    </w:p>
    <w:p>
      <w:r>
        <w:br w:type="page"/>
      </w:r>
    </w:p>
    <w:p>
      <w:pPr>
        <w:pStyle w:val="Heading1"/>
      </w:pPr>
      <w:bookmarkStart w:name="_Toc002" w:id="002"/>
      <w:r>
        <w:t>2. Arquitectura del Sistema RAG</w:t>
      </w:r>
      <w:bookmarkEnd w:id="002"/>
    </w:p>
    <w:p>
      <w:r>
        <w:t>La arquitectura RAG esta compuesta por dos bloques fundamentales: la recuperacion (retrieval) y la generacion (generation). El sistema, tras recibir una consulta, recupera documentos e informacion de fuentes externas utilizando tecnicas como la busqueda semantica o la recuperacion basada en embeddings. Posteriormente, genera una respuesta que entremezcla tanto los conocimientos internos del modelo como la informacion recuperada.</w:t>
      </w:r>
    </w:p>
    <w:p>
      <w:pPr>
        <w:pStyle w:val="Heading2"/>
      </w:pPr>
      <w:r>
        <w:t>2.1 Componentes Principales</w:t>
      </w:r>
    </w:p>
    <w:p>
      <w:pPr>
        <w:pStyle w:val="Heading3"/>
      </w:pPr>
      <w:r>
        <w:t>Retriever (Recuperador)</w:t>
      </w:r>
    </w:p>
    <w:p>
      <w:r>
        <w:t>El recuperador es el componente encargado de buscar informacion relevante en una base de datos o corpus de documentos. Normalmente se basa en embeddings (representaciones vectoriales) y algoritmos como DPR (Dense Passage Retrieval). Utiliza tecnicas de busqueda para encontrar documentos relevantes, convirtiendo la consulta en un embedding y buscando en la base de conocimiento los documentos mas cercanos semanticamente.</w:t>
      </w:r>
    </w:p>
    <w:p>
      <w:pPr>
        <w:pStyle w:val="Heading3"/>
      </w:pPr>
      <w:r>
        <w:t>Generator (Generador)</w:t>
      </w:r>
    </w:p>
    <w:p>
      <w:r>
        <w:t>El generador es un modelo de lenguaje (como GPT, BERT o modelos especializados) que produce texto basado en los documentos recuperados y la consulta del usuario. Segun IBM, "en la fase generativa, el LLM se basa en el prompt aumentado y su representacion interna de los datos de entrenamiento para sintetizar una respuesta atractiva adaptada al usuario en ese instante".</w:t>
      </w:r>
    </w:p>
    <w:p>
      <w:pPr>
        <w:pStyle w:val="Heading3"/>
      </w:pPr>
      <w:r>
        <w:t>Base de Conocimiento</w:t>
      </w:r>
    </w:p>
    <w:p>
      <w:r>
        <w:t>La base de conocimiento es un corpus de documentos o datos que el recuperador utiliza para buscar informacion. Puede incluir documentos internos de la empresa, bases de datos especializadas, manuales tecnicos, articulos cientificos, o cualquier fuente de informacion relevante para el dominio de aplicacion.</w:t>
      </w:r>
    </w:p>
    <w:p>
      <w:pPr>
        <w:pStyle w:val="Heading2"/>
      </w:pPr>
      <w:r>
        <w:t>2.2 Flujo de Trabajo</w:t>
      </w:r>
    </w:p>
    <w:p>
      <w:r>
        <w:t>El proceso RAG opera en dos fases principales:</w:t>
      </w:r>
    </w:p>
    <w:p>
      <w:pPr>
        <w:numPr>
          <w:ilvl w:val="0"/>
          <w:numId w:val="1"/>
        </w:numPr>
      </w:pPr>
      <w:r>
        <w:rPr>
          <w:b/>
        </w:rPr>
        <w:t>Fase de Indexacion (Offline)</w:t>
      </w:r>
      <w:r>
        <w:t>: Los documentos se procesan, se dividen en chunks (fragmentos), se generan embeddings mediante modelos de embedding y se almacenan en una base de datos vectorial.</w:t>
      </w:r>
    </w:p>
    <w:p>
      <w:pPr>
        <w:numPr>
          <w:ilvl w:val="0"/>
          <w:numId w:val="1"/>
        </w:numPr>
      </w:pPr>
      <w:r>
        <w:rPr>
          <w:b/>
        </w:rPr>
        <w:t>Fase de Consulta (Online)</w:t>
      </w:r>
      <w:r>
        <w:t>: El usuario ingresa una pregunta, el sistema convierte la consulta en un embedding, busca los documentos mas relevantes en la base vectorial, y el LLM genera una respuesta basada en la consulta y los documentos recuperados.</w:t>
      </w:r>
    </w:p>
    <w:p>
      <w:r>
        <w:br w:type="page"/>
      </w:r>
    </w:p>
    <w:p>
      <w:pPr>
        <w:pStyle w:val="Heading1"/>
      </w:pPr>
      <w:bookmarkStart w:name="_Toc003" w:id="003"/>
      <w:r>
        <w:t>3. Bases de Datos Vectoriales</w:t>
      </w:r>
      <w:bookmarkEnd w:id="003"/>
    </w:p>
    <w:p>
      <w:r>
        <w:t>Las bases de datos vectoriales son sistemas especializados disenados para almacenar, gestionar e indexar grandes cantidades de datos vectoriales de alta dimensionalidad de manera eficiente. Facilitan la busqueda de similitud semantica y el manejo eficiente de datos de alta dimension, siendo fundamentales para las aplicaciones de RAG.</w:t>
      </w:r>
    </w:p>
    <w:p>
      <w:pPr>
        <w:pStyle w:val="Heading2"/>
      </w:pPr>
      <w:r>
        <w:t>Principales Bases de Datos Vectoriales</w:t>
      </w:r>
    </w:p>
    <w:tbl>
      <w:tblPr>
        <w:tblW w:w="5000" w:type="pct"/>
        <w:tblBorders>
          <w:top w:val="single" w:color="1a365d" w:sz="12"/>
          <w:left w:val="nil"/>
          <w:bottom w:val="single" w:color="1a365d" w:sz="12"/>
          <w:right w:val="nil"/>
          <w:insideH w:val="nil"/>
          <w:insideV w:val="nil"/>
        </w:tblBorders>
        <w:tblCellMar>
          <w:top w:w="100" w:type="dxa"/>
          <w:left w:w="150" w:type="dxa"/>
          <w:bottom w:w="100" w:type="dxa"/>
          <w:right w:w="150" w:type="dxa"/>
        </w:tblCellMar>
      </w:tblPr>
      <w:tblGrid>
        <w:gridCol w:w="2000"/>
        <w:gridCol w:w="2500"/>
        <w:gridCol w:w="2500"/>
        <w:gridCol w:w="3000"/>
      </w:tblGrid>
      <w:tr>
        <w:trPr>
          <w:tblHeader/>
          <w:trHeight w:val="400" w:hRule="atLeast"/>
        </w:trPr>
        <w:tc>
          <w:tcPr>
            <w:tcW w:w="2000" w:type="dxa"/>
            <w:tcBorders>
              <w:bottom w:val="single" w:color="1a365d" w:sz="6"/>
            </w:tcBorders>
            <w:shd w:val="clear" w:fill="e2e8f0"/>
            <w:vAlign w:val="center"/>
          </w:tcPr>
          <w:p>
            <w:pPr>
              <w:spacing w:before="0" w:after="0"/>
              <w:jc w:val="center"/>
            </w:pPr>
            <w:r>
              <w:rPr>
                <w:b/>
                <w:color w:val="1a202c"/>
                <w:sz w:val="20"/>
              </w:rPr>
              <w:t>Base de Datos</w:t>
            </w:r>
          </w:p>
        </w:tc>
        <w:tc>
          <w:tcPr>
            <w:tcW w:w="2500" w:type="dxa"/>
            <w:tcBorders>
              <w:bottom w:val="single" w:color="1a365d" w:sz="6"/>
            </w:tcBorders>
            <w:shd w:val="clear" w:fill="e2e8f0"/>
            <w:vAlign w:val="center"/>
          </w:tcPr>
          <w:p>
            <w:pPr>
              <w:spacing w:before="0" w:after="0"/>
              <w:jc w:val="center"/>
            </w:pPr>
            <w:r>
              <w:rPr>
                <w:b/>
                <w:color w:val="1a202c"/>
                <w:sz w:val="20"/>
              </w:rPr>
              <w:t>Tipo</w:t>
            </w:r>
          </w:p>
        </w:tc>
        <w:tc>
          <w:tcPr>
            <w:tcW w:w="2500" w:type="dxa"/>
            <w:tcBorders>
              <w:bottom w:val="single" w:color="1a365d" w:sz="6"/>
            </w:tcBorders>
            <w:shd w:val="clear" w:fill="e2e8f0"/>
            <w:vAlign w:val="center"/>
          </w:tcPr>
          <w:p>
            <w:pPr>
              <w:spacing w:before="0" w:after="0"/>
              <w:jc w:val="center"/>
            </w:pPr>
            <w:r>
              <w:rPr>
                <w:b/>
                <w:color w:val="1a202c"/>
                <w:sz w:val="20"/>
              </w:rPr>
              <w:t>Fortalezas</w:t>
            </w:r>
          </w:p>
        </w:tc>
        <w:tc>
          <w:tcPr>
            <w:tcW w:w="3000" w:type="dxa"/>
            <w:tcBorders>
              <w:bottom w:val="single" w:color="1a365d" w:sz="6"/>
            </w:tcBorders>
            <w:shd w:val="clear" w:fill="e2e8f0"/>
            <w:vAlign w:val="center"/>
          </w:tcPr>
          <w:p>
            <w:pPr>
              <w:spacing w:before="0" w:after="0"/>
              <w:jc w:val="center"/>
            </w:pPr>
            <w:r>
              <w:rPr>
                <w:b/>
                <w:color w:val="1a202c"/>
                <w:sz w:val="20"/>
              </w:rPr>
              <w:t>Mejor Para</w:t>
            </w:r>
          </w:p>
        </w:tc>
      </w:tr>
      <w:tr>
        <w:trPr>
          <w:trHeight w:val="360" w:hRule="atLeast"/>
        </w:trPr>
        <w:tc>
          <w:tcPr>
            <w:tcW w:w="2000" w:type="dxa"/>
            <w:vAlign w:val="center"/>
          </w:tcPr>
          <w:p>
            <w:pPr>
              <w:spacing w:before="0" w:after="0"/>
              <w:jc w:val="left"/>
            </w:pPr>
            <w:r>
              <w:rPr>
                <w:color w:val="1a202c"/>
                <w:sz w:val="20"/>
              </w:rPr>
              <w:t>Pinecone</w:t>
            </w:r>
          </w:p>
        </w:tc>
        <w:tc>
          <w:tcPr>
            <w:tcW w:w="2500" w:type="dxa"/>
            <w:vAlign w:val="center"/>
          </w:tcPr>
          <w:p>
            <w:pPr>
              <w:spacing w:before="0" w:after="0"/>
              <w:jc w:val="left"/>
            </w:pPr>
            <w:r>
              <w:rPr>
                <w:color w:val="1a202c"/>
                <w:sz w:val="20"/>
              </w:rPr>
              <w:t>Cloud gestionado</w:t>
            </w:r>
          </w:p>
        </w:tc>
        <w:tc>
          <w:tcPr>
            <w:tcW w:w="2500" w:type="dxa"/>
            <w:vAlign w:val="center"/>
          </w:tcPr>
          <w:p>
            <w:pPr>
              <w:spacing w:before="0" w:after="0"/>
              <w:jc w:val="left"/>
            </w:pPr>
            <w:r>
              <w:rPr>
                <w:color w:val="1a202c"/>
                <w:sz w:val="20"/>
              </w:rPr>
              <w:t>Facil uso, auto-escalado, &lt;50ms latencia</w:t>
            </w:r>
          </w:p>
        </w:tc>
        <w:tc>
          <w:tcPr>
            <w:tcW w:w="3000" w:type="dxa"/>
            <w:vAlign w:val="center"/>
          </w:tcPr>
          <w:p>
            <w:pPr>
              <w:spacing w:before="0" w:after="0"/>
              <w:jc w:val="left"/>
            </w:pPr>
            <w:r>
              <w:rPr>
                <w:color w:val="1a202c"/>
                <w:sz w:val="20"/>
              </w:rPr>
              <w:t>Startups, prototipado rapido</w:t>
            </w:r>
          </w:p>
        </w:tc>
      </w:tr>
      <w:tr>
        <w:trPr>
          <w:trHeight w:val="360" w:hRule="atLeast"/>
        </w:trPr>
        <w:tc>
          <w:tcPr>
            <w:tcW w:w="2000" w:type="dxa"/>
            <w:vAlign w:val="center"/>
          </w:tcPr>
          <w:p>
            <w:pPr>
              <w:spacing w:before="0" w:after="0"/>
              <w:jc w:val="left"/>
            </w:pPr>
            <w:r>
              <w:rPr>
                <w:color w:val="1a202c"/>
                <w:sz w:val="20"/>
              </w:rPr>
              <w:t>Weaviate</w:t>
            </w:r>
          </w:p>
        </w:tc>
        <w:tc>
          <w:tcPr>
            <w:tcW w:w="2500" w:type="dxa"/>
            <w:vAlign w:val="center"/>
          </w:tcPr>
          <w:p>
            <w:pPr>
              <w:spacing w:before="0" w:after="0"/>
              <w:jc w:val="left"/>
            </w:pPr>
            <w:r>
              <w:rPr>
                <w:color w:val="1a202c"/>
                <w:sz w:val="20"/>
              </w:rPr>
              <w:t>Open-source + Cloud</w:t>
            </w:r>
          </w:p>
        </w:tc>
        <w:tc>
          <w:tcPr>
            <w:tcW w:w="2500" w:type="dxa"/>
            <w:vAlign w:val="center"/>
          </w:tcPr>
          <w:p>
            <w:pPr>
              <w:spacing w:before="0" w:after="0"/>
              <w:jc w:val="left"/>
            </w:pPr>
            <w:r>
              <w:rPr>
                <w:color w:val="1a202c"/>
                <w:sz w:val="20"/>
              </w:rPr>
              <w:t>GraphQL API, busqueda hibrida</w:t>
            </w:r>
          </w:p>
        </w:tc>
        <w:tc>
          <w:tcPr>
            <w:tcW w:w="3000" w:type="dxa"/>
            <w:vAlign w:val="center"/>
          </w:tcPr>
          <w:p>
            <w:pPr>
              <w:spacing w:before="0" w:after="0"/>
              <w:jc w:val="left"/>
            </w:pPr>
            <w:r>
              <w:rPr>
                <w:color w:val="1a202c"/>
                <w:sz w:val="20"/>
              </w:rPr>
              <w:t>Filtrado complejo, multi-tenant</w:t>
            </w:r>
          </w:p>
        </w:tc>
      </w:tr>
      <w:tr>
        <w:trPr>
          <w:trHeight w:val="360" w:hRule="atLeast"/>
        </w:trPr>
        <w:tc>
          <w:tcPr>
            <w:tcW w:w="2000" w:type="dxa"/>
            <w:vAlign w:val="center"/>
          </w:tcPr>
          <w:p>
            <w:pPr>
              <w:spacing w:before="0" w:after="0"/>
              <w:jc w:val="left"/>
            </w:pPr>
            <w:r>
              <w:rPr>
                <w:color w:val="1a202c"/>
                <w:sz w:val="20"/>
              </w:rPr>
              <w:t>Qdrant</w:t>
            </w:r>
          </w:p>
        </w:tc>
        <w:tc>
          <w:tcPr>
            <w:tcW w:w="2500" w:type="dxa"/>
            <w:vAlign w:val="center"/>
          </w:tcPr>
          <w:p>
            <w:pPr>
              <w:spacing w:before="0" w:after="0"/>
              <w:jc w:val="left"/>
            </w:pPr>
            <w:r>
              <w:rPr>
                <w:color w:val="1a202c"/>
                <w:sz w:val="20"/>
              </w:rPr>
              <w:t>Open-source (Rust)</w:t>
            </w:r>
          </w:p>
        </w:tc>
        <w:tc>
          <w:tcPr>
            <w:tcW w:w="2500" w:type="dxa"/>
            <w:vAlign w:val="center"/>
          </w:tcPr>
          <w:p>
            <w:pPr>
              <w:spacing w:before="0" w:after="0"/>
              <w:jc w:val="left"/>
            </w:pPr>
            <w:r>
              <w:rPr>
                <w:color w:val="1a202c"/>
                <w:sz w:val="20"/>
              </w:rPr>
              <w:t>Rendimiento extremo, filtrado avanzado</w:t>
            </w:r>
          </w:p>
        </w:tc>
        <w:tc>
          <w:tcPr>
            <w:tcW w:w="3000" w:type="dxa"/>
            <w:vAlign w:val="center"/>
          </w:tcPr>
          <w:p>
            <w:pPr>
              <w:spacing w:before="0" w:after="0"/>
              <w:jc w:val="left"/>
            </w:pPr>
            <w:r>
              <w:rPr>
                <w:color w:val="1a202c"/>
                <w:sz w:val="20"/>
              </w:rPr>
              <w:t>Aplicaciones en tiempo real</w:t>
            </w:r>
          </w:p>
        </w:tc>
      </w:tr>
      <w:tr>
        <w:trPr>
          <w:trHeight w:val="360" w:hRule="atLeast"/>
        </w:trPr>
        <w:tc>
          <w:tcPr>
            <w:tcW w:w="2000" w:type="dxa"/>
            <w:vAlign w:val="center"/>
          </w:tcPr>
          <w:p>
            <w:pPr>
              <w:spacing w:before="0" w:after="0"/>
              <w:jc w:val="left"/>
            </w:pPr>
            <w:r>
              <w:rPr>
                <w:color w:val="1a202c"/>
                <w:sz w:val="20"/>
              </w:rPr>
              <w:t>Milvus</w:t>
            </w:r>
          </w:p>
        </w:tc>
        <w:tc>
          <w:tcPr>
            <w:tcW w:w="2500" w:type="dxa"/>
            <w:vAlign w:val="center"/>
          </w:tcPr>
          <w:p>
            <w:pPr>
              <w:spacing w:before="0" w:after="0"/>
              <w:jc w:val="left"/>
            </w:pPr>
            <w:r>
              <w:rPr>
                <w:color w:val="1a202c"/>
                <w:sz w:val="20"/>
              </w:rPr>
              <w:t>Open-source</w:t>
            </w:r>
          </w:p>
        </w:tc>
        <w:tc>
          <w:tcPr>
            <w:tcW w:w="2500" w:type="dxa"/>
            <w:vAlign w:val="center"/>
          </w:tcPr>
          <w:p>
            <w:pPr>
              <w:spacing w:before="0" w:after="0"/>
              <w:jc w:val="left"/>
            </w:pPr>
            <w:r>
              <w:rPr>
                <w:color w:val="1a202c"/>
                <w:sz w:val="20"/>
              </w:rPr>
              <w:t>Escala masiva (billones), cloud-native</w:t>
            </w:r>
          </w:p>
        </w:tc>
        <w:tc>
          <w:tcPr>
            <w:tcW w:w="3000" w:type="dxa"/>
            <w:vAlign w:val="center"/>
          </w:tcPr>
          <w:p>
            <w:pPr>
              <w:spacing w:before="0" w:after="0"/>
              <w:jc w:val="left"/>
            </w:pPr>
            <w:r>
              <w:rPr>
                <w:color w:val="1a202c"/>
                <w:sz w:val="20"/>
              </w:rPr>
              <w:t>Empresas, escala enterprise</w:t>
            </w:r>
          </w:p>
        </w:tc>
      </w:tr>
      <w:tr>
        <w:trPr>
          <w:trHeight w:val="360" w:hRule="atLeast"/>
        </w:trPr>
        <w:tc>
          <w:tcPr>
            <w:tcW w:w="2000" w:type="dxa"/>
            <w:vAlign w:val="center"/>
          </w:tcPr>
          <w:p>
            <w:pPr>
              <w:spacing w:before="0" w:after="0"/>
              <w:jc w:val="left"/>
            </w:pPr>
            <w:r>
              <w:rPr>
                <w:color w:val="1a202c"/>
                <w:sz w:val="20"/>
              </w:rPr>
              <w:t>FAISS</w:t>
            </w:r>
          </w:p>
        </w:tc>
        <w:tc>
          <w:tcPr>
            <w:tcW w:w="2500" w:type="dxa"/>
            <w:vAlign w:val="center"/>
          </w:tcPr>
          <w:p>
            <w:pPr>
              <w:spacing w:before="0" w:after="0"/>
              <w:jc w:val="left"/>
            </w:pPr>
            <w:r>
              <w:rPr>
                <w:color w:val="1a202c"/>
                <w:sz w:val="20"/>
              </w:rPr>
              <w:t>Libreria (Meta)</w:t>
            </w:r>
          </w:p>
        </w:tc>
        <w:tc>
          <w:tcPr>
            <w:tcW w:w="2500" w:type="dxa"/>
            <w:vAlign w:val="center"/>
          </w:tcPr>
          <w:p>
            <w:pPr>
              <w:spacing w:before="0" w:after="0"/>
              <w:jc w:val="left"/>
            </w:pPr>
            <w:r>
              <w:rPr>
                <w:color w:val="1a202c"/>
                <w:sz w:val="20"/>
              </w:rPr>
              <w:t>Maximo rendimiento, GPU support</w:t>
            </w:r>
          </w:p>
        </w:tc>
        <w:tc>
          <w:tcPr>
            <w:tcW w:w="3000" w:type="dxa"/>
            <w:vAlign w:val="center"/>
          </w:tcPr>
          <w:p>
            <w:pPr>
              <w:spacing w:before="0" w:after="0"/>
              <w:jc w:val="left"/>
            </w:pPr>
            <w:r>
              <w:rPr>
                <w:color w:val="1a202c"/>
                <w:sz w:val="20"/>
              </w:rPr>
              <w:t>Research, datasets &lt;10M vectores</w:t>
            </w:r>
          </w:p>
        </w:tc>
      </w:tr>
      <w:tr>
        <w:trPr>
          <w:trHeight w:val="360" w:hRule="atLeast"/>
        </w:trPr>
        <w:tc>
          <w:tcPr>
            <w:tcW w:w="2000" w:type="dxa"/>
            <w:vAlign w:val="center"/>
          </w:tcPr>
          <w:p>
            <w:pPr>
              <w:spacing w:before="0" w:after="0"/>
              <w:jc w:val="left"/>
            </w:pPr>
            <w:r>
              <w:rPr>
                <w:color w:val="1a202c"/>
                <w:sz w:val="20"/>
              </w:rPr>
              <w:t>Chroma</w:t>
            </w:r>
          </w:p>
        </w:tc>
        <w:tc>
          <w:tcPr>
            <w:tcW w:w="2500" w:type="dxa"/>
            <w:vAlign w:val="center"/>
          </w:tcPr>
          <w:p>
            <w:pPr>
              <w:spacing w:before="0" w:after="0"/>
              <w:jc w:val="left"/>
            </w:pPr>
            <w:r>
              <w:rPr>
                <w:color w:val="1a202c"/>
                <w:sz w:val="20"/>
              </w:rPr>
              <w:t>Open-source</w:t>
            </w:r>
          </w:p>
        </w:tc>
        <w:tc>
          <w:tcPr>
            <w:tcW w:w="2500" w:type="dxa"/>
            <w:vAlign w:val="center"/>
          </w:tcPr>
          <w:p>
            <w:pPr>
              <w:spacing w:before="0" w:after="0"/>
              <w:jc w:val="left"/>
            </w:pPr>
            <w:r>
              <w:rPr>
                <w:color w:val="1a202c"/>
                <w:sz w:val="20"/>
              </w:rPr>
              <w:t>API simple, integracion con LangChain</w:t>
            </w:r>
          </w:p>
        </w:tc>
        <w:tc>
          <w:tcPr>
            <w:tcW w:w="3000" w:type="dxa"/>
            <w:vAlign w:val="center"/>
          </w:tcPr>
          <w:p>
            <w:pPr>
              <w:spacing w:before="0" w:after="0"/>
              <w:jc w:val="left"/>
            </w:pPr>
            <w:r>
              <w:rPr>
                <w:color w:val="1a202c"/>
                <w:sz w:val="20"/>
              </w:rPr>
              <w:t>Prototipado RAG rapido</w:t>
            </w:r>
          </w:p>
        </w:tc>
      </w:tr>
    </w:tbl>
    <w:p>
      <w:pPr>
        <w:pStyle w:val="Caption"/>
      </w:pPr>
      <w:r>
        <w:t>Tabla 1: Comparativa de Bases de Datos Vectoriales</w:t>
      </w:r>
    </w:p>
    <w:p>
      <w:pPr>
        <w:pStyle w:val="Heading2"/>
      </w:pPr>
      <w:r>
        <w:t>Criterios de Seleccion</w:t>
      </w:r>
    </w:p>
    <w:p>
      <w:r>
        <w:t>La eleccion de la base de datos vectorial depende de varios factores: escala de datos (millones vs billones de vectores), requisitos de latencia (aplicaciones en tiempo real vs batch), presupuesto (servicio gestionado vs self-hosted), necesidades de filtrado (busqueda hibrida vectorial + metadata), y experiencia del equipo (DevOps vs sin equipo de infraestructura).</w:t>
      </w:r>
    </w:p>
    <w:p>
      <w:r>
        <w:br w:type="page"/>
      </w:r>
    </w:p>
    <w:p>
      <w:pPr>
        <w:pStyle w:val="Heading1"/>
      </w:pPr>
      <w:bookmarkStart w:name="_Toc004" w:id="004"/>
      <w:r>
        <w:t>4. Modelos de Embeddings</w:t>
      </w:r>
      <w:bookmarkEnd w:id="004"/>
    </w:p>
    <w:p>
      <w:r>
        <w:t>Los embeddings son representaciones numericas de texto, imagenes u otros tipos de datos que capturan el significado semantico en un espacio vectorial. Seleccionar el modelo de embedding adecuado es crucial para lograr un rendimiento optimo en tareas de busqueda semantica, sistemas de recomendacion, clustering y clasificacion.</w:t>
      </w:r>
    </w:p>
    <w:p>
      <w:pPr>
        <w:pStyle w:val="Heading2"/>
      </w:pPr>
      <w:r>
        <w:t>Principales Modelos de Embedding</w:t>
      </w:r>
    </w:p>
    <w:tbl>
      <w:tblPr>
        <w:tblW w:w="5000" w:type="pct"/>
        <w:tblBorders>
          <w:top w:val="single" w:color="1a365d" w:sz="12"/>
          <w:left w:val="nil"/>
          <w:bottom w:val="single" w:color="1a365d" w:sz="12"/>
          <w:right w:val="nil"/>
          <w:insideH w:val="nil"/>
          <w:insideV w:val="nil"/>
        </w:tblBorders>
        <w:tblCellMar>
          <w:top w:w="100" w:type="dxa"/>
          <w:left w:w="150" w:type="dxa"/>
          <w:bottom w:w="100" w:type="dxa"/>
          <w:right w:w="150" w:type="dxa"/>
        </w:tblCellMar>
      </w:tblPr>
      <w:tblGrid>
        <w:gridCol w:w="2200"/>
        <w:gridCol w:w="1800"/>
        <w:gridCol w:w="2000"/>
        <w:gridCol w:w="4000"/>
      </w:tblGrid>
      <w:tr>
        <w:trPr>
          <w:tblHeader/>
          <w:trHeight w:val="400" w:hRule="atLeast"/>
        </w:trPr>
        <w:tc>
          <w:tcPr>
            <w:tcW w:w="2200" w:type="dxa"/>
            <w:tcBorders>
              <w:bottom w:val="single" w:color="1a365d" w:sz="6"/>
            </w:tcBorders>
            <w:shd w:val="clear" w:fill="e2e8f0"/>
            <w:vAlign w:val="center"/>
          </w:tcPr>
          <w:p>
            <w:pPr>
              <w:spacing w:before="0" w:after="0"/>
              <w:jc w:val="center"/>
            </w:pPr>
            <w:r>
              <w:rPr>
                <w:b/>
                <w:color w:val="1a202c"/>
                <w:sz w:val="20"/>
              </w:rPr>
              <w:t>Modelo</w:t>
            </w:r>
          </w:p>
        </w:tc>
        <w:tc>
          <w:tcPr>
            <w:tcW w:w="1800" w:type="dxa"/>
            <w:tcBorders>
              <w:bottom w:val="single" w:color="1a365d" w:sz="6"/>
            </w:tcBorders>
            <w:shd w:val="clear" w:fill="e2e8f0"/>
            <w:vAlign w:val="center"/>
          </w:tcPr>
          <w:p>
            <w:pPr>
              <w:spacing w:before="0" w:after="0"/>
              <w:jc w:val="center"/>
            </w:pPr>
            <w:r>
              <w:rPr>
                <w:b/>
                <w:color w:val="1a202c"/>
                <w:sz w:val="20"/>
              </w:rPr>
              <w:t>Contextual</w:t>
            </w:r>
          </w:p>
        </w:tc>
        <w:tc>
          <w:tcPr>
            <w:tcW w:w="2000" w:type="dxa"/>
            <w:tcBorders>
              <w:bottom w:val="single" w:color="1a365d" w:sz="6"/>
            </w:tcBorders>
            <w:shd w:val="clear" w:fill="e2e8f0"/>
            <w:vAlign w:val="center"/>
          </w:tcPr>
          <w:p>
            <w:pPr>
              <w:spacing w:before="0" w:after="0"/>
              <w:jc w:val="center"/>
            </w:pPr>
            <w:r>
              <w:rPr>
                <w:b/>
                <w:color w:val="1a202c"/>
                <w:sz w:val="20"/>
              </w:rPr>
              <w:t>Despliegue</w:t>
            </w:r>
          </w:p>
        </w:tc>
        <w:tc>
          <w:tcPr>
            <w:tcW w:w="4000" w:type="dxa"/>
            <w:tcBorders>
              <w:bottom w:val="single" w:color="1a365d" w:sz="6"/>
            </w:tcBorders>
            <w:shd w:val="clear" w:fill="e2e8f0"/>
            <w:vAlign w:val="center"/>
          </w:tcPr>
          <w:p>
            <w:pPr>
              <w:spacing w:before="0" w:after="0"/>
              <w:jc w:val="center"/>
            </w:pPr>
            <w:r>
              <w:rPr>
                <w:b/>
                <w:color w:val="1a202c"/>
                <w:sz w:val="20"/>
              </w:rPr>
              <w:t>Casos de Uso Ideales</w:t>
            </w:r>
          </w:p>
        </w:tc>
      </w:tr>
      <w:tr>
        <w:trPr>
          <w:trHeight w:val="360" w:hRule="atLeast"/>
        </w:trPr>
        <w:tc>
          <w:tcPr>
            <w:tcW w:w="2200" w:type="dxa"/>
            <w:vAlign w:val="center"/>
          </w:tcPr>
          <w:p>
            <w:pPr>
              <w:spacing w:before="0" w:after="0"/>
              <w:jc w:val="left"/>
            </w:pPr>
            <w:r>
              <w:rPr>
                <w:color w:val="1a202c"/>
                <w:sz w:val="20"/>
              </w:rPr>
              <w:t>OpenAI Embeddings</w:t>
            </w:r>
          </w:p>
        </w:tc>
        <w:tc>
          <w:tcPr>
            <w:tcW w:w="1800" w:type="dxa"/>
            <w:vAlign w:val="center"/>
          </w:tcPr>
          <w:p>
            <w:pPr>
              <w:spacing w:before="0" w:after="0"/>
              <w:jc w:val="left"/>
            </w:pPr>
            <w:r>
              <w:rPr>
                <w:color w:val="1a202c"/>
                <w:sz w:val="20"/>
              </w:rPr>
              <w:t>Si</w:t>
            </w:r>
          </w:p>
        </w:tc>
        <w:tc>
          <w:tcPr>
            <w:tcW w:w="2000" w:type="dxa"/>
            <w:vAlign w:val="center"/>
          </w:tcPr>
          <w:p>
            <w:pPr>
              <w:spacing w:before="0" w:after="0"/>
              <w:jc w:val="left"/>
            </w:pPr>
            <w:r>
              <w:rPr>
                <w:color w:val="1a202c"/>
                <w:sz w:val="20"/>
              </w:rPr>
              <w:t>API</w:t>
            </w:r>
          </w:p>
        </w:tc>
        <w:tc>
          <w:tcPr>
            <w:tcW w:w="4000" w:type="dxa"/>
            <w:vAlign w:val="center"/>
          </w:tcPr>
          <w:p>
            <w:pPr>
              <w:spacing w:before="0" w:after="0"/>
              <w:jc w:val="left"/>
            </w:pPr>
            <w:r>
              <w:rPr>
                <w:color w:val="1a202c"/>
                <w:sz w:val="20"/>
              </w:rPr>
              <w:t>Busqueda semantica, clustering</w:t>
            </w:r>
          </w:p>
        </w:tc>
      </w:tr>
      <w:tr>
        <w:trPr>
          <w:trHeight w:val="360" w:hRule="atLeast"/>
        </w:trPr>
        <w:tc>
          <w:tcPr>
            <w:tcW w:w="2200" w:type="dxa"/>
            <w:vAlign w:val="center"/>
          </w:tcPr>
          <w:p>
            <w:pPr>
              <w:spacing w:before="0" w:after="0"/>
              <w:jc w:val="left"/>
            </w:pPr>
            <w:r>
              <w:rPr>
                <w:color w:val="1a202c"/>
                <w:sz w:val="20"/>
              </w:rPr>
              <w:t>SentenceTransformers</w:t>
            </w:r>
          </w:p>
        </w:tc>
        <w:tc>
          <w:tcPr>
            <w:tcW w:w="1800" w:type="dxa"/>
            <w:vAlign w:val="center"/>
          </w:tcPr>
          <w:p>
            <w:pPr>
              <w:spacing w:before="0" w:after="0"/>
              <w:jc w:val="left"/>
            </w:pPr>
            <w:r>
              <w:rPr>
                <w:color w:val="1a202c"/>
                <w:sz w:val="20"/>
              </w:rPr>
              <w:t>Si</w:t>
            </w:r>
          </w:p>
        </w:tc>
        <w:tc>
          <w:tcPr>
            <w:tcW w:w="2000" w:type="dxa"/>
            <w:vAlign w:val="center"/>
          </w:tcPr>
          <w:p>
            <w:pPr>
              <w:spacing w:before="0" w:after="0"/>
              <w:jc w:val="left"/>
            </w:pPr>
            <w:r>
              <w:rPr>
                <w:color w:val="1a202c"/>
                <w:sz w:val="20"/>
              </w:rPr>
              <w:t>Local/API</w:t>
            </w:r>
          </w:p>
        </w:tc>
        <w:tc>
          <w:tcPr>
            <w:tcW w:w="4000" w:type="dxa"/>
            <w:vAlign w:val="center"/>
          </w:tcPr>
          <w:p>
            <w:pPr>
              <w:spacing w:before="0" w:after="0"/>
              <w:jc w:val="left"/>
            </w:pPr>
            <w:r>
              <w:rPr>
                <w:color w:val="1a202c"/>
                <w:sz w:val="20"/>
              </w:rPr>
              <w:t>Similitud de oraciones, offline</w:t>
            </w:r>
          </w:p>
        </w:tc>
      </w:tr>
      <w:tr>
        <w:trPr>
          <w:trHeight w:val="360" w:hRule="atLeast"/>
        </w:trPr>
        <w:tc>
          <w:tcPr>
            <w:tcW w:w="2200" w:type="dxa"/>
            <w:vAlign w:val="center"/>
          </w:tcPr>
          <w:p>
            <w:pPr>
              <w:spacing w:before="0" w:after="0"/>
              <w:jc w:val="left"/>
            </w:pPr>
            <w:r>
              <w:rPr>
                <w:color w:val="1a202c"/>
                <w:sz w:val="20"/>
              </w:rPr>
              <w:t>Cohere Embeddings</w:t>
            </w:r>
          </w:p>
        </w:tc>
        <w:tc>
          <w:tcPr>
            <w:tcW w:w="1800" w:type="dxa"/>
            <w:vAlign w:val="center"/>
          </w:tcPr>
          <w:p>
            <w:pPr>
              <w:spacing w:before="0" w:after="0"/>
              <w:jc w:val="left"/>
            </w:pPr>
            <w:r>
              <w:rPr>
                <w:color w:val="1a202c"/>
                <w:sz w:val="20"/>
              </w:rPr>
              <w:t>Si</w:t>
            </w:r>
          </w:p>
        </w:tc>
        <w:tc>
          <w:tcPr>
            <w:tcW w:w="2000" w:type="dxa"/>
            <w:vAlign w:val="center"/>
          </w:tcPr>
          <w:p>
            <w:pPr>
              <w:spacing w:before="0" w:after="0"/>
              <w:jc w:val="left"/>
            </w:pPr>
            <w:r>
              <w:rPr>
                <w:color w:val="1a202c"/>
                <w:sz w:val="20"/>
              </w:rPr>
              <w:t>API</w:t>
            </w:r>
          </w:p>
        </w:tc>
        <w:tc>
          <w:tcPr>
            <w:tcW w:w="4000" w:type="dxa"/>
            <w:vAlign w:val="center"/>
          </w:tcPr>
          <w:p>
            <w:pPr>
              <w:spacing w:before="0" w:after="0"/>
              <w:jc w:val="left"/>
            </w:pPr>
            <w:r>
              <w:rPr>
                <w:color w:val="1a202c"/>
                <w:sz w:val="20"/>
              </w:rPr>
              <w:t>Busqueda semantica, clasificacion</w:t>
            </w:r>
          </w:p>
        </w:tc>
      </w:tr>
      <w:tr>
        <w:trPr>
          <w:trHeight w:val="360" w:hRule="atLeast"/>
        </w:trPr>
        <w:tc>
          <w:tcPr>
            <w:tcW w:w="2200" w:type="dxa"/>
            <w:vAlign w:val="center"/>
          </w:tcPr>
          <w:p>
            <w:pPr>
              <w:spacing w:before="0" w:after="0"/>
              <w:jc w:val="left"/>
            </w:pPr>
            <w:r>
              <w:rPr>
                <w:color w:val="1a202c"/>
                <w:sz w:val="20"/>
              </w:rPr>
              <w:t>FastText</w:t>
            </w:r>
          </w:p>
        </w:tc>
        <w:tc>
          <w:tcPr>
            <w:tcW w:w="1800" w:type="dxa"/>
            <w:vAlign w:val="center"/>
          </w:tcPr>
          <w:p>
            <w:pPr>
              <w:spacing w:before="0" w:after="0"/>
              <w:jc w:val="left"/>
            </w:pPr>
            <w:r>
              <w:rPr>
                <w:color w:val="1a202c"/>
                <w:sz w:val="20"/>
              </w:rPr>
              <w:t>No</w:t>
            </w:r>
          </w:p>
        </w:tc>
        <w:tc>
          <w:tcPr>
            <w:tcW w:w="2000" w:type="dxa"/>
            <w:vAlign w:val="center"/>
          </w:tcPr>
          <w:p>
            <w:pPr>
              <w:spacing w:before="0" w:after="0"/>
              <w:jc w:val="left"/>
            </w:pPr>
            <w:r>
              <w:rPr>
                <w:color w:val="1a202c"/>
                <w:sz w:val="20"/>
              </w:rPr>
              <w:t>Local</w:t>
            </w:r>
          </w:p>
        </w:tc>
        <w:tc>
          <w:tcPr>
            <w:tcW w:w="4000" w:type="dxa"/>
            <w:vAlign w:val="center"/>
          </w:tcPr>
          <w:p>
            <w:pPr>
              <w:spacing w:before="0" w:after="0"/>
              <w:jc w:val="left"/>
            </w:pPr>
            <w:r>
              <w:rPr>
                <w:color w:val="1a202c"/>
                <w:sz w:val="20"/>
              </w:rPr>
              <w:t>Clasificacion, multilingue</w:t>
            </w:r>
          </w:p>
        </w:tc>
      </w:tr>
      <w:tr>
        <w:trPr>
          <w:trHeight w:val="360" w:hRule="atLeast"/>
        </w:trPr>
        <w:tc>
          <w:tcPr>
            <w:tcW w:w="2200" w:type="dxa"/>
            <w:vAlign w:val="center"/>
          </w:tcPr>
          <w:p>
            <w:pPr>
              <w:spacing w:before="0" w:after="0"/>
              <w:jc w:val="left"/>
            </w:pPr>
            <w:r>
              <w:rPr>
                <w:color w:val="1a202c"/>
                <w:sz w:val="20"/>
              </w:rPr>
              <w:t>Voyage AI</w:t>
            </w:r>
          </w:p>
        </w:tc>
        <w:tc>
          <w:tcPr>
            <w:tcW w:w="1800" w:type="dxa"/>
            <w:vAlign w:val="center"/>
          </w:tcPr>
          <w:p>
            <w:pPr>
              <w:spacing w:before="0" w:after="0"/>
              <w:jc w:val="left"/>
            </w:pPr>
            <w:r>
              <w:rPr>
                <w:color w:val="1a202c"/>
                <w:sz w:val="20"/>
              </w:rPr>
              <w:t>Si</w:t>
            </w:r>
          </w:p>
        </w:tc>
        <w:tc>
          <w:tcPr>
            <w:tcW w:w="2000" w:type="dxa"/>
            <w:vAlign w:val="center"/>
          </w:tcPr>
          <w:p>
            <w:pPr>
              <w:spacing w:before="0" w:after="0"/>
              <w:jc w:val="left"/>
            </w:pPr>
            <w:r>
              <w:rPr>
                <w:color w:val="1a202c"/>
                <w:sz w:val="20"/>
              </w:rPr>
              <w:t>API</w:t>
            </w:r>
          </w:p>
        </w:tc>
        <w:tc>
          <w:tcPr>
            <w:tcW w:w="4000" w:type="dxa"/>
            <w:vAlign w:val="center"/>
          </w:tcPr>
          <w:p>
            <w:pPr>
              <w:spacing w:before="0" w:after="0"/>
              <w:jc w:val="left"/>
            </w:pPr>
            <w:r>
              <w:rPr>
                <w:color w:val="1a202c"/>
                <w:sz w:val="20"/>
              </w:rPr>
              <w:t>Rendimiento superior en benchmarks</w:t>
            </w:r>
          </w:p>
        </w:tc>
      </w:tr>
    </w:tbl>
    <w:p>
      <w:pPr>
        <w:pStyle w:val="Caption"/>
      </w:pPr>
      <w:r>
        <w:t>Tabla 2: Comparativa de Modelos de Embeddings</w:t>
      </w:r>
    </w:p>
    <w:p>
      <w:pPr>
        <w:pStyle w:val="Heading2"/>
      </w:pPr>
      <w:r>
        <w:t>Recomendaciones de Uso</w:t>
      </w:r>
    </w:p>
    <w:p>
      <w:pPr>
        <w:numPr>
          <w:ilvl w:val="0"/>
          <w:numId w:val="1"/>
        </w:numPr>
      </w:pPr>
      <w:r>
        <w:rPr>
          <w:b/>
        </w:rPr>
        <w:t>Busqueda Semantica y Recuperacion</w:t>
      </w:r>
      <w:r>
        <w:t>: OpenAI Embeddings, Cohere Embeddings, o SentenceTransformers para despliegue local.</w:t>
      </w:r>
    </w:p>
    <w:p>
      <w:pPr>
        <w:numPr>
          <w:ilvl w:val="0"/>
          <w:numId w:val="1"/>
        </w:numPr>
      </w:pPr>
      <w:r>
        <w:rPr>
          <w:b/>
        </w:rPr>
        <w:t>Similitud de Oraciones y Parrafos</w:t>
      </w:r>
      <w:r>
        <w:t>: SentenceTransformers (SBERT) es la opcion preferida.</w:t>
      </w:r>
    </w:p>
    <w:p>
      <w:pPr>
        <w:numPr>
          <w:ilvl w:val="0"/>
          <w:numId w:val="1"/>
        </w:numPr>
      </w:pPr>
      <w:r>
        <w:rPr>
          <w:b/>
        </w:rPr>
        <w:t>Clasificacion con Recursos Limitados</w:t>
      </w:r>
      <w:r>
        <w:t>: FastText ofrece excelente rendimiento con bajo costo computacional.</w:t>
      </w:r>
    </w:p>
    <w:p>
      <w:pPr>
        <w:numPr>
          <w:ilvl w:val="0"/>
          <w:numId w:val="1"/>
        </w:numPr>
      </w:pPr>
      <w:r>
        <w:rPr>
          <w:b/>
        </w:rPr>
        <w:t>Aplicaciones Multilingues</w:t>
      </w:r>
      <w:r>
        <w:t>: FastText y modelos multilingues de SentenceTransformers.</w:t>
      </w:r>
    </w:p>
    <w:p>
      <w:pPr>
        <w:numPr>
          <w:ilvl w:val="0"/>
          <w:numId w:val="1"/>
        </w:numPr>
      </w:pPr>
      <w:r>
        <w:rPr>
          <w:b/>
        </w:rPr>
        <w:t>Entornos Offline o con Privacidad</w:t>
      </w:r>
      <w:r>
        <w:t>: SentenceTransformers, FastText, Word2Vec o GloVe.</w:t>
      </w:r>
    </w:p>
    <w:p>
      <w:r>
        <w:br w:type="page"/>
      </w:r>
    </w:p>
    <w:p>
      <w:pPr>
        <w:pStyle w:val="Heading1"/>
      </w:pPr>
      <w:bookmarkStart w:name="_Toc005" w:id="005"/>
      <w:r>
        <w:t>5. Aplicaciones y Casos de Uso</w:t>
      </w:r>
      <w:bookmarkEnd w:id="005"/>
    </w:p>
    <w:p>
      <w:r>
        <w:t>RAG tiene aplicaciones en una amplia variedad de sectores empresariales y casos de uso. Segun estudios recientes, el 86% de las empresas estan aumentando sus modelos con frameworks como RAG para mejorar la precision y relevancia de las respuestas de IA.</w:t>
      </w:r>
    </w:p>
    <w:p>
      <w:pPr>
        <w:pStyle w:val="Heading2"/>
      </w:pPr>
      <w:r>
        <w:t>Soporte al Cliente y Gestion del Conocimiento</w:t>
      </w:r>
    </w:p>
    <w:p>
      <w:r>
        <w:t>Los asistentes de gestion del conocimiento empresarial recuperan y sintetizan contenido interno en insights accionables para los empleados. Los chatbots de servicio al cliente extraen datos de politicas y cuentas para ofrecer respuestas mas precisas y contextuales sin requerir que los agentes humanos busquen manualmente en la documentacion.</w:t>
      </w:r>
    </w:p>
    <w:p>
      <w:pPr>
        <w:pStyle w:val="Heading2"/>
      </w:pPr>
      <w:r>
        <w:t>Analisis de Documentos e Investigacion</w:t>
      </w:r>
    </w:p>
    <w:p>
      <w:r>
        <w:t>RAG sobresale en tareas que involucran grandes colecciones de documentos. Las organizaciones pueden convertir manuales, videos y registros en bases de conocimiento consultables que potencian sistemas de soporte, programas de capacitacion y herramientas de productividad. Los equipos legales utilizan RAG para analizar jurisprudencia y contratos, mientras que los analistas financieros extraen insights de informes de ganancias y presentaciones regulatorias.</w:t>
      </w:r>
    </w:p>
    <w:p>
      <w:pPr>
        <w:pStyle w:val="Heading2"/>
      </w:pPr>
      <w:r>
        <w:t>Asistentes de IA Especificos de Dominio</w:t>
      </w:r>
    </w:p>
    <w:p>
      <w:r>
        <w:t>Los asistentes de redaccion pueden pre-poblar documentos con informacion especifica de la empresa desde bases de datos y hojas de calculo. Los asistentes especializados para salud, ingenieria u otros campos tecnicos pueden personalizarse mediante integracion con fuentes de conocimiento especializadas, haciendolos mucho mas utiles que los chatbots de proposito general.</w:t>
      </w:r>
    </w:p>
    <w:p>
      <w:pPr>
        <w:pStyle w:val="Heading2"/>
      </w:pPr>
      <w:r>
        <w:t>Motores de Recomendacion</w:t>
      </w:r>
    </w:p>
    <w:p>
      <w:r>
        <w:t>RAG ofrece respuestas altamente personalizadas, actualizadas y contextualizadas. Puede potenciar los motores de recomendacion al recuperar informacion util de historiales y detectar patrones o tendencias para sugerir productos o servicios que se ajusten a las necesidades del publico objetivo en tiempo real.</w:t>
      </w:r>
    </w:p>
    <w:p>
      <w:r>
        <w:br w:type="page"/>
      </w:r>
    </w:p>
    <w:p>
      <w:pPr>
        <w:pStyle w:val="Heading1"/>
      </w:pPr>
      <w:bookmarkStart w:name="_Toc006" w:id="006"/>
      <w:r>
        <w:t>6. RAG vs Fine-Tuning</w:t>
      </w:r>
      <w:bookmarkEnd w:id="006"/>
    </w:p>
    <w:p>
      <w:r>
        <w:t>Dos enfoques principales permiten adaptar modelos de lenguaje a necesidades especificas: RAG y Fine-Tuning. Comprender sus diferencias es fundamental para tomar decisiones estrategicas sobre que recurso de IA desplegar.</w:t>
      </w:r>
    </w:p>
    <w:p>
      <w:pPr>
        <w:pStyle w:val="Heading2"/>
      </w:pPr>
      <w:r>
        <w:t>Diferencias Clave</w:t>
      </w:r>
    </w:p>
    <w:tbl>
      <w:tblPr>
        <w:tblW w:w="5000" w:type="pct"/>
        <w:tblBorders>
          <w:top w:val="single" w:color="1a365d" w:sz="12"/>
          <w:left w:val="nil"/>
          <w:bottom w:val="single" w:color="1a365d" w:sz="12"/>
          <w:right w:val="nil"/>
          <w:insideH w:val="nil"/>
          <w:insideV w:val="nil"/>
        </w:tblBorders>
        <w:tblCellMar>
          <w:top w:w="100" w:type="dxa"/>
          <w:left w:w="150" w:type="dxa"/>
          <w:bottom w:w="100" w:type="dxa"/>
          <w:right w:w="150" w:type="dxa"/>
        </w:tblCellMar>
      </w:tblPr>
      <w:tblGrid>
        <w:gridCol w:w="2500"/>
        <w:gridCol w:w="3750"/>
        <w:gridCol w:w="3750"/>
      </w:tblGrid>
      <w:tr>
        <w:trPr>
          <w:tblHeader/>
          <w:trHeight w:val="400" w:hRule="atLeast"/>
        </w:trPr>
        <w:tc>
          <w:tcPr>
            <w:tcW w:w="2500" w:type="dxa"/>
            <w:tcBorders>
              <w:bottom w:val="single" w:color="1a365d" w:sz="6"/>
            </w:tcBorders>
            <w:shd w:val="clear" w:fill="e2e8f0"/>
            <w:vAlign w:val="center"/>
          </w:tcPr>
          <w:p>
            <w:pPr>
              <w:spacing w:before="0" w:after="0"/>
              <w:jc w:val="center"/>
            </w:pPr>
            <w:r>
              <w:rPr>
                <w:b/>
                <w:color w:val="1a202c"/>
                <w:sz w:val="20"/>
              </w:rPr>
              <w:t>Aspecto</w:t>
            </w:r>
          </w:p>
        </w:tc>
        <w:tc>
          <w:tcPr>
            <w:tcW w:w="3750" w:type="dxa"/>
            <w:tcBorders>
              <w:bottom w:val="single" w:color="1a365d" w:sz="6"/>
            </w:tcBorders>
            <w:shd w:val="clear" w:fill="e2e8f0"/>
            <w:vAlign w:val="center"/>
          </w:tcPr>
          <w:p>
            <w:pPr>
              <w:spacing w:before="0" w:after="0"/>
              <w:jc w:val="center"/>
            </w:pPr>
            <w:r>
              <w:rPr>
                <w:b/>
                <w:color w:val="1a202c"/>
                <w:sz w:val="20"/>
              </w:rPr>
              <w:t>RAG</w:t>
            </w:r>
          </w:p>
        </w:tc>
        <w:tc>
          <w:tcPr>
            <w:tcW w:w="3750" w:type="dxa"/>
            <w:tcBorders>
              <w:bottom w:val="single" w:color="1a365d" w:sz="6"/>
            </w:tcBorders>
            <w:shd w:val="clear" w:fill="e2e8f0"/>
            <w:vAlign w:val="center"/>
          </w:tcPr>
          <w:p>
            <w:pPr>
              <w:spacing w:before="0" w:after="0"/>
              <w:jc w:val="center"/>
            </w:pPr>
            <w:r>
              <w:rPr>
                <w:b/>
                <w:color w:val="1a202c"/>
                <w:sz w:val="20"/>
              </w:rPr>
              <w:t>Fine-Tuning</w:t>
            </w:r>
          </w:p>
        </w:tc>
      </w:tr>
      <w:tr>
        <w:trPr>
          <w:trHeight w:val="360" w:hRule="atLeast"/>
        </w:trPr>
        <w:tc>
          <w:tcPr>
            <w:tcW w:w="2500" w:type="dxa"/>
            <w:vAlign w:val="center"/>
          </w:tcPr>
          <w:p>
            <w:pPr>
              <w:spacing w:before="0" w:after="0"/>
              <w:jc w:val="left"/>
            </w:pPr>
            <w:r>
              <w:rPr>
                <w:color w:val="1a202c"/>
                <w:sz w:val="20"/>
              </w:rPr>
              <w:t>Actualidad de datos</w:t>
            </w:r>
          </w:p>
        </w:tc>
        <w:tc>
          <w:tcPr>
            <w:tcW w:w="3750" w:type="dxa"/>
            <w:vAlign w:val="center"/>
          </w:tcPr>
          <w:p>
            <w:pPr>
              <w:spacing w:before="0" w:after="0"/>
              <w:jc w:val="left"/>
            </w:pPr>
            <w:r>
              <w:rPr>
                <w:color w:val="1a202c"/>
                <w:sz w:val="20"/>
              </w:rPr>
              <w:t>Tiempo real</w:t>
            </w:r>
          </w:p>
        </w:tc>
        <w:tc>
          <w:tcPr>
            <w:tcW w:w="3750" w:type="dxa"/>
            <w:vAlign w:val="center"/>
          </w:tcPr>
          <w:p>
            <w:pPr>
              <w:spacing w:before="0" w:after="0"/>
              <w:jc w:val="left"/>
            </w:pPr>
            <w:r>
              <w:rPr>
                <w:color w:val="1a202c"/>
                <w:sz w:val="20"/>
              </w:rPr>
              <w:t>Estatico (requiere reentreno)</w:t>
            </w:r>
          </w:p>
        </w:tc>
      </w:tr>
      <w:tr>
        <w:trPr>
          <w:trHeight w:val="360" w:hRule="atLeast"/>
        </w:trPr>
        <w:tc>
          <w:tcPr>
            <w:tcW w:w="2500" w:type="dxa"/>
            <w:vAlign w:val="center"/>
          </w:tcPr>
          <w:p>
            <w:pPr>
              <w:spacing w:before="0" w:after="0"/>
              <w:jc w:val="left"/>
            </w:pPr>
            <w:r>
              <w:rPr>
                <w:color w:val="1a202c"/>
                <w:sz w:val="20"/>
              </w:rPr>
              <w:t>Costo computacional</w:t>
            </w:r>
          </w:p>
        </w:tc>
        <w:tc>
          <w:tcPr>
            <w:tcW w:w="3750" w:type="dxa"/>
            <w:vAlign w:val="center"/>
          </w:tcPr>
          <w:p>
            <w:pPr>
              <w:spacing w:before="0" w:after="0"/>
              <w:jc w:val="left"/>
            </w:pPr>
            <w:r>
              <w:rPr>
                <w:color w:val="1a202c"/>
                <w:sz w:val="20"/>
              </w:rPr>
              <w:t>Menor (sin reentreno)</w:t>
            </w:r>
          </w:p>
        </w:tc>
        <w:tc>
          <w:tcPr>
            <w:tcW w:w="3750" w:type="dxa"/>
            <w:vAlign w:val="center"/>
          </w:tcPr>
          <w:p>
            <w:pPr>
              <w:spacing w:before="0" w:after="0"/>
              <w:jc w:val="left"/>
            </w:pPr>
            <w:r>
              <w:rPr>
                <w:color w:val="1a202c"/>
                <w:sz w:val="20"/>
              </w:rPr>
              <w:t>Alto (entrenamiento)</w:t>
            </w:r>
          </w:p>
        </w:tc>
      </w:tr>
      <w:tr>
        <w:trPr>
          <w:trHeight w:val="360" w:hRule="atLeast"/>
        </w:trPr>
        <w:tc>
          <w:tcPr>
            <w:tcW w:w="2500" w:type="dxa"/>
            <w:vAlign w:val="center"/>
          </w:tcPr>
          <w:p>
            <w:pPr>
              <w:spacing w:before="0" w:after="0"/>
              <w:jc w:val="left"/>
            </w:pPr>
            <w:r>
              <w:rPr>
                <w:color w:val="1a202c"/>
                <w:sz w:val="20"/>
              </w:rPr>
              <w:t>Trazabilidad</w:t>
            </w:r>
          </w:p>
        </w:tc>
        <w:tc>
          <w:tcPr>
            <w:tcW w:w="3750" w:type="dxa"/>
            <w:vAlign w:val="center"/>
          </w:tcPr>
          <w:p>
            <w:pPr>
              <w:spacing w:before="0" w:after="0"/>
              <w:jc w:val="left"/>
            </w:pPr>
            <w:r>
              <w:rPr>
                <w:color w:val="1a202c"/>
                <w:sz w:val="20"/>
              </w:rPr>
              <w:t>Fuente visible</w:t>
            </w:r>
          </w:p>
        </w:tc>
        <w:tc>
          <w:tcPr>
            <w:tcW w:w="3750" w:type="dxa"/>
            <w:vAlign w:val="center"/>
          </w:tcPr>
          <w:p>
            <w:pPr>
              <w:spacing w:before="0" w:after="0"/>
              <w:jc w:val="left"/>
            </w:pPr>
            <w:r>
              <w:rPr>
                <w:color w:val="1a202c"/>
                <w:sz w:val="20"/>
              </w:rPr>
              <w:t>No atribuible</w:t>
            </w:r>
          </w:p>
        </w:tc>
      </w:tr>
      <w:tr>
        <w:trPr>
          <w:trHeight w:val="360" w:hRule="atLeast"/>
        </w:trPr>
        <w:tc>
          <w:tcPr>
            <w:tcW w:w="2500" w:type="dxa"/>
            <w:vAlign w:val="center"/>
          </w:tcPr>
          <w:p>
            <w:pPr>
              <w:spacing w:before="0" w:after="0"/>
              <w:jc w:val="left"/>
            </w:pPr>
            <w:r>
              <w:rPr>
                <w:color w:val="1a202c"/>
                <w:sz w:val="20"/>
              </w:rPr>
              <w:t>Seguridad de datos</w:t>
            </w:r>
          </w:p>
        </w:tc>
        <w:tc>
          <w:tcPr>
            <w:tcW w:w="3750" w:type="dxa"/>
            <w:vAlign w:val="center"/>
          </w:tcPr>
          <w:p>
            <w:pPr>
              <w:spacing w:before="0" w:after="0"/>
              <w:jc w:val="left"/>
            </w:pPr>
            <w:r>
              <w:rPr>
                <w:color w:val="1a202c"/>
                <w:sz w:val="20"/>
              </w:rPr>
              <w:t>Datos en repositorio controlado</w:t>
            </w:r>
          </w:p>
        </w:tc>
        <w:tc>
          <w:tcPr>
            <w:tcW w:w="3750" w:type="dxa"/>
            <w:vAlign w:val="center"/>
          </w:tcPr>
          <w:p>
            <w:pPr>
              <w:spacing w:before="0" w:after="0"/>
              <w:jc w:val="left"/>
            </w:pPr>
            <w:r>
              <w:rPr>
                <w:color w:val="1a202c"/>
                <w:sz w:val="20"/>
              </w:rPr>
              <w:t>Datos en pesos del modelo</w:t>
            </w:r>
          </w:p>
        </w:tc>
      </w:tr>
      <w:tr>
        <w:trPr>
          <w:trHeight w:val="360" w:hRule="atLeast"/>
        </w:trPr>
        <w:tc>
          <w:tcPr>
            <w:tcW w:w="2500" w:type="dxa"/>
            <w:vAlign w:val="center"/>
          </w:tcPr>
          <w:p>
            <w:pPr>
              <w:spacing w:before="0" w:after="0"/>
              <w:jc w:val="left"/>
            </w:pPr>
            <w:r>
              <w:rPr>
                <w:color w:val="1a202c"/>
                <w:sz w:val="20"/>
              </w:rPr>
              <w:t>Escalabilidad</w:t>
            </w:r>
          </w:p>
        </w:tc>
        <w:tc>
          <w:tcPr>
            <w:tcW w:w="3750" w:type="dxa"/>
            <w:vAlign w:val="center"/>
          </w:tcPr>
          <w:p>
            <w:pPr>
              <w:spacing w:before="0" w:after="0"/>
              <w:jc w:val="left"/>
            </w:pPr>
            <w:r>
              <w:rPr>
                <w:color w:val="1a202c"/>
                <w:sz w:val="20"/>
              </w:rPr>
              <w:t>Alta (actualizar BD)</w:t>
            </w:r>
          </w:p>
        </w:tc>
        <w:tc>
          <w:tcPr>
            <w:tcW w:w="3750" w:type="dxa"/>
            <w:vAlign w:val="center"/>
          </w:tcPr>
          <w:p>
            <w:pPr>
              <w:spacing w:before="0" w:after="0"/>
              <w:jc w:val="left"/>
            </w:pPr>
            <w:r>
              <w:rPr>
                <w:color w:val="1a202c"/>
                <w:sz w:val="20"/>
              </w:rPr>
              <w:t>Baja (reentrenar)</w:t>
            </w:r>
          </w:p>
        </w:tc>
      </w:tr>
      <w:tr>
        <w:trPr>
          <w:trHeight w:val="360" w:hRule="atLeast"/>
        </w:trPr>
        <w:tc>
          <w:tcPr>
            <w:tcW w:w="2500" w:type="dxa"/>
            <w:vAlign w:val="center"/>
          </w:tcPr>
          <w:p>
            <w:pPr>
              <w:spacing w:before="0" w:after="0"/>
              <w:jc w:val="left"/>
            </w:pPr>
            <w:r>
              <w:rPr>
                <w:color w:val="1a202c"/>
                <w:sz w:val="20"/>
              </w:rPr>
              <w:t>Especializacion</w:t>
            </w:r>
          </w:p>
        </w:tc>
        <w:tc>
          <w:tcPr>
            <w:tcW w:w="3750" w:type="dxa"/>
            <w:vAlign w:val="center"/>
          </w:tcPr>
          <w:p>
            <w:pPr>
              <w:spacing w:before="0" w:after="0"/>
              <w:jc w:val="left"/>
            </w:pPr>
            <w:r>
              <w:rPr>
                <w:color w:val="1a202c"/>
                <w:sz w:val="20"/>
              </w:rPr>
              <w:t>General</w:t>
            </w:r>
          </w:p>
        </w:tc>
        <w:tc>
          <w:tcPr>
            <w:tcW w:w="3750" w:type="dxa"/>
            <w:vAlign w:val="center"/>
          </w:tcPr>
          <w:p>
            <w:pPr>
              <w:spacing w:before="0" w:after="0"/>
              <w:jc w:val="left"/>
            </w:pPr>
            <w:r>
              <w:rPr>
                <w:color w:val="1a202c"/>
                <w:sz w:val="20"/>
              </w:rPr>
              <w:t>Alta (dominio especifico)</w:t>
            </w:r>
          </w:p>
        </w:tc>
      </w:tr>
      <w:tr>
        <w:trPr>
          <w:trHeight w:val="360" w:hRule="atLeast"/>
        </w:trPr>
        <w:tc>
          <w:tcPr>
            <w:tcW w:w="2500" w:type="dxa"/>
            <w:vAlign w:val="center"/>
          </w:tcPr>
          <w:p>
            <w:pPr>
              <w:spacing w:before="0" w:after="0"/>
              <w:jc w:val="left"/>
            </w:pPr>
            <w:r>
              <w:rPr>
                <w:color w:val="1a202c"/>
                <w:sz w:val="20"/>
              </w:rPr>
              <w:t>Latencia</w:t>
            </w:r>
          </w:p>
        </w:tc>
        <w:tc>
          <w:tcPr>
            <w:tcW w:w="3750" w:type="dxa"/>
            <w:vAlign w:val="center"/>
          </w:tcPr>
          <w:p>
            <w:pPr>
              <w:spacing w:before="0" w:after="0"/>
              <w:jc w:val="left"/>
            </w:pPr>
            <w:r>
              <w:rPr>
                <w:color w:val="1a202c"/>
                <w:sz w:val="20"/>
              </w:rPr>
              <w:t>Mayor (recuperacion)</w:t>
            </w:r>
          </w:p>
        </w:tc>
        <w:tc>
          <w:tcPr>
            <w:tcW w:w="3750" w:type="dxa"/>
            <w:vAlign w:val="center"/>
          </w:tcPr>
          <w:p>
            <w:pPr>
              <w:spacing w:before="0" w:after="0"/>
              <w:jc w:val="left"/>
            </w:pPr>
            <w:r>
              <w:rPr>
                <w:color w:val="1a202c"/>
                <w:sz w:val="20"/>
              </w:rPr>
              <w:t>Menor</w:t>
            </w:r>
          </w:p>
        </w:tc>
      </w:tr>
    </w:tbl>
    <w:p>
      <w:pPr>
        <w:pStyle w:val="Caption"/>
      </w:pPr>
      <w:r>
        <w:t>Tabla 3: Comparativa RAG vs Fine-Tuning</w:t>
      </w:r>
    </w:p>
    <w:p>
      <w:pPr>
        <w:pStyle w:val="Heading2"/>
      </w:pPr>
      <w:r>
        <w:t>Cuando Usar Cada Enfoque</w:t>
      </w:r>
    </w:p>
    <w:p>
      <w:pPr>
        <w:pStyle w:val="Heading3"/>
      </w:pPr>
      <w:r>
        <w:t>Usar RAG cuando:</w:t>
      </w:r>
    </w:p>
    <w:p>
      <w:pPr>
        <w:numPr>
          <w:ilvl w:val="0"/>
          <w:numId w:val="1"/>
        </w:numPr>
      </w:pPr>
      <w:r>
        <w:rPr>
          <w:b/>
        </w:rPr>
        <w:t/>
      </w:r>
      <w:r>
        <w:t>El conocimiento cambia frecuentemente o es muy extenso</w:t>
      </w:r>
    </w:p>
    <w:p>
      <w:pPr>
        <w:numPr>
          <w:ilvl w:val="0"/>
          <w:numId w:val="1"/>
        </w:numPr>
      </w:pPr>
      <w:r>
        <w:rPr>
          <w:b/>
        </w:rPr>
        <w:t/>
      </w:r>
      <w:r>
        <w:t>Se requiere transparencia y atribucion de fuentes</w:t>
      </w:r>
    </w:p>
    <w:p>
      <w:pPr>
        <w:numPr>
          <w:ilvl w:val="0"/>
          <w:numId w:val="1"/>
        </w:numPr>
      </w:pPr>
      <w:r>
        <w:rPr>
          <w:b/>
        </w:rPr>
        <w:t/>
      </w:r>
      <w:r>
        <w:t>El presupuesto computacional es limitado</w:t>
      </w:r>
    </w:p>
    <w:p>
      <w:pPr>
        <w:numPr>
          <w:ilvl w:val="0"/>
          <w:numId w:val="1"/>
        </w:numPr>
      </w:pPr>
      <w:r>
        <w:rPr>
          <w:b/>
        </w:rPr>
        <w:t/>
      </w:r>
      <w:r>
        <w:t>La informacion en tiempo real es critica</w:t>
      </w:r>
    </w:p>
    <w:p>
      <w:pPr>
        <w:pStyle w:val="Heading3"/>
      </w:pPr>
      <w:r>
        <w:t>Usar Fine-Tuning cuando:</w:t>
      </w:r>
    </w:p>
    <w:p>
      <w:pPr>
        <w:numPr>
          <w:ilvl w:val="0"/>
          <w:numId w:val="1"/>
        </w:numPr>
      </w:pPr>
      <w:r>
        <w:rPr>
          <w:b/>
        </w:rPr>
        <w:t/>
      </w:r>
      <w:r>
        <w:t>Se necesitan tareas altamente especializadas</w:t>
      </w:r>
    </w:p>
    <w:p>
      <w:pPr>
        <w:numPr>
          <w:ilvl w:val="0"/>
          <w:numId w:val="1"/>
        </w:numPr>
      </w:pPr>
      <w:r>
        <w:rPr>
          <w:b/>
        </w:rPr>
        <w:t/>
      </w:r>
      <w:r>
        <w:t>Se busca un estilo o tono de respuesta especifico</w:t>
      </w:r>
    </w:p>
    <w:p>
      <w:pPr>
        <w:numPr>
          <w:ilvl w:val="0"/>
          <w:numId w:val="1"/>
        </w:numPr>
      </w:pPr>
      <w:r>
        <w:rPr>
          <w:b/>
        </w:rPr>
        <w:t/>
      </w:r>
      <w:r>
        <w:t>El dominio es estable y no cambia frecuentemente</w:t>
      </w:r>
    </w:p>
    <w:p>
      <w:pPr>
        <w:pStyle w:val="Heading2"/>
      </w:pPr>
      <w:r>
        <w:t>Enfoque Hibrido</w:t>
      </w:r>
    </w:p>
    <w:p>
      <w:r>
        <w:t>Muchas organizaciones exitosas combinan ambos enfoques: Fine-Tuning para ensenar al modelo a "pensar y hablar" como un profesional del campo, y RAG para dar a ese experto acceso en tiempo real a una vasta biblioteca de hechos. Esta combinacion crea un verdadero experto digital de alto rendimiento.</w:t>
      </w:r>
    </w:p>
    <w:p>
      <w:r>
        <w:br w:type="page"/>
      </w:r>
    </w:p>
    <w:p>
      <w:pPr>
        <w:pStyle w:val="Heading1"/>
      </w:pPr>
      <w:bookmarkStart w:name="_Toc007" w:id="007"/>
      <w:r>
        <w:t>7. Desafios y Limitaciones</w:t>
      </w:r>
      <w:bookmarkEnd w:id="007"/>
    </w:p>
    <w:p>
      <w:r>
        <w:t>Aunque RAG representa un avance significativo sobre los LLM standalone, tiene limitaciones documentadas que los profesionales deben conocer.</w:t>
      </w:r>
    </w:p>
    <w:p>
      <w:pPr>
        <w:pStyle w:val="Heading2"/>
      </w:pPr>
      <w:r>
        <w:t>7.1 Desafios Tecnicos</w:t>
      </w:r>
    </w:p>
    <w:p>
      <w:pPr>
        <w:pStyle w:val="Heading3"/>
      </w:pPr>
      <w:r>
        <w:t>Calidad y Relevancia de la Recuperacion</w:t>
      </w:r>
    </w:p>
    <w:p>
      <w:r>
        <w:t>La calidad de los documentos recuperados impacta directamente en la precision de las respuestas generadas. Metodos tradicionales como BM25 son limitados, a menudo omitiendo textos relevantes o devolviendo resultados ruidosos. Los recuperadores neuronales modernos con embeddings densos mejoran el rendimiento, pero aun enfrentan problemas como desajustes de vocabulario, consultas ambiguas y terminologia especifica de dominio.</w:t>
      </w:r>
    </w:p>
    <w:p>
      <w:pPr>
        <w:pStyle w:val="Heading3"/>
      </w:pPr>
      <w:r>
        <w:t>Latencia y Eficiencia</w:t>
      </w:r>
    </w:p>
    <w:p>
      <w:r>
        <w:t>RAG aumenta inherentemente la complejidad computacional y la latencia comparado con LLM standalone debido al overhead de recuperacion, busquedas vectoriales y procesamiento de contexto expandido. Tecnicas como indices de vecinos mas cercanos aproximados (FAISS, HNSW), caching y recuperadores ligeros pueden reducir la latencia a expensas de la precision.</w:t>
      </w:r>
    </w:p>
    <w:p>
      <w:pPr>
        <w:pStyle w:val="Heading2"/>
      </w:pPr>
      <w:r>
        <w:t>7.2 Desafios de Sistema</w:t>
      </w:r>
    </w:p>
    <w:p>
      <w:pPr>
        <w:pStyle w:val="Heading3"/>
      </w:pPr>
      <w:r>
        <w:t>Escalabilidad e Infraestructura</w:t>
      </w:r>
    </w:p>
    <w:p>
      <w:r>
        <w:t>Desplegar RAG a escala requiere ingenieria sustancial para mantener grandes corpus de conocimiento e indices de recuperacion eficientes. Los sistemas deben manejar millones o billones de documentos, demandando recursos computacionales significativos, indexacion eficiente, infraestructura de computacion distribuida y estrategias de gestion de costos.</w:t>
      </w:r>
    </w:p>
    <w:p>
      <w:pPr>
        <w:pStyle w:val="Heading3"/>
      </w:pPr>
      <w:r>
        <w:t>Alucinaciones y Confiabilidad</w:t>
      </w:r>
    </w:p>
    <w:p>
      <w:r>
        <w:t>Un estudio de Stanford de 2024 encontro que herramientas lideres de investigacion legal basadas en RAG alucinan entre 17-33% de las veces, comparado con ~43% para GPT-4 standalone. Aunque RAG reduce las alucinaciones, no las elimina completamente. Los modelos pueden fabricar o atribuir incorrectamente informacion si la recuperacion proporciona contexto incompleto o parcialmente contradictorio.</w:t>
      </w:r>
    </w:p>
    <w:p>
      <w:pPr>
        <w:pStyle w:val="Heading2"/>
      </w:pPr>
      <w:r>
        <w:t>7.3 Estrategias de Mitigacion</w:t>
      </w:r>
    </w:p>
    <w:p>
      <w:pPr>
        <w:numPr>
          <w:ilvl w:val="0"/>
          <w:numId w:val="1"/>
        </w:numPr>
      </w:pPr>
      <w:r>
        <w:rPr>
          <w:b/>
        </w:rPr>
        <w:t>Recuperacion Hibrida</w:t>
      </w:r>
      <w:r>
        <w:t>: Combinar BM25 y recuperacion densa supera a cualquiera por separado.</w:t>
      </w:r>
    </w:p>
    <w:p>
      <w:pPr>
        <w:numPr>
          <w:ilvl w:val="0"/>
          <w:numId w:val="1"/>
        </w:numPr>
      </w:pPr>
      <w:r>
        <w:rPr>
          <w:b/>
        </w:rPr>
        <w:t>Re-ranking</w:t>
      </w:r>
      <w:r>
        <w:t>: Los re-rankers cross-encoder mejoran la precision de los resultados iniciales.</w:t>
      </w:r>
    </w:p>
    <w:p>
      <w:pPr>
        <w:numPr>
          <w:ilvl w:val="0"/>
          <w:numId w:val="1"/>
        </w:numPr>
      </w:pPr>
      <w:r>
        <w:rPr>
          <w:b/>
        </w:rPr>
        <w:t>Representaciones Multi-Vector</w:t>
      </w:r>
      <w:r>
        <w:t>: Arquitecturas como ColBERT superan limitaciones geometricas de embeddings de un solo vector.</w:t>
      </w:r>
    </w:p>
    <w:p>
      <w:pPr>
        <w:numPr>
          <w:ilvl w:val="0"/>
          <w:numId w:val="1"/>
        </w:numPr>
      </w:pPr>
      <w:r>
        <w:rPr>
          <w:b/>
        </w:rPr>
        <w:t>Verificacion Humana</w:t>
      </w:r>
      <w:r>
        <w:t>: En aplicaciones de alta criticidad, la verificacion humana sigue siendo esencial.</w:t>
      </w:r>
    </w:p>
    <w:p>
      <w:r>
        <w:br w:type="page"/>
      </w:r>
    </w:p>
    <w:p>
      <w:pPr>
        <w:pStyle w:val="Heading1"/>
      </w:pPr>
      <w:bookmarkStart w:name="_Toc008" w:id="008"/>
      <w:r>
        <w:t>8. Tendencias Futuras</w:t>
      </w:r>
      <w:bookmarkEnd w:id="008"/>
    </w:p>
    <w:p>
      <w:r>
        <w:t>El campo de RAG esta evolucionando rapidamente, con nuevas arquitecturas y capacidades emergiendo constantemente.</w:t>
      </w:r>
    </w:p>
    <w:p>
      <w:pPr>
        <w:pStyle w:val="Heading2"/>
      </w:pPr>
      <w:r>
        <w:t>Agentic RAG</w:t>
      </w:r>
    </w:p>
    <w:p>
      <w:r>
        <w:t>La nueva frontera fusiona RAG con razonamiento autonomo. Agentic RAG permite al modelo planear recuperaciones multi-paso, verificar resultados y llamar herramientas o APIs dinamicamente. Estos sistemas pueden formular sub-consultas, recuperar y validar hechos, sintetizar insights multi-documento y producir una cadena de razonamiento auditables. Frameworks como LangGraph, DSPy, AutoGen y AWS Bedrock Agents estan liderando esta evolucion.</w:t>
      </w:r>
    </w:p>
    <w:p>
      <w:pPr>
        <w:pStyle w:val="Heading2"/>
      </w:pPr>
      <w:r>
        <w:t>RAG Multimodal</w:t>
      </w:r>
    </w:p>
    <w:p>
      <w:r>
        <w:t>La integracion de capacidades multimodales extiende RAG mas alla del texto para abarcar imagenes, audio y video. Esto permite aplicaciones como busqueda en video indexado, analisis de documentos escaneados con imagenes, y asistentes que pueden procesar y responder a diversos tipos de entrada.</w:t>
      </w:r>
    </w:p>
    <w:p>
      <w:pPr>
        <w:pStyle w:val="Heading2"/>
      </w:pPr>
      <w:r>
        <w:t>RAG con Memoria</w:t>
      </w:r>
    </w:p>
    <w:p>
      <w:r>
        <w:t>Las empresas que utilizan copilotos conversacionales requieren persistencia de sesion. El RAG aumentado con memoria aborda esto almacenando interacciones pasadas como embeddings recuperables, creando una memoria semantica a corto plazo. Esto incluye agentes de soporte que mantienen contexto de casos, asistentes de onboarding que recuerdan topicos previos, y copilotos de marketing personalizados.</w:t>
      </w:r>
    </w:p>
    <w:p>
      <w:pPr>
        <w:pStyle w:val="Heading2"/>
      </w:pPr>
      <w:r>
        <w:t>Context Engine</w:t>
      </w:r>
    </w:p>
    <w:p>
      <w:r>
        <w:t>Una tendencia clara es la evolucion de RAG desde el patron especifico de "Retrieval-Augmented Generation" hacia un "Motor de Contexto" con "recuperacion inteligente" como su capacidad central. Este motor de contexto centrado en la recuperacion es clave para desbloquear el potencial completo de los LLM y Agentes, convirtiendose en un componente central indispensable para las empresas que construyen infraestructura inteligente de proxima generacion.</w:t>
      </w:r>
    </w:p>
    <w:p>
      <w:r>
        <w:br w:type="page"/>
      </w:r>
    </w:p>
    <w:p>
      <w:pPr>
        <w:pStyle w:val="Heading1"/>
      </w:pPr>
      <w:bookmarkStart w:name="_Toc009" w:id="009"/>
      <w:r>
        <w:t>9. Conclusiones</w:t>
      </w:r>
      <w:bookmarkEnd w:id="009"/>
    </w:p>
    <w:p>
      <w:r>
        <w:t>Retrieval-Augmented Generation representa un cambio de paradigma en la inteligencia artificial, permitiendo a los modelos de lenguaje recuperar e incorporar dinamicamente conocimiento externo. Los estudios confirman que los modelos basados en RAG superan significativamente a los modelos generativos puramente parametricos, logrando resultados de ultima generacion en tareas NLP intensivas en conocimiento.</w:t>
      </w:r>
    </w:p>
    <w:p>
      <w:r>
        <w:t>Las ventajas clave de RAG incluyen:</w:t>
      </w:r>
    </w:p>
    <w:p>
      <w:pPr>
        <w:numPr>
          <w:ilvl w:val="0"/>
          <w:numId w:val="1"/>
        </w:numPr>
      </w:pPr>
      <w:r>
        <w:rPr>
          <w:b/>
        </w:rPr>
        <w:t/>
      </w:r>
      <w:r>
        <w:t>Acceso a informacion actualizada sin necesidad de reentrenamiento costoso</w:t>
      </w:r>
    </w:p>
    <w:p>
      <w:pPr>
        <w:numPr>
          <w:ilvl w:val="0"/>
          <w:numId w:val="1"/>
        </w:numPr>
      </w:pPr>
      <w:r>
        <w:rPr>
          <w:b/>
        </w:rPr>
        <w:t/>
      </w:r>
      <w:r>
        <w:t>Reduccion significativa de alucinaciones al fundamentar respuestas en datos reales</w:t>
      </w:r>
    </w:p>
    <w:p>
      <w:pPr>
        <w:numPr>
          <w:ilvl w:val="0"/>
          <w:numId w:val="1"/>
        </w:numPr>
      </w:pPr>
      <w:r>
        <w:rPr>
          <w:b/>
        </w:rPr>
        <w:t/>
      </w:r>
      <w:r>
        <w:t>Transparencia y trazabilidad mediante atribucion de fuentes</w:t>
      </w:r>
    </w:p>
    <w:p>
      <w:pPr>
        <w:numPr>
          <w:ilvl w:val="0"/>
          <w:numId w:val="1"/>
        </w:numPr>
      </w:pPr>
      <w:r>
        <w:rPr>
          <w:b/>
        </w:rPr>
        <w:t/>
      </w:r>
      <w:r>
        <w:t>Mayor seguridad al mantener datos sensibles en repositorios controlados</w:t>
      </w:r>
    </w:p>
    <w:p>
      <w:pPr>
        <w:numPr>
          <w:ilvl w:val="0"/>
          <w:numId w:val="1"/>
        </w:numPr>
      </w:pPr>
      <w:r>
        <w:rPr>
          <w:b/>
        </w:rPr>
        <w:t/>
      </w:r>
      <w:r>
        <w:t>Escalabilidad mediante actualizaciones incrementales de la base de conocimiento</w:t>
      </w:r>
    </w:p>
    <w:p>
      <w:r>
        <w:t>Sin embargo, los profesionales deben ser conscientes de las limitaciones reales: las alucinaciones persisten en tasas del 17-34% en consultas desafiantes, la geometria de embeddings crea limites fundamentales de recuperacion, y el exito de la recuperacion no garantiza el exito de la generacion. El camino a seguir no es el hype o el miedo, sino la evaluacion rigurosa, los enfoques hibridos y el reconocimiento honesto de lo que estos sistemas pueden y no pueden hacer.</w:t>
      </w:r>
    </w:p>
    <w:p>
      <w:r>
        <w:t>Para las organizaciones que implementan sistemas RAG, se recomienda:</w:t>
      </w:r>
    </w:p>
    <w:p>
      <w:pPr>
        <w:numPr>
          <w:ilvl w:val="0"/>
          <w:numId w:val="1"/>
        </w:numPr>
      </w:pPr>
      <w:r>
        <w:rPr>
          <w:b/>
        </w:rPr>
        <w:t/>
      </w:r>
      <w:r>
        <w:t>Comenzar con un enfoque simple que satisfaga las necesidades inmediatas</w:t>
      </w:r>
    </w:p>
    <w:p>
      <w:pPr>
        <w:numPr>
          <w:ilvl w:val="0"/>
          <w:numId w:val="1"/>
        </w:numPr>
      </w:pPr>
      <w:r>
        <w:rPr>
          <w:b/>
        </w:rPr>
        <w:t/>
      </w:r>
      <w:r>
        <w:t>Implementar recuperacion hibrida (BM25 + denso) desde el inicio</w:t>
      </w:r>
    </w:p>
    <w:p>
      <w:pPr>
        <w:numPr>
          <w:ilvl w:val="0"/>
          <w:numId w:val="1"/>
        </w:numPr>
      </w:pPr>
      <w:r>
        <w:rPr>
          <w:b/>
        </w:rPr>
        <w:t/>
      </w:r>
      <w:r>
        <w:t>Anadir re-ranking para mejorar la precision</w:t>
      </w:r>
    </w:p>
    <w:p>
      <w:pPr>
        <w:numPr>
          <w:ilvl w:val="0"/>
          <w:numId w:val="1"/>
        </w:numPr>
      </w:pPr>
      <w:r>
        <w:rPr>
          <w:b/>
        </w:rPr>
        <w:t/>
      </w:r>
      <w:r>
        <w:t>Monitorear la calidad de recuperacion separadamente de la generacion</w:t>
      </w:r>
    </w:p>
    <w:p>
      <w:pPr>
        <w:numPr>
          <w:ilvl w:val="0"/>
          <w:numId w:val="1"/>
        </w:numPr>
      </w:pPr>
      <w:r>
        <w:rPr>
          <w:b/>
        </w:rPr>
        <w:t/>
      </w:r>
      <w:r>
        <w:t>Construir senales de incertidumbre para que el sistema sepa cuando no sabe</w:t>
      </w:r>
    </w:p>
    <w:p>
      <w:r>
        <w:t>RAG es una tecnologia madura y en evolucion que esta transformando como las organizaciones aprovechan la IA generativa, permitiendo aplicaciones mas precisas, actualizadas y confiables que nunca antes.</w:t>
      </w:r>
    </w:p>
    <w:p>
      <w:pPr>
        <w:sectPr>
          <w:headerReference w:type="default" r:id="R5d4ced014dd94491"/>
          <w:footerReference w:type="default" r:id="Rf03db37582e246c6"/>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7ce8e49310d5452e"/>
                    <a:stretch>
                      <a:fillRect/>
                    </a:stretch>
                  </pic:blipFill>
                  <pic:spPr>
                    <a:xfrm>
                      <a:off x="0" y="0"/>
                      <a:ext cx="7560000" cy="10692000"/>
                    </a:xfrm>
                    <a:prstGeom prst="rect"/>
                  </pic:spPr>
                </pic:pic>
              </a:graphicData>
            </a:graphic>
          </wp:anchor>
        </w:drawing>
      </w:r>
    </w:p>
    <w:p>
      <w:pPr>
        <w:spacing w:before="7500"/>
      </w:pPr>
      <w:r/>
    </w:p>
    <w:p>
      <w:pPr>
        <w:spacing w:after="300"/>
        <w:jc w:val="center"/>
      </w:pPr>
      <w:r>
        <w:rPr>
          <w:b/>
          <w:color w:val="FFFFFF"/>
          <w:sz w:val="36"/>
        </w:rPr>
        <w:t>RAG</w:t>
      </w:r>
    </w:p>
    <w:p>
      <w:pPr>
        <w:spacing w:after="200"/>
        <w:jc w:val="center"/>
      </w:pPr>
      <w:r>
        <w:rPr>
          <w:color w:val="a0aec0"/>
          <w:sz w:val="22"/>
        </w:rPr>
        <w:t>Retrieval-Augmented Generation</w:t>
      </w:r>
    </w:p>
    <w:p>
      <w:pPr>
        <w:spacing w:after="400"/>
        <w:jc w:val="center"/>
      </w:pPr>
      <w:r>
        <w:rPr>
          <w:color w:val="00d4aa"/>
          <w:sz w:val="18"/>
        </w:rPr>
        <w:t>Investigacion Tecnica Completa</w:t>
      </w:r>
    </w:p>
    <w:p>
      <w:pPr>
        <w:jc w:val="center"/>
      </w:pPr>
      <w:r>
        <w:rPr>
          <w:color w:val="718096"/>
          <w:sz w:val="16"/>
        </w:rPr>
        <w:t>© 2025 - Todos los derechos reservados</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instrText> PAGE </w:instrText>
      <w:fldChar w:fldCharType="separate"/>
      <w:t>1</w:t>
      <w:fldChar w:fldCharType="end"/>
    </w:r>
    <w:r>
      <w:t xml:space="preserve"> / </w:t>
    </w:r>
    <w:r>
      <w:rPr>
        <w:color w:val="718096"/>
        <w:sz w:val="18"/>
      </w:rPr>
      <w:fldChar w:fldCharType="begin"/>
      <w:instrText>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85ad0bc7bb0b4a6e"/>
                  <a:stretch>
                    <a:fillRect/>
                  </a:stretch>
                </pic:blipFill>
                <pic:spPr>
                  <a:xfrm>
                    <a:off x="0" y="0"/>
                    <a:ext cx="7560000" cy="10692000"/>
                  </a:xfrm>
                  <a:prstGeom prst="rect"/>
                </pic:spPr>
              </pic:pic>
            </a:graphicData>
          </a:graphic>
        </wp:anchor>
      </w:drawing>
    </w:r>
  </w:p>
  <w:p>
    <w:pPr>
      <w:spacing w:before="0" w:after="0"/>
      <w:jc w:val="right"/>
    </w:pPr>
    <w:r>
      <w:rPr>
        <w:color w:val="718096"/>
        <w:sz w:val="18"/>
      </w:rPr>
      <w:t>RAG: Retrieval-Augmented Generation</w:t>
    </w:r>
    <w:r>
      <w:rPr>
        <w:color w:val="00d4aa"/>
        <w:sz w:val="18"/>
      </w:rPr>
      <w:t xml:space="preserve">  |  </w:t>
    </w:r>
    <w:r>
      <w:rPr>
        <w:color w:val="718096"/>
        <w:sz w:val="18"/>
      </w:rPr>
      <w:t>Investigacion Tecnica</w:t>
    </w:r>
  </w:p>
</w:hdr>
</file>

<file path=word/numbering.xml><?xml version="1.0" encoding="utf-8"?>
<w:numbering xmlns:w="http://schemas.openxmlformats.org/wordprocessingml/2006/main">
  <w:abstractNum w:abstractNumId="1">
    <w:lvl w:ilvl="0">
      <w:start w:val="1"/>
      <w:numFmt w:val="decimal"/>
      <w:lvlText w:val="%1."/>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02c"/>
      <w:sz w:val="22"/>
    </w:rPr>
  </w:style>
  <w:style w:type="paragraph" w:styleId="Heading1">
    <w:name w:val="heading 1"/>
    <w:basedOn w:val="Normal"/>
    <w:pPr>
      <w:keepNext/>
      <w:keepLines/>
      <w:spacing w:before="480" w:after="240" w:line="240" w:lineRule="auto"/>
      <w:outlineLvl w:val="0"/>
    </w:pPr>
    <w:rPr>
      <w:b/>
      <w:color w:val="1a365d"/>
      <w:sz w:val="36"/>
    </w:rPr>
  </w:style>
  <w:style w:type="paragraph" w:styleId="Heading2">
    <w:name w:val="heading 2"/>
    <w:basedOn w:val="Normal"/>
    <w:pPr>
      <w:keepNext/>
      <w:keepLines/>
      <w:spacing w:before="360" w:after="160"/>
      <w:outlineLvl w:val="1"/>
    </w:pPr>
    <w:rPr>
      <w:b/>
      <w:color w:val="2b6cb0"/>
      <w:sz w:val="28"/>
    </w:rPr>
  </w:style>
  <w:style w:type="paragraph" w:styleId="Heading3">
    <w:name w:val="heading 3"/>
    <w:basedOn w:val="Normal"/>
    <w:pPr>
      <w:keepNext/>
      <w:keepLines/>
      <w:spacing w:before="280" w:after="120"/>
      <w:outlineLvl w:val="2"/>
    </w:pPr>
    <w:rPr>
      <w:b/>
      <w:color w:val="4a5568"/>
      <w:sz w:val="24"/>
    </w:rPr>
  </w:style>
  <w:style w:type="paragraph" w:styleId="Caption">
    <w:name w:val="Caption"/>
    <w:basedOn w:val="Normal"/>
    <w:pPr>
      <w:keepLines/>
      <w:spacing w:before="60" w:after="360"/>
      <w:jc w:val="center"/>
    </w:pPr>
    <w:rPr>
      <w:i/>
      <w:color w:val="4a5568"/>
      <w:sz w:val="20"/>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36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75173ed0468e4ef9" /><Relationship Type="http://schemas.openxmlformats.org/officeDocument/2006/relationships/numbering" Target="/word/numbering.xml" Id="R2bc005eba7f54088" /><Relationship Type="http://schemas.openxmlformats.org/officeDocument/2006/relationships/image" Target="/media/image.png" Id="R8f5b5d579b704b9c" /><Relationship Type="http://schemas.openxmlformats.org/officeDocument/2006/relationships/image" Target="/media/image2.png" Id="Rfff4ac8bc0f74a1c" /><Relationship Type="http://schemas.openxmlformats.org/officeDocument/2006/relationships/image" Target="/media/image3.png" Id="R7ce8e49310d5452e" /><Relationship Type="http://schemas.openxmlformats.org/officeDocument/2006/relationships/header" Target="/word/header1.xml" Id="R5d4ced014dd94491" /><Relationship Type="http://schemas.openxmlformats.org/officeDocument/2006/relationships/footer" Target="/word/footer1.xml" Id="Rf03db37582e246c6" /><Relationship Type="http://schemas.openxmlformats.org/officeDocument/2006/relationships/settings" Target="/word/settings.xml" Id="R2e8a981e9a334a65" /></Relationships>
</file>

<file path=word/_rels/header1.xml.rels>&#65279;<?xml version="1.0" encoding="utf-8"?><Relationships xmlns="http://schemas.openxmlformats.org/package/2006/relationships"><Relationship Type="http://schemas.openxmlformats.org/officeDocument/2006/relationships/image" Target="/media/image4.png" Id="R85ad0bc7bb0b4a6e" /></Relationships>
</file>