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presentations integrating financial analysis, sector trends, and performance data to support senior leadership in capital allocation and strategic planning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variance and sensitivity analyses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Worked cross-functionally </w:t>
      </w:r>
      <w:r>
        <w:rPr>
          <w:rFonts w:ascii="Garamond" w:eastAsia="Garamond" w:hAnsi="Garamond" w:cs="Garamond"/>
          <w:color w:val="000000"/>
          <w:sz w:val="21"/>
          <w:szCs w:val="21"/>
        </w:rPr>
        <w:t>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financial models for a 6-project, 35.4 MW Illinois solar portfolio, evaluating capital structure, DSCR, NPV,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Evaluated senior debt, sustainability-linked loan, and green loan + ABS financing structures, tax incentive impacts, and downside sensitivities</w:t>
      </w:r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LBO model for SJM and analyzed packaged-food precedent transactions in Capital IQ, assessing multiples and returns</w:t>
      </w:r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Finance:</w:t>
      </w:r>
      <w:r>
        <w:rPr>
          <w:rFonts w:ascii="Garamond" w:eastAsia="Garamond" w:hAnsi="Garamond" w:cs="Garamond"/>
          <w:sz w:val="21"/>
          <w:szCs w:val="21"/>
        </w:rPr>
        <w:t xml:space="preserve"> Financial Modeling, Valuation Analysis, Project Finance, Renewable Energy Finance, Due Diligence, Market Analysis, Investment Research, Financial Analysis, Data Presentation, Understanding of Financial Products, Bloomberg, S&amp;P Capital IQ</w:t>
      </w:r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