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Results - Modelling Financial Time series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086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073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Stock Metrics</w:t>
      </w:r>
    </w:p>
    <w:tbl>
      <w:tblPr>
        <w:tblStyle w:val="Table1"/>
        <w:tblW w:w="7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3045"/>
        <w:gridCol w:w="2355"/>
        <w:tblGridChange w:id="0">
          <w:tblGrid>
            <w:gridCol w:w="2595"/>
            <w:gridCol w:w="304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TabDDPM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EMD(1)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8.033986e-04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b w:val="1"/>
              </w:rPr>
            </w:pPr>
            <w:r w:rsidDel="00000000" w:rsidR="00000000" w:rsidRPr="00000000">
              <w:rPr>
                <w:b w:val="1"/>
                <w:rtl w:val="0"/>
              </w:rPr>
              <w:t xml:space="preserve">4.403211e-04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EMD(5)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2.058422e-03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rPr>
            </w:pPr>
            <w:r w:rsidDel="00000000" w:rsidR="00000000" w:rsidRPr="00000000">
              <w:rPr>
                <w:b w:val="1"/>
                <w:rtl w:val="0"/>
              </w:rPr>
              <w:t xml:space="preserve">1.818781e-03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EMD(20)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1.072807e-02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b w:val="1"/>
              </w:rPr>
            </w:pPr>
            <w:r w:rsidDel="00000000" w:rsidR="00000000" w:rsidRPr="00000000">
              <w:rPr>
                <w:b w:val="1"/>
                <w:rtl w:val="0"/>
              </w:rPr>
              <w:t xml:space="preserve">8.936049e-03</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EMD(100) ↓</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1.269983e-01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rPr>
            </w:pPr>
            <w:r w:rsidDel="00000000" w:rsidR="00000000" w:rsidRPr="00000000">
              <w:rPr>
                <w:b w:val="1"/>
                <w:rtl w:val="0"/>
              </w:rPr>
              <w:t xml:space="preserve">2.054403e-02</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K-S Test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(p-value) ↑</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42.455190%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b w:val="1"/>
              </w:rPr>
            </w:pPr>
            <w:r w:rsidDel="00000000" w:rsidR="00000000" w:rsidRPr="00000000">
              <w:rPr>
                <w:b w:val="1"/>
                <w:rtl w:val="0"/>
              </w:rPr>
              <w:t xml:space="preserve">96.380698%</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ACF(ᆞ) ↓</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1.211521e-01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b w:val="1"/>
              </w:rPr>
            </w:pPr>
            <w:r w:rsidDel="00000000" w:rsidR="00000000" w:rsidRPr="00000000">
              <w:rPr>
                <w:b w:val="1"/>
                <w:rtl w:val="0"/>
              </w:rPr>
              <w:t xml:space="preserve">1.056656e-01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ACF(|ᆞ|)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1.115744e-01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1.326045e-01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ACF((ᆞ)</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b w:val="1"/>
              </w:rPr>
            </w:pPr>
            <w:r w:rsidDel="00000000" w:rsidR="00000000" w:rsidRPr="00000000">
              <w:rPr>
                <w:b w:val="1"/>
                <w:rtl w:val="0"/>
              </w:rPr>
              <w:t xml:space="preserve">1.027946e-01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1.374898e-01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Leverage Effect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1.310409e-01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rPr>
            </w:pPr>
            <w:r w:rsidDel="00000000" w:rsidR="00000000" w:rsidRPr="00000000">
              <w:rPr>
                <w:b w:val="1"/>
                <w:rtl w:val="0"/>
              </w:rPr>
              <w:t xml:space="preserve">1.083866e-01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ACF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rPr>
            </w:pPr>
            <w:r w:rsidDel="00000000" w:rsidR="00000000" w:rsidRPr="00000000">
              <w:rPr>
                <w:b w:val="1"/>
                <w:rtl w:val="0"/>
              </w:rPr>
              <w:t xml:space="preserve">2.342331e-01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2.437218e-01</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06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4610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—-------------x—----------------x—--------------</w:t>
      </w:r>
    </w:p>
    <w:p w:rsidR="00000000" w:rsidDel="00000000" w:rsidP="00000000" w:rsidRDefault="00000000" w:rsidRPr="00000000" w14:paraId="00000038">
      <w:pPr>
        <w:numPr>
          <w:ilvl w:val="1"/>
          <w:numId w:val="1"/>
        </w:numPr>
        <w:ind w:left="720" w:hanging="360"/>
        <w:rPr>
          <w:b w:val="1"/>
        </w:rPr>
      </w:pPr>
      <w:r w:rsidDel="00000000" w:rsidR="00000000" w:rsidRPr="00000000">
        <w:rPr>
          <w:b w:val="1"/>
          <w:rtl w:val="0"/>
        </w:rPr>
        <w:t xml:space="preserve">Modified TabDDPM for structured data of options:</w:t>
      </w:r>
    </w:p>
    <w:p w:rsidR="00000000" w:rsidDel="00000000" w:rsidP="00000000" w:rsidRDefault="00000000" w:rsidRPr="00000000" w14:paraId="00000039">
      <w:pPr>
        <w:rPr/>
      </w:pPr>
      <w:r w:rsidDel="00000000" w:rsidR="00000000" w:rsidRPr="00000000">
        <w:rPr>
          <w:rtl w:val="0"/>
        </w:rPr>
        <w:t xml:space="preserve">The notion that each row of the data represents an i.i.d datapoint has always been an assumption that statisticians would like to mitigate. Options data is unique because some known information of a row can be injected in another row. A call option with strike A should always be sold at a discount to a call option with strike B when strike A &gt; strike B otherwise an arbitrage situation arises. SImilarly, on the other side of the coin, a put option with higher strike is the costlier contract. The reconstruction phase of variational encoder given forth by Dogariu et al.[16] inspired the injection of previous strike’s information in the modelling process.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x</w:t>
      </w:r>
      <w:r w:rsidDel="00000000" w:rsidR="00000000" w:rsidRPr="00000000">
        <w:rPr>
          <w:vertAlign w:val="subscript"/>
          <w:rtl w:val="0"/>
        </w:rPr>
        <w:t xml:space="preserve">i</w:t>
      </w:r>
      <w:r w:rsidDel="00000000" w:rsidR="00000000" w:rsidRPr="00000000">
        <w:rPr>
          <w:rtl w:val="0"/>
        </w:rPr>
        <w:t xml:space="preserve"> represents an option with a bigger strike than x</w:t>
      </w:r>
      <w:r w:rsidDel="00000000" w:rsidR="00000000" w:rsidRPr="00000000">
        <w:rPr>
          <w:vertAlign w:val="subscript"/>
          <w:rtl w:val="0"/>
        </w:rPr>
        <w:t xml:space="preserve">i-1</w:t>
      </w:r>
      <w:r w:rsidDel="00000000" w:rsidR="00000000" w:rsidRPr="00000000">
        <w:rPr>
          <w:rtl w:val="0"/>
        </w:rPr>
        <w:t xml:space="preserve">, then I propose the modified forward diffusion process such that q(x</w:t>
      </w:r>
      <w:r w:rsidDel="00000000" w:rsidR="00000000" w:rsidRPr="00000000">
        <w:rPr>
          <w:vertAlign w:val="subscript"/>
          <w:rtl w:val="0"/>
        </w:rPr>
        <w:t xml:space="preserve">T</w:t>
      </w:r>
      <w:r w:rsidDel="00000000" w:rsidR="00000000" w:rsidRPr="00000000">
        <w:rPr>
          <w:rtl w:val="0"/>
        </w:rPr>
        <w:t xml:space="preserve">) is a normal distribution with a mean that is the difference between x</w:t>
      </w:r>
      <w:r w:rsidDel="00000000" w:rsidR="00000000" w:rsidRPr="00000000">
        <w:rPr>
          <w:vertAlign w:val="subscript"/>
          <w:rtl w:val="0"/>
        </w:rPr>
        <w:t xml:space="preserve">i</w:t>
      </w:r>
      <w:r w:rsidDel="00000000" w:rsidR="00000000" w:rsidRPr="00000000">
        <w:rPr>
          <w:rtl w:val="0"/>
        </w:rPr>
        <w:t xml:space="preserve"> and x</w:t>
      </w:r>
      <w:r w:rsidDel="00000000" w:rsidR="00000000" w:rsidRPr="00000000">
        <w:rPr>
          <w:vertAlign w:val="subscript"/>
          <w:rtl w:val="0"/>
        </w:rPr>
        <w:t xml:space="preserve">i-1</w:t>
      </w:r>
      <w:r w:rsidDel="00000000" w:rsidR="00000000" w:rsidRPr="00000000">
        <w:rPr>
          <w:rtl w:val="0"/>
        </w:rPr>
        <w:t xml:space="preserve">. Thus, every price of subsequent strikes will be modelled from a translated normal distribution relative to the previous strike. So, (6) becomes - </w:t>
      </w:r>
    </w:p>
    <w:p w:rsidR="00000000" w:rsidDel="00000000" w:rsidP="00000000" w:rsidRDefault="00000000" w:rsidRPr="00000000" w14:paraId="0000003C">
      <w:pPr>
        <w:ind w:left="2160" w:firstLine="720"/>
        <w:rPr/>
      </w:pPr>
      <m:oMath>
        <m:r>
          <w:rPr/>
          <m:t xml:space="preserve">q(</m:t>
        </m:r>
        <m:sSub>
          <m:sSubPr>
            <m:ctrlPr>
              <w:rPr/>
            </m:ctrlPr>
          </m:sSubPr>
          <m:e>
            <m:r>
              <w:rPr/>
              <m:t xml:space="preserve">x</m:t>
            </m:r>
          </m:e>
          <m:sub>
            <m:r>
              <w:rPr/>
              <m:t xml:space="preserve">iT</m:t>
            </m:r>
          </m:sub>
        </m:sSub>
        <m:r>
          <w:rPr/>
          <m:t xml:space="preserve">) :=N(</m:t>
        </m:r>
        <m:sSub>
          <m:sSubPr>
            <m:ctrlPr>
              <w:rPr/>
            </m:ctrlPr>
          </m:sSubPr>
          <m:e>
            <m:r>
              <w:rPr/>
              <m:t xml:space="preserve">x</m:t>
            </m:r>
          </m:e>
          <m:sub>
            <m:r>
              <w:rPr/>
              <m:t xml:space="preserve">iT</m:t>
            </m:r>
          </m:sub>
        </m:sSub>
        <m:r>
          <w:rPr/>
          <m:t xml:space="preserve">;(P(</m:t>
        </m:r>
        <m:sSub>
          <m:sSubPr>
            <m:ctrlPr>
              <w:rPr/>
            </m:ctrlPr>
          </m:sSubPr>
          <m:e>
            <m:r>
              <w:rPr/>
              <m:t xml:space="preserve">x</m:t>
            </m:r>
          </m:e>
          <m:sub>
            <m:r>
              <w:rPr/>
              <m:t xml:space="preserve">i</m:t>
            </m:r>
          </m:sub>
        </m:sSub>
        <m:r>
          <w:rPr/>
          <m:t xml:space="preserve">)-P(</m:t>
        </m:r>
        <m:sSub>
          <m:sSubPr>
            <m:ctrlPr>
              <w:rPr/>
            </m:ctrlPr>
          </m:sSubPr>
          <m:e>
            <m:r>
              <w:rPr/>
              <m:t xml:space="preserve">x</m:t>
            </m:r>
          </m:e>
          <m:sub>
            <m:r>
              <w:rPr/>
              <m:t xml:space="preserve">i-1</m:t>
            </m:r>
          </m:sub>
        </m:sSub>
        <m:r>
          <w:rPr/>
          <m:t xml:space="preserve">),I)</m:t>
        </m:r>
      </m:oMath>
      <w:r w:rsidDel="00000000" w:rsidR="00000000" w:rsidRPr="00000000">
        <w:rPr>
          <w:rtl w:val="0"/>
        </w:rPr>
        <w:tab/>
        <w:tab/>
        <w:tab/>
        <w:tab/>
        <w:t xml:space="preserve">(15)</w:t>
      </w:r>
    </w:p>
    <w:p w:rsidR="00000000" w:rsidDel="00000000" w:rsidP="00000000" w:rsidRDefault="00000000" w:rsidRPr="00000000" w14:paraId="0000003D">
      <w:pPr>
        <w:rPr/>
      </w:pPr>
      <w:r w:rsidDel="00000000" w:rsidR="00000000" w:rsidRPr="00000000">
        <w:rPr>
          <w:rtl w:val="0"/>
        </w:rPr>
        <w:t xml:space="preserve">where </w:t>
      </w:r>
      <m:oMath>
        <m:sSub>
          <m:sSubPr>
            <m:ctrlPr>
              <w:rPr/>
            </m:ctrlPr>
          </m:sSubPr>
          <m:e>
            <m:r>
              <w:rPr/>
              <m:t xml:space="preserve">x</m:t>
            </m:r>
          </m:e>
          <m:sub>
            <m:r>
              <w:rPr/>
              <m:t xml:space="preserve">i</m:t>
            </m:r>
          </m:sub>
        </m:sSub>
      </m:oMath>
      <w:r w:rsidDel="00000000" w:rsidR="00000000" w:rsidRPr="00000000">
        <w:rPr>
          <w:rtl w:val="0"/>
        </w:rPr>
        <w:t xml:space="preserve"> is the price feature of x and P(x</w:t>
      </w:r>
      <w:r w:rsidDel="00000000" w:rsidR="00000000" w:rsidRPr="00000000">
        <w:rPr>
          <w:vertAlign w:val="subscript"/>
          <w:rtl w:val="0"/>
        </w:rPr>
        <w:t xml:space="preserve">i</w:t>
      </w:r>
      <w:r w:rsidDel="00000000" w:rsidR="00000000" w:rsidRPr="00000000">
        <w:rPr>
          <w:rtl w:val="0"/>
        </w:rPr>
        <w:t xml:space="preserve">) represents the price of the bigger strike whereas P(x</w:t>
      </w:r>
      <w:r w:rsidDel="00000000" w:rsidR="00000000" w:rsidRPr="00000000">
        <w:rPr>
          <w:vertAlign w:val="subscript"/>
          <w:rtl w:val="0"/>
        </w:rPr>
        <w:t xml:space="preserve">i-1</w:t>
      </w:r>
      <w:r w:rsidDel="00000000" w:rsidR="00000000" w:rsidRPr="00000000">
        <w:rPr>
          <w:rtl w:val="0"/>
        </w:rPr>
        <w:t xml:space="preserve">) represents the price of the smaller strike.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1">
        <w:r w:rsidDel="00000000" w:rsidR="00000000" w:rsidRPr="00000000">
          <w:rPr>
            <w:color w:val="1155cc"/>
            <w:u w:val="single"/>
            <w:rtl w:val="0"/>
          </w:rPr>
          <w:t xml:space="preserve">https://www.mdpi.com/1911-8074/15/10/461</w:t>
        </w:r>
      </w:hyperlink>
      <w:r w:rsidDel="00000000" w:rsidR="00000000" w:rsidRPr="00000000">
        <w:rPr>
          <w:rtl w:val="0"/>
        </w:rPr>
        <w:t xml:space="preserve"> - On Financial Distributions Modelling Methods: Application on Regression Models for Time Series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2">
        <w:r w:rsidDel="00000000" w:rsidR="00000000" w:rsidRPr="00000000">
          <w:rPr>
            <w:color w:val="1155cc"/>
            <w:u w:val="single"/>
            <w:rtl w:val="0"/>
          </w:rPr>
          <w:t xml:space="preserve">https://books.google.com/books?hl=en&amp;lr=&amp;id=KQ5pDQAAQBAJ&amp;oi=fnd&amp;pg=PR7&amp;dq=modelling+financial+time+series+distribution&amp;ots=ndUJWiqyLO&amp;sig=GhrEyeflWmZsDWw9-drZEwI4p0o#v=onepage&amp;q=modelling%20financial%20time%20series%20distribution&amp;f=false</w:t>
        </w:r>
      </w:hyperlink>
      <w:r w:rsidDel="00000000" w:rsidR="00000000" w:rsidRPr="00000000">
        <w:rPr>
          <w:rtl w:val="0"/>
        </w:rPr>
        <w:t xml:space="preserve"> - Modelling Financial Time Series (2nd Edition)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13">
        <w:r w:rsidDel="00000000" w:rsidR="00000000" w:rsidRPr="00000000">
          <w:rPr>
            <w:color w:val="1155cc"/>
            <w:u w:val="single"/>
            <w:rtl w:val="0"/>
          </w:rPr>
          <w:t xml:space="preserve">https://link.springer.com/chapter/10.1007/978-88-470-0502-0_19</w:t>
        </w:r>
      </w:hyperlink>
      <w:r w:rsidDel="00000000" w:rsidR="00000000" w:rsidRPr="00000000">
        <w:rPr>
          <w:rtl w:val="0"/>
        </w:rPr>
        <w:t xml:space="preserve"> - Modelling Finanacial Time Series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1080" w:hanging="360"/>
      </w:pPr>
      <w:rPr>
        <w:rFonts w:ascii="Arial" w:cs="Arial" w:eastAsia="Arial" w:hAnsi="Arial"/>
        <w:b w:val="0"/>
        <w:i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1911-8074/15/10/461" TargetMode="External"/><Relationship Id="rId10" Type="http://schemas.openxmlformats.org/officeDocument/2006/relationships/image" Target="media/image5.png"/><Relationship Id="rId13" Type="http://schemas.openxmlformats.org/officeDocument/2006/relationships/hyperlink" Target="https://link.springer.com/chapter/10.1007/978-88-470-0502-0_19" TargetMode="External"/><Relationship Id="rId12" Type="http://schemas.openxmlformats.org/officeDocument/2006/relationships/hyperlink" Target="https://books.google.com/books?hl=en&amp;lr=&amp;id=KQ5pDQAAQBAJ&amp;oi=fnd&amp;pg=PR7&amp;dq=modelling+financial+time+series+distribution&amp;ots=ndUJWiqyLO&amp;sig=GhrEyeflWmZsDWw9-drZEwI4p0o#v=onepage&amp;q=modelling%20financial%20time%20series%20distribution&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