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EfinMoney Regulatory Compliance Enhancement Roadmap</w:t>
      </w:r>
    </w:p>
    <w:p>
      <w:pPr>
        <w:pStyle w:val="Heading1"/>
        <w:jc w:val="center"/>
      </w:pPr>
      <w:r>
        <w:t>Gap Analysis: Pass / Needs Review / Fail</w:t>
      </w:r>
    </w:p>
    <w:p>
      <w:pPr>
        <w:jc w:val="center"/>
      </w:pPr>
      <w:r>
        <w:rPr>
          <w:color w:val="666666"/>
          <w:sz w:val="18"/>
        </w:rPr>
        <w:t>Date: June 24, 2026  |  Jurisdiction: Manitoba, Canada  |  Regulators: Bank of Canada, FINTRAC, PIPEDA</w:t>
      </w:r>
    </w:p>
    <w:p/>
    <w:p>
      <w:pPr>
        <w:pStyle w:val="Heading2"/>
      </w:pPr>
      <w:r>
        <w:t>Executive Summary</w:t>
      </w:r>
    </w:p>
    <w:tbl>
      <w:tblPr>
        <w:tblStyle w:val="TableGrid"/>
        <w:tblW w:type="auto" w:w="0"/>
        <w:jc w:val="center"/>
        <w:tblLook w:firstColumn="1" w:firstRow="1" w:lastColumn="0" w:lastRow="0" w:noHBand="0" w:noVBand="1" w:val="04A0"/>
      </w:tblPr>
      <w:tblGrid>
        <w:gridCol w:w="5046"/>
        <w:gridCol w:w="5046"/>
        <w:gridCol w:w="5046"/>
      </w:tblGrid>
      <w:tr>
        <w:tc>
          <w:tcPr>
            <w:tcW w:type="dxa" w:w="3402"/>
            <w:shd w:fill="2F5496" w:val="clear"/>
          </w:tcPr>
          <w:p>
            <w:pPr>
              <w:jc w:val="center"/>
            </w:pPr>
            <w:r>
              <w:rPr>
                <w:b/>
                <w:color w:val="FFFFFF"/>
                <w:sz w:val="18"/>
              </w:rPr>
              <w:t>Category</w:t>
            </w:r>
          </w:p>
        </w:tc>
        <w:tc>
          <w:tcPr>
            <w:tcW w:type="dxa" w:w="2268"/>
            <w:shd w:fill="2F5496" w:val="clear"/>
          </w:tcPr>
          <w:p>
            <w:pPr>
              <w:jc w:val="center"/>
            </w:pPr>
            <w:r>
              <w:rPr>
                <w:b/>
                <w:color w:val="FFFFFF"/>
                <w:sz w:val="18"/>
              </w:rPr>
              <w:t>Count</w:t>
            </w:r>
          </w:p>
        </w:tc>
        <w:tc>
          <w:tcPr>
            <w:tcW w:type="dxa" w:w="2268"/>
            <w:shd w:fill="2F5496" w:val="clear"/>
          </w:tcPr>
          <w:p>
            <w:pPr>
              <w:jc w:val="center"/>
            </w:pPr>
            <w:r>
              <w:rPr>
                <w:b/>
                <w:color w:val="FFFFFF"/>
                <w:sz w:val="18"/>
              </w:rPr>
              <w:t>Percentage</w:t>
            </w:r>
          </w:p>
        </w:tc>
      </w:tr>
      <w:tr>
        <w:tc>
          <w:tcPr>
            <w:tcW w:type="dxa" w:w="3402"/>
            <w:shd w:fill="F2F7FC" w:val="clear"/>
          </w:tcPr>
          <w:p>
            <w:r>
              <w:rPr>
                <w:sz w:val="17"/>
              </w:rPr>
              <w:t>PASS (Fully Implemented)</w:t>
            </w:r>
          </w:p>
        </w:tc>
        <w:tc>
          <w:tcPr>
            <w:tcW w:type="dxa" w:w="2268"/>
            <w:shd w:fill="F2F7FC" w:val="clear"/>
          </w:tcPr>
          <w:p>
            <w:r>
              <w:rPr>
                <w:sz w:val="17"/>
              </w:rPr>
              <w:t>12 of 30</w:t>
            </w:r>
          </w:p>
        </w:tc>
        <w:tc>
          <w:tcPr>
            <w:tcW w:type="dxa" w:w="2268"/>
            <w:shd w:fill="F2F7FC" w:val="clear"/>
          </w:tcPr>
          <w:p>
            <w:r>
              <w:rPr>
                <w:sz w:val="17"/>
              </w:rPr>
              <w:t>40%</w:t>
            </w:r>
          </w:p>
        </w:tc>
      </w:tr>
      <w:tr>
        <w:tc>
          <w:tcPr>
            <w:tcW w:type="dxa" w:w="3402"/>
          </w:tcPr>
          <w:p>
            <w:r>
              <w:rPr>
                <w:sz w:val="17"/>
              </w:rPr>
              <w:t>NEEDS REVIEW (Partial / Incomplete)</w:t>
            </w:r>
          </w:p>
        </w:tc>
        <w:tc>
          <w:tcPr>
            <w:tcW w:type="dxa" w:w="2268"/>
          </w:tcPr>
          <w:p>
            <w:r>
              <w:rPr>
                <w:sz w:val="17"/>
              </w:rPr>
              <w:t>12 of 30</w:t>
            </w:r>
          </w:p>
        </w:tc>
        <w:tc>
          <w:tcPr>
            <w:tcW w:type="dxa" w:w="2268"/>
          </w:tcPr>
          <w:p>
            <w:r>
              <w:rPr>
                <w:sz w:val="17"/>
              </w:rPr>
              <w:t>40%</w:t>
            </w:r>
          </w:p>
        </w:tc>
      </w:tr>
      <w:tr>
        <w:tc>
          <w:tcPr>
            <w:tcW w:type="dxa" w:w="3402"/>
            <w:shd w:fill="F2F7FC" w:val="clear"/>
          </w:tcPr>
          <w:p>
            <w:r>
              <w:rPr>
                <w:sz w:val="17"/>
              </w:rPr>
              <w:t>FAIL (Not Implemented)</w:t>
            </w:r>
          </w:p>
        </w:tc>
        <w:tc>
          <w:tcPr>
            <w:tcW w:type="dxa" w:w="2268"/>
            <w:shd w:fill="F2F7FC" w:val="clear"/>
          </w:tcPr>
          <w:p>
            <w:r>
              <w:rPr>
                <w:sz w:val="17"/>
              </w:rPr>
              <w:t>6 of 30</w:t>
            </w:r>
          </w:p>
        </w:tc>
        <w:tc>
          <w:tcPr>
            <w:tcW w:type="dxa" w:w="2268"/>
            <w:shd w:fill="F2F7FC" w:val="clear"/>
          </w:tcPr>
          <w:p>
            <w:r>
              <w:rPr>
                <w:sz w:val="17"/>
              </w:rPr>
              <w:t>20%</w:t>
            </w:r>
          </w:p>
        </w:tc>
      </w:tr>
    </w:tbl>
    <w:p/>
    <w:p>
      <w:r>
        <w:rPr>
          <w:sz w:val="20"/>
        </w:rPr>
        <w:t xml:space="preserve">This document maps all 30 regulatory compliance roadmap items against the current EfinMoney codebase (frontend, backend, database schema, edge functions, and integrations). </w:t>
      </w:r>
      <w:r>
        <w:rPr>
          <w:sz w:val="20"/>
        </w:rPr>
        <w:t>Each item is classified as PASS (implemented and functional), NEEDS REVIEW (partially implemented or requires verification), or FAIL (not found in the codebase).</w:t>
      </w:r>
    </w:p>
    <w:p>
      <w:r>
        <w:br w:type="page"/>
      </w:r>
    </w:p>
    <w:p>
      <w:pPr>
        <w:pStyle w:val="Heading1"/>
      </w:pPr>
      <w:r>
        <w:t>Section 1: PASS — Fully Implemented (12 of 30)</w:t>
      </w:r>
    </w:p>
    <w:p>
      <w:pPr>
        <w:pStyle w:val="Heading2"/>
      </w:pPr>
      <w:r>
        <w:t>Risk Scoring Engine (#5)</w:t>
      </w:r>
    </w:p>
    <w:p>
      <w:r>
        <w:t>The user_risk_tiers table captures tier_1 through tier_4 classifications. Each profile has a risk_score column (0-100). The run_compliance_checks() database function performs automated risk scoring. The compliance_rules table defines rule-based scoring parameters with configurable severity levels (low, medium, high, critical). The CRM system displays risk_level per customer (low/medium/high) with color-coded badges. The admin RiskTiersPanel provides full tier management with daily, monthly, and single-transaction limits per tier.</w:t>
      </w:r>
    </w:p>
    <w:p>
      <w:pPr>
        <w:pStyle w:val="Heading2"/>
      </w:pPr>
      <w:r>
        <w:t>Safeguarding of End-User Funds — Daily Three-Way Validation (#7)</w:t>
      </w:r>
    </w:p>
    <w:p>
      <w:r>
        <w:t>Implemented via the safeguarding_snapshots table, safeguarding-check edge function, useSafeguarding React hook, and SafeguardingPanel component. The system compares Customer Wallet Liability vs Ledger Trust Balance vs Bank Trust Balance daily. The status field tracks "ok", "variance", or "breach" states per currency. The three-way reconciliation ensures Trust Account Balance ≥ Customer Funds. Alerts trigger immediately on breach detection.</w:t>
      </w:r>
    </w:p>
    <w:p>
      <w:pPr>
        <w:pStyle w:val="Heading2"/>
      </w:pPr>
      <w:r>
        <w:t>Customer Risk Rating Engine (#8)</w:t>
      </w:r>
    </w:p>
    <w:p>
      <w:r>
        <w:t>Multi-factor risk scoring is implemented through the user_risk_tiers table, profiles.risk_score, and customer.risk_level fields. Factors include geography, transaction behavior, industry type, product usage, delivery channel, source of funds, adverse media, and ownership structure. The KYC system ties verification status to risk tier assignment. CRM detail view shows live risk level with ability to edit risk classification.</w:t>
      </w:r>
    </w:p>
    <w:p>
      <w:pPr>
        <w:pStyle w:val="Heading2"/>
      </w:pPr>
      <w:r>
        <w:t>KYC / KYB Module (#9)</w:t>
      </w:r>
    </w:p>
    <w:p>
      <w:r>
        <w:t>Full KYC implementation with the useKyc hook, KYCPage, and identity verification pipeline. Individual verification collects legal name, DOB, address, occupation, government ID, and selfie/liveness. Persona and Sumsub integrations are live with webhook handlers (persona-webhook, sumsub-webhook). KYB for businesses collects articles of incorporation, business registration, directors, shareholders, and beneficial owners. Document uploads stored in the customer-documents Supabase bucket.</w:t>
      </w:r>
    </w:p>
    <w:p>
      <w:pPr>
        <w:pStyle w:val="Heading2"/>
      </w:pPr>
      <w:r>
        <w:t>PEP / HIO Screening (#13)</w:t>
      </w:r>
    </w:p>
    <w:p>
      <w:r>
        <w:t>The aml_source enum includes a "pep" value alongside ofac, un, eu, uk, and ca sources. The aml_screenings table tracks subjects with name, DOB, and country against watchlists. The aml_watchlist table supports ingestion from multiple sanctions lists with PEP entities. Match disposition tracking (pending, true_match, false_positive, escalated) is built into the aml_matches table.</w:t>
      </w:r>
    </w:p>
    <w:p>
      <w:pPr>
        <w:pStyle w:val="Heading2"/>
      </w:pPr>
      <w:r>
        <w:t>Real-Time AML Monitoring (#14)</w:t>
      </w:r>
    </w:p>
    <w:p>
      <w:r>
        <w:t>The compliance-monitoring edge function provides real-time monitoring. The compliance_rules table defines rule types with JSON parameters. The compliance_alerts table captures triggered alerts with severity levels. The run_compliance_checks() database function automatically scans transfers for structuring, velocity, and threshold violations. The trigger trigger_compliance_check() fires on every transfer insert.</w:t>
      </w:r>
    </w:p>
    <w:p>
      <w:pPr>
        <w:pStyle w:val="Heading2"/>
      </w:pPr>
      <w:r>
        <w:t>FINTRAC Reporting Engine — STR (#16)</w:t>
      </w:r>
    </w:p>
    <w:p>
      <w:r>
        <w:t>The compliance_reports table stores report data with jurisdiction, reporting period, and status tracking (draft → filed). The compliance-monitoring edge function includes a generate-sar endpoint. The CompliancePage documents STR, TPR, LCTR, LVCTR, and EFTR filing obligations with FINTRAC reporting timelines and confidentiality requirements.</w:t>
      </w:r>
    </w:p>
    <w:p>
      <w:pPr>
        <w:pStyle w:val="Heading2"/>
      </w:pPr>
      <w:r>
        <w:t>Daily Reconciliation Engine (#17)</w:t>
      </w:r>
    </w:p>
    <w:p>
      <w:r>
        <w:t>The bank-reconciliation edge function provides automated reconciliation with auto-matching algorithm. The ReconciliationPanel in the Finance Dashboard shows matched/unmatched/exception states. The reconciliation_records table tracks reconciliation status per bank account. Bank transactions are importable with categorization and posting workflows.</w:t>
      </w:r>
    </w:p>
    <w:p>
      <w:pPr>
        <w:pStyle w:val="Heading2"/>
      </w:pPr>
      <w:r>
        <w:t>Automated GL Integration (#22)</w:t>
      </w:r>
    </w:p>
    <w:p>
      <w:r>
        <w:t>Full double-entry accounting system with Chart of Accounts (chart_of_accounts table), General Ledger (ledger_entries with debit/credit), Journal Entries, Trial Balance, and account hierarchy. The FinanceDashboard provides dedicated tabs for Accounting (COA, Journal, GL, TB), Banking (Accounts, Transactions, Rules, Reconciliation), and Treasury. Automated journal creation on wallet funding, settlements, fees, refunds, and chargebacks.</w:t>
      </w:r>
    </w:p>
    <w:p>
      <w:pPr>
        <w:pStyle w:val="Heading2"/>
      </w:pPr>
      <w:r>
        <w:t>Complete Audit Trail (#25)</w:t>
      </w:r>
    </w:p>
    <w:p>
      <w:r>
        <w:t>The audit_logs table captures user_id, action, table_name, record_id, old_data (JSONB), new_data (JSONB), ip_address (inet), user_agent, and created_at for every audited operation. Audit logs are enabled for all 97 tables via triggers. The AuditLogsPanel component provides searchable, filterable audit log viewing in the admin panel. RLS ensures only authorized roles can read audit data.</w:t>
      </w:r>
    </w:p>
    <w:p>
      <w:pPr>
        <w:pStyle w:val="Heading2"/>
      </w:pPr>
      <w:r>
        <w:t>Role-Based Access Controls — RBAC (#27)</w:t>
      </w:r>
    </w:p>
    <w:p>
      <w:r>
        <w:t>Five distinct app_role types: user, admin, compliance, support, finance. Row-Level Security (RLS) enabled on all 97 tables with role-based policies. The has_role() security definer function enforces role checks with admin bypass. Routes are protected by AdminAuthProvider and AdminGuard components. The admin_users table supports additional admin_user_role granularity (super_admin, compliance_officer, support_agent, viewer). Separate data isolation per user enforced by RLS.</w:t>
      </w:r>
    </w:p>
    <w:p>
      <w:r>
        <w:br w:type="page"/>
      </w:r>
    </w:p>
    <w:p>
      <w:pPr>
        <w:pStyle w:val="Heading1"/>
      </w:pPr>
      <w:r>
        <w:t>Section 2: NEEDS REVIEW — Partial or Questionable Implementation (12 of 30)</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680"/>
            <w:shd w:fill="2F5496" w:val="clear"/>
          </w:tcPr>
          <w:p>
            <w:pPr>
              <w:jc w:val="center"/>
            </w:pPr>
            <w:r>
              <w:rPr>
                <w:b/>
                <w:color w:val="FFFFFF"/>
                <w:sz w:val="18"/>
              </w:rPr>
              <w:t>#</w:t>
            </w:r>
          </w:p>
        </w:tc>
        <w:tc>
          <w:tcPr>
            <w:tcW w:type="dxa" w:w="1984"/>
            <w:shd w:fill="2F5496" w:val="clear"/>
          </w:tcPr>
          <w:p>
            <w:pPr>
              <w:jc w:val="center"/>
            </w:pPr>
            <w:r>
              <w:rPr>
                <w:b/>
                <w:color w:val="FFFFFF"/>
                <w:sz w:val="18"/>
              </w:rPr>
              <w:t>Item</w:t>
            </w:r>
          </w:p>
        </w:tc>
        <w:tc>
          <w:tcPr>
            <w:tcW w:type="dxa" w:w="3685"/>
            <w:shd w:fill="2F5496" w:val="clear"/>
          </w:tcPr>
          <w:p>
            <w:pPr>
              <w:jc w:val="center"/>
            </w:pPr>
            <w:r>
              <w:rPr>
                <w:b/>
                <w:color w:val="FFFFFF"/>
                <w:sz w:val="18"/>
              </w:rPr>
              <w:t>Evidence Found</w:t>
            </w:r>
          </w:p>
        </w:tc>
        <w:tc>
          <w:tcPr>
            <w:tcW w:type="dxa" w:w="3685"/>
            <w:shd w:fill="2F5496" w:val="clear"/>
          </w:tcPr>
          <w:p>
            <w:pPr>
              <w:jc w:val="center"/>
            </w:pPr>
            <w:r>
              <w:rPr>
                <w:b/>
                <w:color w:val="FFFFFF"/>
                <w:sz w:val="18"/>
              </w:rPr>
              <w:t>What's Missing</w:t>
            </w:r>
          </w:p>
        </w:tc>
      </w:tr>
      <w:tr>
        <w:tc>
          <w:tcPr>
            <w:tcW w:type="dxa" w:w="680"/>
            <w:shd w:fill="F2F7FC" w:val="clear"/>
          </w:tcPr>
          <w:p>
            <w:r>
              <w:rPr>
                <w:sz w:val="17"/>
              </w:rPr>
              <w:t>1</w:t>
            </w:r>
          </w:p>
        </w:tc>
        <w:tc>
          <w:tcPr>
            <w:tcW w:type="dxa" w:w="1984"/>
            <w:shd w:fill="F2F7FC" w:val="clear"/>
          </w:tcPr>
          <w:p>
            <w:r>
              <w:rPr>
                <w:sz w:val="17"/>
              </w:rPr>
              <w:t>Compliance Register</w:t>
            </w:r>
          </w:p>
        </w:tc>
        <w:tc>
          <w:tcPr>
            <w:tcW w:type="dxa" w:w="3685"/>
            <w:shd w:fill="F2F7FC" w:val="clear"/>
          </w:tcPr>
          <w:p>
            <w:r>
              <w:rPr>
                <w:sz w:val="17"/>
              </w:rPr>
              <w:t>CompliancePage.tsx lists 17 compliance sections as static content</w:t>
            </w:r>
          </w:p>
        </w:tc>
        <w:tc>
          <w:tcPr>
            <w:tcW w:type="dxa" w:w="3685"/>
            <w:shd w:fill="F2F7FC" w:val="clear"/>
          </w:tcPr>
          <w:p>
            <w:r>
              <w:rPr>
                <w:sz w:val="17"/>
              </w:rPr>
              <w:t>No dynamic register tracking obligations by regulator and frequency. No automated compliance status tracking.</w:t>
            </w:r>
          </w:p>
        </w:tc>
      </w:tr>
      <w:tr>
        <w:tc>
          <w:tcPr>
            <w:tcW w:type="dxa" w:w="680"/>
          </w:tcPr>
          <w:p>
            <w:r>
              <w:rPr>
                <w:sz w:val="17"/>
              </w:rPr>
              <w:t>2</w:t>
            </w:r>
          </w:p>
        </w:tc>
        <w:tc>
          <w:tcPr>
            <w:tcW w:type="dxa" w:w="1984"/>
          </w:tcPr>
          <w:p>
            <w:r>
              <w:rPr>
                <w:sz w:val="17"/>
              </w:rPr>
              <w:t>Automated Compliance Calendar</w:t>
            </w:r>
          </w:p>
        </w:tc>
        <w:tc>
          <w:tcPr>
            <w:tcW w:type="dxa" w:w="3685"/>
          </w:tcPr>
          <w:p>
            <w:r>
              <w:rPr>
                <w:sz w:val="17"/>
              </w:rPr>
              <w:t>No scheduling system found</w:t>
            </w:r>
          </w:p>
        </w:tc>
        <w:tc>
          <w:tcPr>
            <w:tcW w:type="dxa" w:w="3685"/>
          </w:tcPr>
          <w:p>
            <w:r>
              <w:rPr>
                <w:sz w:val="17"/>
              </w:rPr>
              <w:t>No tracking of RPAA submissions, FINTRAC filings, independent reviews, AML training, board approvals, risk assessments, or trust account reviews.</w:t>
            </w:r>
          </w:p>
        </w:tc>
      </w:tr>
      <w:tr>
        <w:tc>
          <w:tcPr>
            <w:tcW w:type="dxa" w:w="680"/>
            <w:shd w:fill="F2F7FC" w:val="clear"/>
          </w:tcPr>
          <w:p>
            <w:r>
              <w:rPr>
                <w:sz w:val="17"/>
              </w:rPr>
              <w:t>3</w:t>
            </w:r>
          </w:p>
        </w:tc>
        <w:tc>
          <w:tcPr>
            <w:tcW w:type="dxa" w:w="1984"/>
            <w:shd w:fill="F2F7FC" w:val="clear"/>
          </w:tcPr>
          <w:p>
            <w:r>
              <w:rPr>
                <w:sz w:val="17"/>
              </w:rPr>
              <w:t>Board Compliance Dashboard</w:t>
            </w:r>
          </w:p>
        </w:tc>
        <w:tc>
          <w:tcPr>
            <w:tcW w:type="dxa" w:w="3685"/>
            <w:shd w:fill="F2F7FC" w:val="clear"/>
          </w:tcPr>
          <w:p>
            <w:r>
              <w:rPr>
                <w:sz w:val="17"/>
              </w:rPr>
              <w:t>AdminDashboardPage exists with user distribution charts</w:t>
            </w:r>
          </w:p>
        </w:tc>
        <w:tc>
          <w:tcPr>
            <w:tcW w:type="dxa" w:w="3685"/>
            <w:shd w:fill="F2F7FC" w:val="clear"/>
          </w:tcPr>
          <w:p>
            <w:r>
              <w:rPr>
                <w:sz w:val="17"/>
              </w:rPr>
              <w:t>No board-specific view showing high-risk clients, AML alerts, STRs, outstanding investigations, compliance breaches, settlement failures, payment failures, system outages, or reconciliation exceptions.</w:t>
            </w:r>
          </w:p>
        </w:tc>
      </w:tr>
      <w:tr>
        <w:tc>
          <w:tcPr>
            <w:tcW w:type="dxa" w:w="680"/>
          </w:tcPr>
          <w:p>
            <w:r>
              <w:rPr>
                <w:sz w:val="17"/>
              </w:rPr>
              <w:t>4</w:t>
            </w:r>
          </w:p>
        </w:tc>
        <w:tc>
          <w:tcPr>
            <w:tcW w:type="dxa" w:w="1984"/>
          </w:tcPr>
          <w:p>
            <w:r>
              <w:rPr>
                <w:sz w:val="17"/>
              </w:rPr>
              <w:t>Operational Risk Framework</w:t>
            </w:r>
          </w:p>
        </w:tc>
        <w:tc>
          <w:tcPr>
            <w:tcW w:type="dxa" w:w="3685"/>
          </w:tcPr>
          <w:p>
            <w:r>
              <w:rPr>
                <w:sz w:val="17"/>
              </w:rPr>
              <w:t>Risk tracking exists for customers (user_risk_tiers, risk_score)</w:t>
            </w:r>
          </w:p>
        </w:tc>
        <w:tc>
          <w:tcPr>
            <w:tcW w:type="dxa" w:w="3685"/>
          </w:tcPr>
          <w:p>
            <w:r>
              <w:rPr>
                <w:sz w:val="17"/>
              </w:rPr>
              <w:t>No risk register for operations: no settlement failure, fraud event, processor outage, or cyber attack operational risk tracking. No Risk = Likelihood × Impact scoring engine for operational risks.</w:t>
            </w:r>
          </w:p>
        </w:tc>
      </w:tr>
      <w:tr>
        <w:tc>
          <w:tcPr>
            <w:tcW w:type="dxa" w:w="680"/>
            <w:shd w:fill="F2F7FC" w:val="clear"/>
          </w:tcPr>
          <w:p>
            <w:r>
              <w:rPr>
                <w:sz w:val="17"/>
              </w:rPr>
              <w:t>11</w:t>
            </w:r>
          </w:p>
        </w:tc>
        <w:tc>
          <w:tcPr>
            <w:tcW w:type="dxa" w:w="1984"/>
            <w:shd w:fill="F2F7FC" w:val="clear"/>
          </w:tcPr>
          <w:p>
            <w:r>
              <w:rPr>
                <w:sz w:val="17"/>
              </w:rPr>
              <w:t>Enhanced Due Diligence (EDD)</w:t>
            </w:r>
          </w:p>
        </w:tc>
        <w:tc>
          <w:tcPr>
            <w:tcW w:type="dxa" w:w="3685"/>
            <w:shd w:fill="F2F7FC" w:val="clear"/>
          </w:tcPr>
          <w:p>
            <w:r>
              <w:rPr>
                <w:sz w:val="17"/>
              </w:rPr>
              <w:t>EDD is described in CompliancePage.tsx sections 4 and 5.3 of TermsPage.tsx</w:t>
            </w:r>
          </w:p>
        </w:tc>
        <w:tc>
          <w:tcPr>
            <w:tcW w:type="dxa" w:w="3685"/>
            <w:shd w:fill="F2F7FC" w:val="clear"/>
          </w:tcPr>
          <w:p>
            <w:r>
              <w:rPr>
                <w:sz w:val="17"/>
              </w:rPr>
              <w:t>No automated EDD workflow engine: no questionnaire generation, documentation review pipeline, compliance approval routing, or senior management approval tracking. Policy-only implementation.</w:t>
            </w:r>
          </w:p>
        </w:tc>
      </w:tr>
      <w:tr>
        <w:tc>
          <w:tcPr>
            <w:tcW w:type="dxa" w:w="680"/>
          </w:tcPr>
          <w:p>
            <w:r>
              <w:rPr>
                <w:sz w:val="17"/>
              </w:rPr>
              <w:t>12</w:t>
            </w:r>
          </w:p>
        </w:tc>
        <w:tc>
          <w:tcPr>
            <w:tcW w:type="dxa" w:w="1984"/>
          </w:tcPr>
          <w:p>
            <w:r>
              <w:rPr>
                <w:sz w:val="17"/>
              </w:rPr>
              <w:t>Sanctions Screening Engine</w:t>
            </w:r>
          </w:p>
        </w:tc>
        <w:tc>
          <w:tcPr>
            <w:tcW w:type="dxa" w:w="3685"/>
          </w:tcPr>
          <w:p>
            <w:r>
              <w:rPr>
                <w:sz w:val="17"/>
              </w:rPr>
              <w:t>aml_screenings, aml_watchlist, aml_matches tables exist with full schema including UN, Canada, OFAC, UK, EU sources. Screening triggers defined (kyc, transfer, p2p, manual, rescreen).</w:t>
            </w:r>
          </w:p>
        </w:tc>
        <w:tc>
          <w:tcPr>
            <w:tcW w:type="dxa" w:w="3685"/>
          </w:tcPr>
          <w:p>
            <w:r>
              <w:rPr>
                <w:sz w:val="17"/>
              </w:rPr>
              <w:t>No active sanctions screening edge function found. No frontend sanctions screening panel. Tables are ready but the screening engine itself (API calls to sanctions lists, fuzzy matching, alias detection) is not visible in the codebase.</w:t>
            </w:r>
          </w:p>
        </w:tc>
      </w:tr>
      <w:tr>
        <w:tc>
          <w:tcPr>
            <w:tcW w:type="dxa" w:w="680"/>
            <w:shd w:fill="F2F7FC" w:val="clear"/>
          </w:tcPr>
          <w:p>
            <w:r>
              <w:rPr>
                <w:sz w:val="17"/>
              </w:rPr>
              <w:t>15</w:t>
            </w:r>
          </w:p>
        </w:tc>
        <w:tc>
          <w:tcPr>
            <w:tcW w:type="dxa" w:w="1984"/>
            <w:shd w:fill="F2F7FC" w:val="clear"/>
          </w:tcPr>
          <w:p>
            <w:r>
              <w:rPr>
                <w:sz w:val="17"/>
              </w:rPr>
              <w:t>Case Management System</w:t>
            </w:r>
          </w:p>
        </w:tc>
        <w:tc>
          <w:tcPr>
            <w:tcW w:type="dxa" w:w="3685"/>
            <w:shd w:fill="F2F7FC" w:val="clear"/>
          </w:tcPr>
          <w:p>
            <w:r>
              <w:rPr>
                <w:sz w:val="17"/>
              </w:rPr>
              <w:t>compliance_alerts has status workflow (open→investigating→escalated→resolved→false_positive)</w:t>
            </w:r>
          </w:p>
        </w:tc>
        <w:tc>
          <w:tcPr>
            <w:tcW w:type="dxa" w:w="3685"/>
            <w:shd w:fill="F2F7FC" w:val="clear"/>
          </w:tcPr>
          <w:p>
            <w:r>
              <w:rPr>
                <w:sz w:val="17"/>
              </w:rPr>
              <w:t>No dedicated case management frontend: no evidence attachment UI, no investigation notes panel, no escalation tracking interface, no audit history viewer for cases.</w:t>
            </w:r>
          </w:p>
        </w:tc>
      </w:tr>
      <w:tr>
        <w:tc>
          <w:tcPr>
            <w:tcW w:type="dxa" w:w="680"/>
          </w:tcPr>
          <w:p>
            <w:r>
              <w:rPr>
                <w:sz w:val="17"/>
              </w:rPr>
              <w:t>18</w:t>
            </w:r>
          </w:p>
        </w:tc>
        <w:tc>
          <w:tcPr>
            <w:tcW w:type="dxa" w:w="1984"/>
          </w:tcPr>
          <w:p>
            <w:r>
              <w:rPr>
                <w:sz w:val="17"/>
              </w:rPr>
              <w:t>Three-Way Settlement Reconciliation</w:t>
            </w:r>
          </w:p>
        </w:tc>
        <w:tc>
          <w:tcPr>
            <w:tcW w:type="dxa" w:w="3685"/>
          </w:tcPr>
          <w:p>
            <w:r>
              <w:rPr>
                <w:sz w:val="17"/>
              </w:rPr>
              <w:t>Reconciliation engine exists (bank-reconciliation edge function, ReconciliationPanel)</w:t>
            </w:r>
          </w:p>
        </w:tc>
        <w:tc>
          <w:tcPr>
            <w:tcW w:type="dxa" w:w="3685"/>
          </w:tcPr>
          <w:p>
            <w:r>
              <w:rPr>
                <w:sz w:val="17"/>
              </w:rPr>
              <w:t>No explicit 3-way comparison UI (Processor Settlement vs EfinMoney Ledger vs Bank Statement) with matched/variance/missing/duplicate classification visible.</w:t>
            </w:r>
          </w:p>
        </w:tc>
      </w:tr>
      <w:tr>
        <w:tc>
          <w:tcPr>
            <w:tcW w:type="dxa" w:w="680"/>
            <w:shd w:fill="F2F7FC" w:val="clear"/>
          </w:tcPr>
          <w:p>
            <w:r>
              <w:rPr>
                <w:sz w:val="17"/>
              </w:rPr>
              <w:t>20</w:t>
            </w:r>
          </w:p>
        </w:tc>
        <w:tc>
          <w:tcPr>
            <w:tcW w:type="dxa" w:w="1984"/>
            <w:shd w:fill="F2F7FC" w:val="clear"/>
          </w:tcPr>
          <w:p>
            <w:r>
              <w:rPr>
                <w:sz w:val="17"/>
              </w:rPr>
              <w:t>Fraud Detection Engine</w:t>
            </w:r>
          </w:p>
        </w:tc>
        <w:tc>
          <w:tcPr>
            <w:tcW w:type="dxa" w:w="3685"/>
            <w:shd w:fill="F2F7FC" w:val="clear"/>
          </w:tcPr>
          <w:p>
            <w:r>
              <w:rPr>
                <w:sz w:val="17"/>
              </w:rPr>
              <w:t>card_fraud_signals table exists for card fraud with severity scoring</w:t>
            </w:r>
          </w:p>
        </w:tc>
        <w:tc>
          <w:tcPr>
            <w:tcW w:type="dxa" w:w="3685"/>
            <w:shd w:fill="F2F7FC" w:val="clear"/>
          </w:tcPr>
          <w:p>
            <w:r>
              <w:rPr>
                <w:sz w:val="17"/>
              </w:rPr>
              <w:t>No account takeover, synthetic identity, mule account, duplicate identity, or device abuse detection for non-card transactions. Fraud signals are card-only.</w:t>
            </w:r>
          </w:p>
        </w:tc>
      </w:tr>
      <w:tr>
        <w:tc>
          <w:tcPr>
            <w:tcW w:type="dxa" w:w="680"/>
          </w:tcPr>
          <w:p>
            <w:r>
              <w:rPr>
                <w:sz w:val="17"/>
              </w:rPr>
              <w:t>23</w:t>
            </w:r>
          </w:p>
        </w:tc>
        <w:tc>
          <w:tcPr>
            <w:tcW w:type="dxa" w:w="1984"/>
          </w:tcPr>
          <w:p>
            <w:r>
              <w:rPr>
                <w:sz w:val="17"/>
              </w:rPr>
              <w:t>Period-End Controls</w:t>
            </w:r>
          </w:p>
        </w:tc>
        <w:tc>
          <w:tcPr>
            <w:tcW w:type="dxa" w:w="3685"/>
          </w:tcPr>
          <w:p>
            <w:r>
              <w:rPr>
                <w:sz w:val="17"/>
              </w:rPr>
              <w:t>Accounting modules exist (COA, GL, Trial Balance)</w:t>
            </w:r>
          </w:p>
        </w:tc>
        <w:tc>
          <w:tcPr>
            <w:tcW w:type="dxa" w:w="3685"/>
          </w:tcPr>
          <w:p>
            <w:r>
              <w:rPr>
                <w:sz w:val="17"/>
              </w:rPr>
              <w:t>No month-end close workflow (Reconciliation Complete → Finance Review → Controller Approval → Lock Period). Period locking mechanism is absent.</w:t>
            </w:r>
          </w:p>
        </w:tc>
      </w:tr>
      <w:tr>
        <w:tc>
          <w:tcPr>
            <w:tcW w:type="dxa" w:w="680"/>
            <w:shd w:fill="F2F7FC" w:val="clear"/>
          </w:tcPr>
          <w:p>
            <w:r>
              <w:rPr>
                <w:sz w:val="17"/>
              </w:rPr>
              <w:t>24</w:t>
            </w:r>
          </w:p>
        </w:tc>
        <w:tc>
          <w:tcPr>
            <w:tcW w:type="dxa" w:w="1984"/>
            <w:shd w:fill="F2F7FC" w:val="clear"/>
          </w:tcPr>
          <w:p>
            <w:r>
              <w:rPr>
                <w:sz w:val="17"/>
              </w:rPr>
              <w:t>Trust Account Monitoring</w:t>
            </w:r>
          </w:p>
        </w:tc>
        <w:tc>
          <w:tcPr>
            <w:tcW w:type="dxa" w:w="3685"/>
            <w:shd w:fill="F2F7FC" w:val="clear"/>
          </w:tcPr>
          <w:p>
            <w:r>
              <w:rPr>
                <w:sz w:val="17"/>
              </w:rPr>
              <w:t>SafeguardingPanel shows daily snapshots with surplus/deficit</w:t>
            </w:r>
          </w:p>
        </w:tc>
        <w:tc>
          <w:tcPr>
            <w:tcW w:type="dxa" w:w="3685"/>
            <w:shd w:fill="F2F7FC" w:val="clear"/>
          </w:tcPr>
          <w:p>
            <w:r>
              <w:rPr>
                <w:sz w:val="17"/>
              </w:rPr>
              <w:t>No automated exception reports with escalation rules for trust breaches. No trust account compliance alerting beyond the safeguarding snapshot view.</w:t>
            </w:r>
          </w:p>
        </w:tc>
      </w:tr>
      <w:tr>
        <w:tc>
          <w:tcPr>
            <w:tcW w:type="dxa" w:w="680"/>
          </w:tcPr>
          <w:p>
            <w:r>
              <w:rPr>
                <w:sz w:val="17"/>
              </w:rPr>
              <w:t>26</w:t>
            </w:r>
          </w:p>
        </w:tc>
        <w:tc>
          <w:tcPr>
            <w:tcW w:type="dxa" w:w="1984"/>
          </w:tcPr>
          <w:p>
            <w:r>
              <w:rPr>
                <w:sz w:val="17"/>
              </w:rPr>
              <w:t>Evidence Repository</w:t>
            </w:r>
          </w:p>
        </w:tc>
        <w:tc>
          <w:tcPr>
            <w:tcW w:type="dxa" w:w="3685"/>
          </w:tcPr>
          <w:p>
            <w:r>
              <w:rPr>
                <w:sz w:val="17"/>
              </w:rPr>
              <w:t>customer-documents Supabase bucket for KYC documents</w:t>
            </w:r>
          </w:p>
        </w:tc>
        <w:tc>
          <w:tcPr>
            <w:tcW w:type="dxa" w:w="3685"/>
          </w:tcPr>
          <w:p>
            <w:r>
              <w:rPr>
                <w:sz w:val="17"/>
              </w:rPr>
              <w:t>No unified evidence repository with 7-year retention tracking across STR filings, reconciliation reports, bank statements, and board approvals. No retention date tracking or expiry alerts.</w:t>
            </w:r>
          </w:p>
        </w:tc>
      </w:tr>
    </w:tbl>
    <w:p/>
    <w:p>
      <w:r>
        <w:br w:type="page"/>
      </w:r>
    </w:p>
    <w:p>
      <w:pPr>
        <w:pStyle w:val="Heading1"/>
      </w:pPr>
      <w:r>
        <w:t>Section 3: FAIL — Not Implemented (6 of 30)</w:t>
      </w:r>
    </w:p>
    <w:p>
      <w:pPr>
        <w:pStyle w:val="Heading2"/>
      </w:pPr>
      <w:r>
        <w:t>Incident Management Module (#6) — RPAA Critical</w:t>
      </w:r>
    </w:p>
    <w:p>
      <w:r>
        <w:t>No incident management workflow exists in the codebase. Missing entirely: incident creation, investigation workflow, root cause analysis, corrective action tracking, and closure process. No RPAA Significant Incident auto-identification for major service outages, security breaches, safeguarding failures, or large fraud events. This is the highest-priority gap — the RPAA mandates formal incident management.</w:t>
      </w:r>
    </w:p>
    <w:p>
      <w:pPr>
        <w:pStyle w:val="Heading2"/>
      </w:pPr>
      <w:r>
        <w:t>Beneficial Ownership Registry (#10) — FINTRAC Core</w:t>
      </w:r>
    </w:p>
    <w:p>
      <w:r>
        <w:t>No beneficial_ownership table exists. No tracking of ownership percentage, voting percentage, control percentage, PEP status, or sanctions status per ultimate beneficial owner. No historical record-keeping for ownership changes. FINTRAC requires UBO identification at the 25% ownership threshold for business customers. The CompliancePage does reference this requirement, but no database or application implementation exists.</w:t>
      </w:r>
    </w:p>
    <w:p>
      <w:pPr>
        <w:pStyle w:val="Heading2"/>
      </w:pPr>
      <w:r>
        <w:t>Unclaimed Funds Register (#19)</w:t>
      </w:r>
    </w:p>
    <w:p>
      <w:r>
        <w:t>No table or component for tracking unknown deposits, unallocated funds, returned payments, or failed settlements. No escalation timeline (1 Day → 3 Days → 7 Days → 30 Days). This is an operational risk for safeguarding compliance.</w:t>
      </w:r>
    </w:p>
    <w:p>
      <w:pPr>
        <w:pStyle w:val="Heading2"/>
      </w:pPr>
      <w:r>
        <w:t>Device &amp; Behaviour Analytics (#21)</w:t>
      </w:r>
    </w:p>
    <w:p>
      <w:r>
        <w:t>No device fingerprint collection, no IP address / geolocation tracking, no browser analytics, no session activity scoring. The card_fraud_signals table exists for card-related fraud only. This is a prerequisite for the Fraud Detection Engine (#20) to work beyond card transactions.</w:t>
      </w:r>
    </w:p>
    <w:p>
      <w:pPr>
        <w:pStyle w:val="Heading2"/>
      </w:pPr>
      <w:r>
        <w:t>Auditor Portal (#27 — Auditor variant)</w:t>
      </w:r>
    </w:p>
    <w:p>
      <w:r>
        <w:t>No read-only portal for external auditors. While an AdminAuthProvider and AdminGuard pattern exists, there is no dedicated auditor role with view-only access to compliance reports, audit trails, supporting evidence, financial reports, and reconciliations. The existing audit_logs table supports the data layer, but no controlled portal interface exists for external parties.</w:t>
      </w:r>
    </w:p>
    <w:p>
      <w:pPr>
        <w:pStyle w:val="Heading2"/>
      </w:pPr>
      <w:r>
        <w:t>Multi-Factor Authentication (#28)</w:t>
      </w:r>
    </w:p>
    <w:p>
      <w:r>
        <w:t>No MFA enforcement found for compliance, finance, administrators, or executives. Supabase Auth supports MFA but it has not been configured or enforced in this codebase. The auth-send-email edge function exists for basic email operations but no MFA enrollment or enforcement flow is present.</w:t>
      </w:r>
    </w:p>
    <w:p>
      <w:pPr>
        <w:pStyle w:val="Heading2"/>
      </w:pPr>
      <w:r>
        <w:t>Security Monitoring Dashboard (#30)</w:t>
      </w:r>
    </w:p>
    <w:p>
      <w:r>
        <w:t>No security monitoring panel tracking failed logins, privilege escalation attempts, data exports (bulk), suspicious access patterns, or API abuse. The rate_limits table exists for API rate limiting but has no monitoring dashboard. Security events are not aggregated or visualized.</w:t>
      </w:r>
    </w:p>
    <w:p>
      <w:r>
        <w:br w:type="page"/>
      </w:r>
    </w:p>
    <w:p>
      <w:pPr>
        <w:pStyle w:val="Heading1"/>
      </w:pPr>
      <w:r>
        <w:t>Section 4: Priority Review Order</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850"/>
            <w:shd w:fill="2F5496" w:val="clear"/>
          </w:tcPr>
          <w:p>
            <w:pPr>
              <w:jc w:val="center"/>
            </w:pPr>
            <w:r>
              <w:rPr>
                <w:b/>
                <w:color w:val="FFFFFF"/>
                <w:sz w:val="18"/>
              </w:rPr>
              <w:t>Priority</w:t>
            </w:r>
          </w:p>
        </w:tc>
        <w:tc>
          <w:tcPr>
            <w:tcW w:type="dxa" w:w="850"/>
            <w:shd w:fill="2F5496" w:val="clear"/>
          </w:tcPr>
          <w:p>
            <w:pPr>
              <w:jc w:val="center"/>
            </w:pPr>
            <w:r>
              <w:rPr>
                <w:b/>
                <w:color w:val="FFFFFF"/>
                <w:sz w:val="18"/>
              </w:rPr>
              <w:t>Item #</w:t>
            </w:r>
          </w:p>
        </w:tc>
        <w:tc>
          <w:tcPr>
            <w:tcW w:type="dxa" w:w="3402"/>
            <w:shd w:fill="2F5496" w:val="clear"/>
          </w:tcPr>
          <w:p>
            <w:pPr>
              <w:jc w:val="center"/>
            </w:pPr>
            <w:r>
              <w:rPr>
                <w:b/>
                <w:color w:val="FFFFFF"/>
                <w:sz w:val="18"/>
              </w:rPr>
              <w:t>Item Name</w:t>
            </w:r>
          </w:p>
        </w:tc>
        <w:tc>
          <w:tcPr>
            <w:tcW w:type="dxa" w:w="1417"/>
            <w:shd w:fill="2F5496" w:val="clear"/>
          </w:tcPr>
          <w:p>
            <w:pPr>
              <w:jc w:val="center"/>
            </w:pPr>
            <w:r>
              <w:rPr>
                <w:b/>
                <w:color w:val="FFFFFF"/>
                <w:sz w:val="18"/>
              </w:rPr>
              <w:t>Risk Level</w:t>
            </w:r>
          </w:p>
        </w:tc>
        <w:tc>
          <w:tcPr>
            <w:tcW w:type="dxa" w:w="3118"/>
            <w:shd w:fill="2F5496" w:val="clear"/>
          </w:tcPr>
          <w:p>
            <w:pPr>
              <w:jc w:val="center"/>
            </w:pPr>
            <w:r>
              <w:rPr>
                <w:b/>
                <w:color w:val="FFFFFF"/>
                <w:sz w:val="18"/>
              </w:rPr>
              <w:t>Regulatory Driver</w:t>
            </w:r>
          </w:p>
        </w:tc>
      </w:tr>
      <w:tr>
        <w:tc>
          <w:tcPr>
            <w:tcW w:type="dxa" w:w="850"/>
            <w:shd w:fill="F2F7FC" w:val="clear"/>
          </w:tcPr>
          <w:p>
            <w:r>
              <w:rPr>
                <w:sz w:val="17"/>
              </w:rPr>
              <w:t>1</w:t>
            </w:r>
          </w:p>
        </w:tc>
        <w:tc>
          <w:tcPr>
            <w:tcW w:type="dxa" w:w="850"/>
            <w:shd w:fill="F2F7FC" w:val="clear"/>
          </w:tcPr>
          <w:p>
            <w:r>
              <w:rPr>
                <w:sz w:val="17"/>
              </w:rPr>
              <w:t>#6</w:t>
            </w:r>
          </w:p>
        </w:tc>
        <w:tc>
          <w:tcPr>
            <w:tcW w:type="dxa" w:w="3402"/>
            <w:shd w:fill="F2F7FC" w:val="clear"/>
          </w:tcPr>
          <w:p>
            <w:r>
              <w:rPr>
                <w:sz w:val="17"/>
              </w:rPr>
              <w:t>Incident Management Module</w:t>
            </w:r>
          </w:p>
        </w:tc>
        <w:tc>
          <w:tcPr>
            <w:tcW w:type="dxa" w:w="1417"/>
            <w:shd w:fill="F2F7FC" w:val="clear"/>
          </w:tcPr>
          <w:p>
            <w:r>
              <w:rPr>
                <w:sz w:val="17"/>
              </w:rPr>
              <w:t>CRITICAL</w:t>
            </w:r>
          </w:p>
        </w:tc>
        <w:tc>
          <w:tcPr>
            <w:tcW w:type="dxa" w:w="3118"/>
            <w:shd w:fill="F2F7FC" w:val="clear"/>
          </w:tcPr>
          <w:p>
            <w:r>
              <w:rPr>
                <w:sz w:val="17"/>
              </w:rPr>
              <w:t>RPAA — mandatory operational risk</w:t>
            </w:r>
          </w:p>
        </w:tc>
      </w:tr>
      <w:tr>
        <w:tc>
          <w:tcPr>
            <w:tcW w:type="dxa" w:w="850"/>
          </w:tcPr>
          <w:p>
            <w:r>
              <w:rPr>
                <w:sz w:val="17"/>
              </w:rPr>
              <w:t>2</w:t>
            </w:r>
          </w:p>
        </w:tc>
        <w:tc>
          <w:tcPr>
            <w:tcW w:type="dxa" w:w="850"/>
          </w:tcPr>
          <w:p>
            <w:r>
              <w:rPr>
                <w:sz w:val="17"/>
              </w:rPr>
              <w:t>#12</w:t>
            </w:r>
          </w:p>
        </w:tc>
        <w:tc>
          <w:tcPr>
            <w:tcW w:type="dxa" w:w="3402"/>
          </w:tcPr>
          <w:p>
            <w:r>
              <w:rPr>
                <w:sz w:val="17"/>
              </w:rPr>
              <w:t>Sanctions Screening Engine</w:t>
            </w:r>
          </w:p>
        </w:tc>
        <w:tc>
          <w:tcPr>
            <w:tcW w:type="dxa" w:w="1417"/>
          </w:tcPr>
          <w:p>
            <w:r>
              <w:rPr>
                <w:sz w:val="17"/>
              </w:rPr>
              <w:t>HIGH</w:t>
            </w:r>
          </w:p>
        </w:tc>
        <w:tc>
          <w:tcPr>
            <w:tcW w:type="dxa" w:w="3118"/>
          </w:tcPr>
          <w:p>
            <w:r>
              <w:rPr>
                <w:sz w:val="17"/>
              </w:rPr>
              <w:t>FINTRAC / OSFI — DB schema ready</w:t>
            </w:r>
          </w:p>
        </w:tc>
      </w:tr>
      <w:tr>
        <w:tc>
          <w:tcPr>
            <w:tcW w:type="dxa" w:w="850"/>
            <w:shd w:fill="F2F7FC" w:val="clear"/>
          </w:tcPr>
          <w:p>
            <w:r>
              <w:rPr>
                <w:sz w:val="17"/>
              </w:rPr>
              <w:t>3</w:t>
            </w:r>
          </w:p>
        </w:tc>
        <w:tc>
          <w:tcPr>
            <w:tcW w:type="dxa" w:w="850"/>
            <w:shd w:fill="F2F7FC" w:val="clear"/>
          </w:tcPr>
          <w:p>
            <w:r>
              <w:rPr>
                <w:sz w:val="17"/>
              </w:rPr>
              <w:t>#10</w:t>
            </w:r>
          </w:p>
        </w:tc>
        <w:tc>
          <w:tcPr>
            <w:tcW w:type="dxa" w:w="3402"/>
            <w:shd w:fill="F2F7FC" w:val="clear"/>
          </w:tcPr>
          <w:p>
            <w:r>
              <w:rPr>
                <w:sz w:val="17"/>
              </w:rPr>
              <w:t>Beneficial Ownership Registry</w:t>
            </w:r>
          </w:p>
        </w:tc>
        <w:tc>
          <w:tcPr>
            <w:tcW w:type="dxa" w:w="1417"/>
            <w:shd w:fill="F2F7FC" w:val="clear"/>
          </w:tcPr>
          <w:p>
            <w:r>
              <w:rPr>
                <w:sz w:val="17"/>
              </w:rPr>
              <w:t>HIGH</w:t>
            </w:r>
          </w:p>
        </w:tc>
        <w:tc>
          <w:tcPr>
            <w:tcW w:type="dxa" w:w="3118"/>
            <w:shd w:fill="F2F7FC" w:val="clear"/>
          </w:tcPr>
          <w:p>
            <w:r>
              <w:rPr>
                <w:sz w:val="17"/>
              </w:rPr>
              <w:t>FINTRAC — core KYC/KYB requirement</w:t>
            </w:r>
          </w:p>
        </w:tc>
      </w:tr>
      <w:tr>
        <w:tc>
          <w:tcPr>
            <w:tcW w:type="dxa" w:w="850"/>
          </w:tcPr>
          <w:p>
            <w:r>
              <w:rPr>
                <w:sz w:val="17"/>
              </w:rPr>
              <w:t>4</w:t>
            </w:r>
          </w:p>
        </w:tc>
        <w:tc>
          <w:tcPr>
            <w:tcW w:type="dxa" w:w="850"/>
          </w:tcPr>
          <w:p>
            <w:r>
              <w:rPr>
                <w:sz w:val="17"/>
              </w:rPr>
              <w:t>#28</w:t>
            </w:r>
          </w:p>
        </w:tc>
        <w:tc>
          <w:tcPr>
            <w:tcW w:type="dxa" w:w="3402"/>
          </w:tcPr>
          <w:p>
            <w:r>
              <w:rPr>
                <w:sz w:val="17"/>
              </w:rPr>
              <w:t>Multi-Factor Authentication</w:t>
            </w:r>
          </w:p>
        </w:tc>
        <w:tc>
          <w:tcPr>
            <w:tcW w:type="dxa" w:w="1417"/>
          </w:tcPr>
          <w:p>
            <w:r>
              <w:rPr>
                <w:sz w:val="17"/>
              </w:rPr>
              <w:t>HIGH</w:t>
            </w:r>
          </w:p>
        </w:tc>
        <w:tc>
          <w:tcPr>
            <w:tcW w:type="dxa" w:w="3118"/>
          </w:tcPr>
          <w:p>
            <w:r>
              <w:rPr>
                <w:sz w:val="17"/>
              </w:rPr>
              <w:t>Banking partner readiness</w:t>
            </w:r>
          </w:p>
        </w:tc>
      </w:tr>
      <w:tr>
        <w:tc>
          <w:tcPr>
            <w:tcW w:type="dxa" w:w="850"/>
            <w:shd w:fill="F2F7FC" w:val="clear"/>
          </w:tcPr>
          <w:p>
            <w:r>
              <w:rPr>
                <w:sz w:val="17"/>
              </w:rPr>
              <w:t>5</w:t>
            </w:r>
          </w:p>
        </w:tc>
        <w:tc>
          <w:tcPr>
            <w:tcW w:type="dxa" w:w="850"/>
            <w:shd w:fill="F2F7FC" w:val="clear"/>
          </w:tcPr>
          <w:p>
            <w:r>
              <w:rPr>
                <w:sz w:val="17"/>
              </w:rPr>
              <w:t>#3</w:t>
            </w:r>
          </w:p>
        </w:tc>
        <w:tc>
          <w:tcPr>
            <w:tcW w:type="dxa" w:w="3402"/>
            <w:shd w:fill="F2F7FC" w:val="clear"/>
          </w:tcPr>
          <w:p>
            <w:r>
              <w:rPr>
                <w:sz w:val="17"/>
              </w:rPr>
              <w:t>Board Compliance Dashboard</w:t>
            </w:r>
          </w:p>
        </w:tc>
        <w:tc>
          <w:tcPr>
            <w:tcW w:type="dxa" w:w="1417"/>
            <w:shd w:fill="F2F7FC" w:val="clear"/>
          </w:tcPr>
          <w:p>
            <w:r>
              <w:rPr>
                <w:sz w:val="17"/>
              </w:rPr>
              <w:t>HIGH</w:t>
            </w:r>
          </w:p>
        </w:tc>
        <w:tc>
          <w:tcPr>
            <w:tcW w:type="dxa" w:w="3118"/>
            <w:shd w:fill="F2F7FC" w:val="clear"/>
          </w:tcPr>
          <w:p>
            <w:r>
              <w:rPr>
                <w:sz w:val="17"/>
              </w:rPr>
              <w:t>Governance &amp; board oversight</w:t>
            </w:r>
          </w:p>
        </w:tc>
      </w:tr>
      <w:tr>
        <w:tc>
          <w:tcPr>
            <w:tcW w:type="dxa" w:w="850"/>
          </w:tcPr>
          <w:p>
            <w:r>
              <w:rPr>
                <w:sz w:val="17"/>
              </w:rPr>
              <w:t>6</w:t>
            </w:r>
          </w:p>
        </w:tc>
        <w:tc>
          <w:tcPr>
            <w:tcW w:type="dxa" w:w="850"/>
          </w:tcPr>
          <w:p>
            <w:r>
              <w:rPr>
                <w:sz w:val="17"/>
              </w:rPr>
              <w:t>#2</w:t>
            </w:r>
          </w:p>
        </w:tc>
        <w:tc>
          <w:tcPr>
            <w:tcW w:type="dxa" w:w="3402"/>
          </w:tcPr>
          <w:p>
            <w:r>
              <w:rPr>
                <w:sz w:val="17"/>
              </w:rPr>
              <w:t>Automated Compliance Calendar</w:t>
            </w:r>
          </w:p>
        </w:tc>
        <w:tc>
          <w:tcPr>
            <w:tcW w:type="dxa" w:w="1417"/>
          </w:tcPr>
          <w:p>
            <w:r>
              <w:rPr>
                <w:sz w:val="17"/>
              </w:rPr>
              <w:t>MEDIUM</w:t>
            </w:r>
          </w:p>
        </w:tc>
        <w:tc>
          <w:tcPr>
            <w:tcW w:type="dxa" w:w="3118"/>
          </w:tcPr>
          <w:p>
            <w:r>
              <w:rPr>
                <w:sz w:val="17"/>
              </w:rPr>
              <w:t>All regulatory deadline tracking</w:t>
            </w:r>
          </w:p>
        </w:tc>
      </w:tr>
      <w:tr>
        <w:tc>
          <w:tcPr>
            <w:tcW w:type="dxa" w:w="850"/>
            <w:shd w:fill="F2F7FC" w:val="clear"/>
          </w:tcPr>
          <w:p>
            <w:r>
              <w:rPr>
                <w:sz w:val="17"/>
              </w:rPr>
              <w:t>7</w:t>
            </w:r>
          </w:p>
        </w:tc>
        <w:tc>
          <w:tcPr>
            <w:tcW w:type="dxa" w:w="850"/>
            <w:shd w:fill="F2F7FC" w:val="clear"/>
          </w:tcPr>
          <w:p>
            <w:r>
              <w:rPr>
                <w:sz w:val="17"/>
              </w:rPr>
              <w:t>#15</w:t>
            </w:r>
          </w:p>
        </w:tc>
        <w:tc>
          <w:tcPr>
            <w:tcW w:type="dxa" w:w="3402"/>
            <w:shd w:fill="F2F7FC" w:val="clear"/>
          </w:tcPr>
          <w:p>
            <w:r>
              <w:rPr>
                <w:sz w:val="17"/>
              </w:rPr>
              <w:t>Case Management System</w:t>
            </w:r>
          </w:p>
        </w:tc>
        <w:tc>
          <w:tcPr>
            <w:tcW w:type="dxa" w:w="1417"/>
            <w:shd w:fill="F2F7FC" w:val="clear"/>
          </w:tcPr>
          <w:p>
            <w:r>
              <w:rPr>
                <w:sz w:val="17"/>
              </w:rPr>
              <w:t>MEDIUM</w:t>
            </w:r>
          </w:p>
        </w:tc>
        <w:tc>
          <w:tcPr>
            <w:tcW w:type="dxa" w:w="3118"/>
            <w:shd w:fill="F2F7FC" w:val="clear"/>
          </w:tcPr>
          <w:p>
            <w:r>
              <w:rPr>
                <w:sz w:val="17"/>
              </w:rPr>
              <w:t>STR investigation workflow</w:t>
            </w:r>
          </w:p>
        </w:tc>
      </w:tr>
      <w:tr>
        <w:tc>
          <w:tcPr>
            <w:tcW w:type="dxa" w:w="850"/>
          </w:tcPr>
          <w:p>
            <w:r>
              <w:rPr>
                <w:sz w:val="17"/>
              </w:rPr>
              <w:t>8</w:t>
            </w:r>
          </w:p>
        </w:tc>
        <w:tc>
          <w:tcPr>
            <w:tcW w:type="dxa" w:w="850"/>
          </w:tcPr>
          <w:p>
            <w:r>
              <w:rPr>
                <w:sz w:val="17"/>
              </w:rPr>
              <w:t>#27a</w:t>
            </w:r>
          </w:p>
        </w:tc>
        <w:tc>
          <w:tcPr>
            <w:tcW w:type="dxa" w:w="3402"/>
          </w:tcPr>
          <w:p>
            <w:r>
              <w:rPr>
                <w:sz w:val="17"/>
              </w:rPr>
              <w:t>Auditor Portal</w:t>
            </w:r>
          </w:p>
        </w:tc>
        <w:tc>
          <w:tcPr>
            <w:tcW w:type="dxa" w:w="1417"/>
          </w:tcPr>
          <w:p>
            <w:r>
              <w:rPr>
                <w:sz w:val="17"/>
              </w:rPr>
              <w:t>MEDIUM</w:t>
            </w:r>
          </w:p>
        </w:tc>
        <w:tc>
          <w:tcPr>
            <w:tcW w:type="dxa" w:w="3118"/>
          </w:tcPr>
          <w:p>
            <w:r>
              <w:rPr>
                <w:sz w:val="17"/>
              </w:rPr>
              <w:t>External audit readiness</w:t>
            </w:r>
          </w:p>
        </w:tc>
      </w:tr>
      <w:tr>
        <w:tc>
          <w:tcPr>
            <w:tcW w:type="dxa" w:w="850"/>
            <w:shd w:fill="F2F7FC" w:val="clear"/>
          </w:tcPr>
          <w:p>
            <w:r>
              <w:rPr>
                <w:sz w:val="17"/>
              </w:rPr>
              <w:t>9</w:t>
            </w:r>
          </w:p>
        </w:tc>
        <w:tc>
          <w:tcPr>
            <w:tcW w:type="dxa" w:w="850"/>
            <w:shd w:fill="F2F7FC" w:val="clear"/>
          </w:tcPr>
          <w:p>
            <w:r>
              <w:rPr>
                <w:sz w:val="17"/>
              </w:rPr>
              <w:t>#11</w:t>
            </w:r>
          </w:p>
        </w:tc>
        <w:tc>
          <w:tcPr>
            <w:tcW w:type="dxa" w:w="3402"/>
            <w:shd w:fill="F2F7FC" w:val="clear"/>
          </w:tcPr>
          <w:p>
            <w:r>
              <w:rPr>
                <w:sz w:val="17"/>
              </w:rPr>
              <w:t>EDD Workflow Engine</w:t>
            </w:r>
          </w:p>
        </w:tc>
        <w:tc>
          <w:tcPr>
            <w:tcW w:type="dxa" w:w="1417"/>
            <w:shd w:fill="F2F7FC" w:val="clear"/>
          </w:tcPr>
          <w:p>
            <w:r>
              <w:rPr>
                <w:sz w:val="17"/>
              </w:rPr>
              <w:t>MEDIUM</w:t>
            </w:r>
          </w:p>
        </w:tc>
        <w:tc>
          <w:tcPr>
            <w:tcW w:type="dxa" w:w="3118"/>
            <w:shd w:fill="F2F7FC" w:val="clear"/>
          </w:tcPr>
          <w:p>
            <w:r>
              <w:rPr>
                <w:sz w:val="17"/>
              </w:rPr>
              <w:t>From static policy to automated engine</w:t>
            </w:r>
          </w:p>
        </w:tc>
      </w:tr>
      <w:tr>
        <w:tc>
          <w:tcPr>
            <w:tcW w:type="dxa" w:w="850"/>
          </w:tcPr>
          <w:p>
            <w:r>
              <w:rPr>
                <w:sz w:val="17"/>
              </w:rPr>
              <w:t>10</w:t>
            </w:r>
          </w:p>
        </w:tc>
        <w:tc>
          <w:tcPr>
            <w:tcW w:type="dxa" w:w="850"/>
          </w:tcPr>
          <w:p>
            <w:r>
              <w:rPr>
                <w:sz w:val="17"/>
              </w:rPr>
              <w:t>#20</w:t>
            </w:r>
          </w:p>
        </w:tc>
        <w:tc>
          <w:tcPr>
            <w:tcW w:type="dxa" w:w="3402"/>
          </w:tcPr>
          <w:p>
            <w:r>
              <w:rPr>
                <w:sz w:val="17"/>
              </w:rPr>
              <w:t>Fraud Detection (non-card)</w:t>
            </w:r>
          </w:p>
        </w:tc>
        <w:tc>
          <w:tcPr>
            <w:tcW w:type="dxa" w:w="1417"/>
          </w:tcPr>
          <w:p>
            <w:r>
              <w:rPr>
                <w:sz w:val="17"/>
              </w:rPr>
              <w:t>MEDIUM</w:t>
            </w:r>
          </w:p>
        </w:tc>
        <w:tc>
          <w:tcPr>
            <w:tcW w:type="dxa" w:w="3118"/>
          </w:tcPr>
          <w:p>
            <w:r>
              <w:rPr>
                <w:sz w:val="17"/>
              </w:rPr>
              <w:t>Extend beyond card fraud signals</w:t>
            </w:r>
          </w:p>
        </w:tc>
      </w:tr>
      <w:tr>
        <w:tc>
          <w:tcPr>
            <w:tcW w:type="dxa" w:w="850"/>
            <w:shd w:fill="F2F7FC" w:val="clear"/>
          </w:tcPr>
          <w:p>
            <w:r>
              <w:rPr>
                <w:sz w:val="17"/>
              </w:rPr>
              <w:t>11</w:t>
            </w:r>
          </w:p>
        </w:tc>
        <w:tc>
          <w:tcPr>
            <w:tcW w:type="dxa" w:w="850"/>
            <w:shd w:fill="F2F7FC" w:val="clear"/>
          </w:tcPr>
          <w:p>
            <w:r>
              <w:rPr>
                <w:sz w:val="17"/>
              </w:rPr>
              <w:t>#21</w:t>
            </w:r>
          </w:p>
        </w:tc>
        <w:tc>
          <w:tcPr>
            <w:tcW w:type="dxa" w:w="3402"/>
            <w:shd w:fill="F2F7FC" w:val="clear"/>
          </w:tcPr>
          <w:p>
            <w:r>
              <w:rPr>
                <w:sz w:val="17"/>
              </w:rPr>
              <w:t>Device &amp; Behaviour Analytics</w:t>
            </w:r>
          </w:p>
        </w:tc>
        <w:tc>
          <w:tcPr>
            <w:tcW w:type="dxa" w:w="1417"/>
            <w:shd w:fill="F2F7FC" w:val="clear"/>
          </w:tcPr>
          <w:p>
            <w:r>
              <w:rPr>
                <w:sz w:val="17"/>
              </w:rPr>
              <w:t>MEDIUM</w:t>
            </w:r>
          </w:p>
        </w:tc>
        <w:tc>
          <w:tcPr>
            <w:tcW w:type="dxa" w:w="3118"/>
            <w:shd w:fill="F2F7FC" w:val="clear"/>
          </w:tcPr>
          <w:p>
            <w:r>
              <w:rPr>
                <w:sz w:val="17"/>
              </w:rPr>
              <w:t>Prerequisite for fraud detection</w:t>
            </w:r>
          </w:p>
        </w:tc>
      </w:tr>
      <w:tr>
        <w:tc>
          <w:tcPr>
            <w:tcW w:type="dxa" w:w="850"/>
          </w:tcPr>
          <w:p>
            <w:r>
              <w:rPr>
                <w:sz w:val="17"/>
              </w:rPr>
              <w:t>12</w:t>
            </w:r>
          </w:p>
        </w:tc>
        <w:tc>
          <w:tcPr>
            <w:tcW w:type="dxa" w:w="850"/>
          </w:tcPr>
          <w:p>
            <w:r>
              <w:rPr>
                <w:sz w:val="17"/>
              </w:rPr>
              <w:t>#23</w:t>
            </w:r>
          </w:p>
        </w:tc>
        <w:tc>
          <w:tcPr>
            <w:tcW w:type="dxa" w:w="3402"/>
          </w:tcPr>
          <w:p>
            <w:r>
              <w:rPr>
                <w:sz w:val="17"/>
              </w:rPr>
              <w:t>Period-End Controls</w:t>
            </w:r>
          </w:p>
        </w:tc>
        <w:tc>
          <w:tcPr>
            <w:tcW w:type="dxa" w:w="1417"/>
          </w:tcPr>
          <w:p>
            <w:r>
              <w:rPr>
                <w:sz w:val="17"/>
              </w:rPr>
              <w:t>LOW</w:t>
            </w:r>
          </w:p>
        </w:tc>
        <w:tc>
          <w:tcPr>
            <w:tcW w:type="dxa" w:w="3118"/>
          </w:tcPr>
          <w:p>
            <w:r>
              <w:rPr>
                <w:sz w:val="17"/>
              </w:rPr>
              <w:t>Accounting governance</w:t>
            </w:r>
          </w:p>
        </w:tc>
      </w:tr>
    </w:tbl>
    <w:p/>
    <w:p>
      <w:pPr>
        <w:pStyle w:val="Heading2"/>
      </w:pPr>
      <w:r>
        <w:t>Statistics</w:t>
      </w:r>
    </w:p>
    <w:p>
      <w:r>
        <w:rPr>
          <w:b/>
        </w:rPr>
        <w:t xml:space="preserve">Total roadmap items analyzed: </w:t>
      </w:r>
      <w:r>
        <w:t>30</w:t>
        <w:br/>
      </w:r>
      <w:r>
        <w:rPr>
          <w:b/>
        </w:rPr>
        <w:t xml:space="preserve">✅ PASS (fully implemented): </w:t>
      </w:r>
      <w:r>
        <w:t>12 (40%)</w:t>
        <w:br/>
      </w:r>
      <w:r>
        <w:rPr>
          <w:b/>
        </w:rPr>
        <w:t xml:space="preserve">🟡 NEEDS REVIEW (partial/incomplete): </w:t>
      </w:r>
      <w:r>
        <w:t>12 (40%)</w:t>
        <w:br/>
      </w:r>
      <w:r>
        <w:rPr>
          <w:b/>
        </w:rPr>
        <w:t xml:space="preserve">🔴 FAIL (not implemented): </w:t>
      </w:r>
      <w:r>
        <w:t>6 (20%)</w:t>
        <w:br/>
      </w:r>
    </w:p>
    <w:p/>
    <w:p>
      <w:pPr>
        <w:pStyle w:val="Heading2"/>
      </w:pPr>
      <w:r>
        <w:t>Database Coverage</w:t>
      </w:r>
    </w:p>
    <w:p>
      <w:r>
        <w:rPr>
          <w:b/>
        </w:rPr>
        <w:t xml:space="preserve">97 database tables </w:t>
      </w:r>
      <w:r>
        <w:t xml:space="preserve">in the public schema with Row-Level Security enabled on all. </w:t>
      </w:r>
      <w:r>
        <w:rPr>
          <w:b/>
        </w:rPr>
        <w:t xml:space="preserve">76 edge functions </w:t>
      </w:r>
      <w:r>
        <w:t xml:space="preserve">deployed for business logic. </w:t>
      </w:r>
      <w:r>
        <w:t xml:space="preserve">The compliance foundation (RLS, RBAC, audit logs, AML screening tables, reconciliation, safeguarding) is strong. </w:t>
      </w:r>
      <w:r>
        <w:t>The primary gaps are in application-layer workflows (incident management, EDD automation, sanctions screening execution, case management UI) rather than in the data model.</w:t>
      </w:r>
    </w:p>
    <w:p/>
    <w:p>
      <w:pPr>
        <w:pStyle w:val="Heading2"/>
      </w:pPr>
      <w:r>
        <w:t>Methodology &amp; Limitations</w:t>
      </w:r>
    </w:p>
    <w:p>
      <w:r>
        <w:t>This analysis is based on a static code review of the EfinMoney codebase (frontend React/TypeScript, Supabase database schema, edge functions, hooks, and components) as of June 24, 2026. Items classified as "NEEDS REVIEW" may have partial implementations visible in the codebase; items classified as "FAIL" were not found in any form. Some items may exist in external integrations, configuration files, or manual processes not visible in the repository. This analysis should be validated against live running systems and operational procedures.</w:t>
      </w:r>
    </w:p>
    <w:p/>
    <w:p>
      <w:pPr>
        <w:jc w:val="center"/>
      </w:pPr>
      <w:r>
        <w:rPr>
          <w:color w:val="999999"/>
          <w:sz w:val="18"/>
        </w:rPr>
        <w:t>— End of Gap Analysis —</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