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Notes transcribed from paper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Leo Zhuang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General USC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Could work in elections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Alignment index is simple and clear, and explanation is understandable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Dislikes: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very motivated to use app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USG is mostly irrelevant to daily life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anonymity, so people don’t troll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Thoughts: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might not even care if representatives have low alignment indices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Kristian Bostic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General USC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Simple interface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Dislikes: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Flagging system doesn’t seem very secure, still easy to spam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focus on USC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Thoughts: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Alvaro (brief convo)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USG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Easier than talking to a bunch of different constituencies in person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for accountability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idea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Dislikes: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one more thing to pay attention to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a waste of time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Thoughts: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Broadly supportive of any initiative to make USG more representative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USC students might not care, only ¼ vote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Liam Karl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Advocacy Organization Member (S.C.A.L.E.)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Nice to know what’s going on in USG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having a way to directly comment on bills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issues he cares about, saves lots of energy instead of petitions for every single issue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Dislikes: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actually affect USC administration funding (for DPS, etc.)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Unsure whether USG members will pay attention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Thinks the interface is a bit simplistic and unattractive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UI/UX designer to make app more enticing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user body is diverse so it’s not just angry people ranting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Thoughts: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Isn’t likely to use unless USG will too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