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B2E36"/>
          <w:sz w:val="56"/>
          <w:szCs w:val="56"/>
        </w:rPr>
        <w:t xml:space="preserve">VQA-RAD</w:t>
      </w:r>
    </w:p>
    <w:p>
      <w:pPr>
        <w:spacing w:after="300"/>
        <w:jc w:val="center"/>
      </w:pPr>
      <w:r>
        <w:rPr>
          <w:b/>
          <w:bCs/>
          <w:color w:val="0F5C68"/>
          <w:sz w:val="26"/>
          <w:szCs w:val="26"/>
        </w:rPr>
        <w:t xml:space="preserve">Vision-Language Model with Knowledge Distillation for Medical VQA</w:t>
      </w:r>
    </w:p>
    <w:p>
      <w:pPr>
        <w:pStyle w:val="Heading1"/>
        <w:pBdr>
          <w:bottom w:val="single" w:color="0F5C68" w:sz="6" w:space="4"/>
        </w:pBdr>
        <w:spacing w:after="160" w:before="320"/>
      </w:pPr>
      <w:r>
        <w:rPr>
          <w:b/>
          <w:bCs/>
          <w:color w:val="0B2E36"/>
          <w:sz w:val="30"/>
          <w:szCs w:val="30"/>
        </w:rPr>
        <w:t xml:space="preserve">1. Vision-Language Model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 Vision-Language Model (VLM) is a deep learning model that jointly understands images and text. It combines a vision encoder (which converts an image into visual features) with a language model (which processes and generates text), so it can perform tasks such as image captioning, visual question answering, and image-text retrieval.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This project uses BLIP (Bootstrapping Language-Image Pretraining), a VLM architecture built for exactly this kind of task. Given a radiology image and a clinical question in text form, the model generates a free-text answer, effectively "reading" the image and answering like a radiologist would.</w:t>
      </w:r>
    </w:p>
    <w:p>
      <w:pPr>
        <w:pStyle w:val="Heading1"/>
        <w:pBdr>
          <w:bottom w:val="single" w:color="0F5C68" w:sz="6" w:space="4"/>
        </w:pBdr>
        <w:spacing w:after="160" w:before="320"/>
      </w:pPr>
      <w:r>
        <w:rPr>
          <w:b/>
          <w:bCs/>
          <w:color w:val="0B2E36"/>
          <w:sz w:val="30"/>
          <w:szCs w:val="30"/>
        </w:rPr>
        <w:t xml:space="preserve">2. Knowledge Distillation on VQA-RAD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Knowledge Distillation (KD) is a technique where a large, well-trained "Teacher" model transfers its knowledge to a smaller "Student" model. Instead of learning only from the ground-truth answers, the Student also learns from the Teacher's soft output probabilities and internal feature representations, which carry richer information than a single correct-answer label.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For VQA-RAD, this project fine-tunes a large Teacher VLM on radiology question answering, then distills that knowledge into a much smaller Student model using LoRA (Low-Rank Adaptation) adapters combined with a KD loss. The goal is a compact model that keeps most of the Teacher's diagnostic answering ability while being far cheaper to run.</w:t>
      </w:r>
    </w:p>
    <w:p>
      <w:pPr>
        <w:pStyle w:val="Heading1"/>
        <w:pBdr>
          <w:bottom w:val="single" w:color="0F5C68" w:sz="6" w:space="4"/>
        </w:pBdr>
        <w:spacing w:after="160" w:before="320"/>
      </w:pPr>
      <w:r>
        <w:rPr>
          <w:b/>
          <w:bCs/>
          <w:color w:val="0B2E36"/>
          <w:sz w:val="30"/>
          <w:szCs w:val="30"/>
        </w:rPr>
        <w:t xml:space="preserve">3.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Load and explore the VQA-RAD dataset (open-ended questions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Fine-tune the Teacher model (BLIP-2) on VQA-RAD.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Load the Student model (BLIP-VQA-Base) and warm-start it with a short ground-truth-only fine-tune.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Evaluate the zero-shot Teacher and the pre-KD Student baseline with BERTScore.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Attach LoRA adapters to the Student and run Knowledge Distillation using the fine-tuned Teacher's soft targets and vision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Re-evaluate the distilled Student and compare all model variants.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Generate qualitative samples: image + question + Teacher answer + Student answer + ground truth.</w:t>
      </w:r>
    </w:p>
    <w:p>
      <w:pPr>
        <w:pStyle w:val="Heading1"/>
        <w:pBdr>
          <w:bottom w:val="single" w:color="0F5C68" w:sz="6" w:space="4"/>
        </w:pBdr>
        <w:spacing w:after="160" w:before="320"/>
      </w:pPr>
      <w:r>
        <w:rPr>
          <w:b/>
          <w:bCs/>
          <w:color w:val="0B2E36"/>
          <w:sz w:val="30"/>
          <w:szCs w:val="30"/>
        </w:rPr>
        <w:t xml:space="preserve">4. Dataset: VQA-RAD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VQA-RAD (Visual Question Answering in Radiology) is a benchmark of radiologist-authored question-answer pairs built on real clinical radiology images (CT, MRI, and X-ray) covering the head, chest, and abdomen.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0F5C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700"/>
            <w:shd w:fill="0F5C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 images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315</w:t>
            </w:r>
          </w:p>
        </w:tc>
      </w:tr>
      <w:tr>
        <w:tc>
          <w:tcPr>
            <w:tcW w:type="dxa" w:w="4700"/>
            <w:shd w:fill="EA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 QA pairs (samples)</w:t>
            </w:r>
          </w:p>
        </w:tc>
        <w:tc>
          <w:tcPr>
            <w:tcW w:type="dxa" w:w="4700"/>
            <w:shd w:fill="EA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2,248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Closed-ended QA pairs (Yes/No)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1,299</w:t>
            </w:r>
          </w:p>
        </w:tc>
      </w:tr>
      <w:tr>
        <w:tc>
          <w:tcPr>
            <w:tcW w:type="dxa" w:w="4700"/>
            <w:shd w:fill="EA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Open-ended QA pairs (free text)</w:t>
            </w:r>
          </w:p>
        </w:tc>
        <w:tc>
          <w:tcPr>
            <w:tcW w:type="dxa" w:w="4700"/>
            <w:shd w:fill="EA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949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QA pairs used in this project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949 (open-ended only)</w:t>
            </w:r>
          </w:p>
        </w:tc>
      </w:tr>
    </w:tbl>
    <w:p>
      <w:pPr>
        <w:spacing w:after="100"/>
      </w:pPr>
    </w:p>
    <w:p>
      <w:pPr>
        <w:spacing w:after="160" w:line="300"/>
      </w:pPr>
      <w:r>
        <w:rPr>
          <w:color w:val="222222"/>
          <w:sz w:val="22"/>
          <w:szCs w:val="22"/>
        </w:rPr>
        <w:t xml:space="preserve">Closed-ended: short, categorical answers, mostly Yes/No (e.g. “Are the lungs normal appearing?” → “No”).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Open-ended: free-text answers describing location, organ, modality, or diagnosis (e.g. “Which organ system is abnormal in this image?” → “Cardiovascular”).</w:t>
      </w:r>
    </w:p>
    <w:p>
      <w:pPr>
        <w:pStyle w:val="Heading1"/>
        <w:pBdr>
          <w:bottom w:val="single" w:color="0F5C68" w:sz="6" w:space="4"/>
        </w:pBdr>
        <w:spacing w:after="160" w:before="320"/>
      </w:pPr>
      <w:r>
        <w:rPr>
          <w:b/>
          <w:bCs/>
          <w:color w:val="0B2E36"/>
          <w:sz w:val="30"/>
          <w:szCs w:val="30"/>
        </w:rPr>
        <w:t xml:space="preserve">5. Train / Validation / Test Split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0F5C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4700"/>
            <w:shd w:fill="0F5C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Samples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Train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685</w:t>
            </w:r>
          </w:p>
        </w:tc>
      </w:tr>
      <w:tr>
        <w:tc>
          <w:tcPr>
            <w:tcW w:type="dxa" w:w="4700"/>
            <w:shd w:fill="EA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Validation</w:t>
            </w:r>
          </w:p>
        </w:tc>
        <w:tc>
          <w:tcPr>
            <w:tcW w:type="dxa" w:w="4700"/>
            <w:shd w:fill="EA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121</w:t>
            </w:r>
          </w:p>
        </w:tc>
      </w:tr>
      <w:tr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143</w:t>
            </w:r>
          </w:p>
        </w:tc>
      </w:tr>
      <w:tr>
        <w:tc>
          <w:tcPr>
            <w:tcW w:type="dxa" w:w="4700"/>
            <w:shd w:fill="EA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tcW w:type="dxa" w:w="4700"/>
            <w:shd w:fill="EA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949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F5C68" w:sz="6" w:space="4"/>
        </w:pBdr>
        <w:spacing w:after="160" w:before="320"/>
      </w:pPr>
      <w:r>
        <w:rPr>
          <w:b/>
          <w:bCs/>
          <w:color w:val="0B2E36"/>
          <w:sz w:val="30"/>
          <w:szCs w:val="30"/>
        </w:rPr>
        <w:t xml:space="preserve">6. Models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400"/>
        <w:gridCol w:w="1800"/>
      </w:tblGrid>
      <w:tr>
        <w:trPr>
          <w:tblHeader/>
        </w:trPr>
        <w:tc>
          <w:tcPr>
            <w:tcW w:type="dxa" w:w="1800"/>
            <w:shd w:fill="0F5C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shd w:fill="0F5C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 Name</w:t>
            </w:r>
          </w:p>
        </w:tc>
        <w:tc>
          <w:tcPr>
            <w:tcW w:type="dxa" w:w="3400"/>
            <w:shd w:fill="0F5C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1800"/>
            <w:shd w:fill="0F5C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Teacher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BLIP-2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Salesforce/blip2-opt-2.7b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3,744.8M</w:t>
            </w:r>
          </w:p>
        </w:tc>
      </w:tr>
      <w:tr>
        <w:tc>
          <w:tcPr>
            <w:tcW w:type="dxa" w:w="1800"/>
            <w:shd w:fill="EA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Student</w:t>
            </w:r>
          </w:p>
        </w:tc>
        <w:tc>
          <w:tcPr>
            <w:tcW w:type="dxa" w:w="2400"/>
            <w:shd w:fill="EA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BLIP-VQA-Base</w:t>
            </w:r>
          </w:p>
        </w:tc>
        <w:tc>
          <w:tcPr>
            <w:tcW w:type="dxa" w:w="3400"/>
            <w:shd w:fill="EA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Salesforce/blip-vqa-base</w:t>
            </w:r>
          </w:p>
        </w:tc>
        <w:tc>
          <w:tcPr>
            <w:tcW w:type="dxa" w:w="1800"/>
            <w:shd w:fill="EA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384.7M</w:t>
            </w:r>
          </w:p>
        </w:tc>
      </w:tr>
    </w:tbl>
    <w:p>
      <w:pPr>
        <w:spacing w:after="100"/>
      </w:pP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Student model is about 89.7% smaller than the Teacher (384.7M vs. 3,744.8M parameters) — i.e. the Student is roughly 10.3% of the Teacher's size.</w:t>
      </w:r>
    </w:p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0F5C68"/>
          <w:sz w:val="24"/>
          <w:szCs w:val="24"/>
        </w:rPr>
        <w:t xml:space="preserve">6.1 Evaluation Metric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BERTScore (Precision, Recall, F1) using distilbert-base-uncased. Used instead of exact-match accuracy since VQA-RAD open-ended answers are free text, and BERTScore captures semantic similarity between predicted and ground-truth answers.</w:t>
      </w:r>
    </w:p>
    <w:p>
      <w:pPr>
        <w:pStyle w:val="Heading2"/>
        <w:spacing w:after="100" w:before="240"/>
      </w:pPr>
      <w:r>
        <w:rPr>
          <w:b/>
          <w:bCs/>
          <w:color w:val="0F5C68"/>
          <w:sz w:val="24"/>
          <w:szCs w:val="24"/>
        </w:rPr>
        <w:t xml:space="preserve">6.2 Results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1700"/>
        <w:gridCol w:w="1900"/>
      </w:tblGrid>
      <w:tr>
        <w:trPr>
          <w:tblHeader/>
        </w:trPr>
        <w:tc>
          <w:tcPr>
            <w:tcW w:type="dxa" w:w="4200"/>
            <w:shd w:fill="0F5C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700"/>
            <w:shd w:fill="0F5C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700"/>
            <w:shd w:fill="0F5C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900"/>
            <w:shd w:fill="0F5C6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Teacher — zero-shot (no fine-tuning)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0.7135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0.6803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0.6957</w:t>
            </w:r>
          </w:p>
        </w:tc>
      </w:tr>
      <w:tr>
        <w:tc>
          <w:tcPr>
            <w:tcW w:type="dxa" w:w="4200"/>
            <w:shd w:fill="EA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Teacher — fine-tuned</w:t>
            </w:r>
          </w:p>
        </w:tc>
        <w:tc>
          <w:tcPr>
            <w:tcW w:type="dxa" w:w="1700"/>
            <w:shd w:fill="EA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0.7863</w:t>
            </w:r>
          </w:p>
        </w:tc>
        <w:tc>
          <w:tcPr>
            <w:tcW w:type="dxa" w:w="1700"/>
            <w:shd w:fill="EA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0.7927</w:t>
            </w:r>
          </w:p>
        </w:tc>
        <w:tc>
          <w:tcPr>
            <w:tcW w:type="dxa" w:w="1900"/>
            <w:shd w:fill="EA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0.7884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Student — baseline (pre-KD)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0.6770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0.6510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0.6631</w:t>
            </w:r>
          </w:p>
        </w:tc>
      </w:tr>
      <w:tr>
        <w:tc>
          <w:tcPr>
            <w:tcW w:type="dxa" w:w="4200"/>
            <w:shd w:fill="EA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Student — LoRA + KD</w:t>
            </w:r>
          </w:p>
        </w:tc>
        <w:tc>
          <w:tcPr>
            <w:tcW w:type="dxa" w:w="1700"/>
            <w:shd w:fill="EA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0.7218</w:t>
            </w:r>
          </w:p>
        </w:tc>
        <w:tc>
          <w:tcPr>
            <w:tcW w:type="dxa" w:w="1700"/>
            <w:shd w:fill="EA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0.7414</w:t>
            </w:r>
          </w:p>
        </w:tc>
        <w:tc>
          <w:tcPr>
            <w:tcW w:type="dxa" w:w="1900"/>
            <w:shd w:fill="EAF3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0.7306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F5C68" w:sz="6" w:space="4"/>
        </w:pBdr>
        <w:spacing w:after="160" w:before="320"/>
      </w:pPr>
      <w:r>
        <w:rPr>
          <w:b/>
          <w:bCs/>
          <w:color w:val="0B2E36"/>
          <w:sz w:val="30"/>
          <w:szCs w:val="30"/>
        </w:rPr>
        <w:t xml:space="preserve">7. Challenges Faced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GPU memory constraints — running a 3.7B-parameter Teacher on a single T4 GPU (16GB).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Using bigger models crashed the disk — ran out of storage space while downloading/saving large checkpoints.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KD training instability — high learning rate caused validation F1 to collapse after epoch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Decoder input / label padding mismatch — caused CUDA index crashes during training.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Small dataset size — only 949 open-ended samples, limiting how much the Student could improve.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Dataset format variability — different releases use different column names and file formats.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2026-07-01T08:36:38.247Z</dcterms:created>
  <dcterms:modified xsi:type="dcterms:W3CDTF">2026-07-01T08:36:38.262Z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