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008FB" w14:textId="45E70E85" w:rsidR="00C82E23" w:rsidRPr="00C82E23" w:rsidRDefault="00C82E23" w:rsidP="00C82E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E23">
        <w:rPr>
          <w:rFonts w:ascii="Times New Roman" w:eastAsia="Times New Roman" w:hAnsi="Times New Roman" w:cs="Times New Roman"/>
          <w:b/>
          <w:bCs/>
          <w:kern w:val="36"/>
          <w:sz w:val="48"/>
          <w:szCs w:val="48"/>
          <w14:ligatures w14:val="none"/>
        </w:rPr>
        <w:t>Emotion-Responsive Food Ordering Systems: A Controlled Comparison of Baseline and Adaptive Interfaces for Cognitive Ergonomics Enhancement</w:t>
      </w:r>
    </w:p>
    <w:p w14:paraId="03456578" w14:textId="77777777" w:rsidR="00C82E23" w:rsidRPr="00C82E23" w:rsidRDefault="00C82E23" w:rsidP="00C82E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E23">
        <w:rPr>
          <w:rFonts w:ascii="Times New Roman" w:eastAsia="Times New Roman" w:hAnsi="Times New Roman" w:cs="Times New Roman"/>
          <w:b/>
          <w:bCs/>
          <w:kern w:val="0"/>
          <w:sz w:val="36"/>
          <w:szCs w:val="36"/>
          <w14:ligatures w14:val="none"/>
        </w:rPr>
        <w:t>Abstract</w:t>
      </w:r>
    </w:p>
    <w:p w14:paraId="18526FBB"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This study presents a comprehensive controlled experiment comparing baseline and emotion-responsive food ordering interfaces through "Curry Creations," the EYEAI restaurant ordering system integrating cognitive ergonomics principles with affective computing. A within-subjects design with 50 participants completing 500 total trials demonstrated significant performance differences between interface conditions. The emotion-responsive system achieved 23% higher user satisfaction (6.4 vs 5.2/7.0), 31% lower cognitive workload (NASA-TLX: 47.3 vs 68.7/100), superior system usability (SUS: 88.2 vs 72.4/100), and 28% higher recommendation acceptance rates (84.7% vs 66.2%). Task completion efficiency remained stable across conditions (6.8s baseline vs 6.9s adaptive), indicating that cognitive ergonomics enhancements can be achieved without performance penalties. The multi-agent architecture demonstrated effective emotion recognition, contextual adaptation, and personalized recommendation generation while maintaining interface simplicity. Statistical analysis revealed significant learning effects within each condition and strong evidence for the effectiveness of emotion-aware interfaces in reducing decision fatigue and enhancing user experience. These findings establish empirical evidence for emotion-responsive design principles in interactive systems and provide validated methodologies for implementing adaptive interfaces in real-world applications.</w:t>
      </w:r>
    </w:p>
    <w:p w14:paraId="2D952930"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b/>
          <w:bCs/>
          <w:kern w:val="0"/>
          <w14:ligatures w14:val="none"/>
        </w:rPr>
        <w:t>Keywords</w:t>
      </w:r>
      <w:r w:rsidRPr="00C82E23">
        <w:rPr>
          <w:rFonts w:ascii="Times New Roman" w:eastAsia="Times New Roman" w:hAnsi="Times New Roman" w:cs="Times New Roman"/>
          <w:kern w:val="0"/>
          <w14:ligatures w14:val="none"/>
        </w:rPr>
        <w:t>: cognitive ergonomics; emotion-responsive interfaces; human-computer interaction; adaptive systems; affective computing; multi-agent architecture; controlled experiment; baseline comparison</w:t>
      </w:r>
    </w:p>
    <w:p w14:paraId="4E59CF28" w14:textId="77777777" w:rsidR="00C82E23" w:rsidRPr="00C82E23" w:rsidRDefault="00C82E23" w:rsidP="00C82E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E23">
        <w:rPr>
          <w:rFonts w:ascii="Times New Roman" w:eastAsia="Times New Roman" w:hAnsi="Times New Roman" w:cs="Times New Roman"/>
          <w:b/>
          <w:bCs/>
          <w:kern w:val="0"/>
          <w:sz w:val="36"/>
          <w:szCs w:val="36"/>
          <w14:ligatures w14:val="none"/>
        </w:rPr>
        <w:t>1. Introduction</w:t>
      </w:r>
    </w:p>
    <w:p w14:paraId="666D1EA0" w14:textId="0CEAFD35"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 xml:space="preserve">The proliferation of digital interfaces in contemporary society has created unprecedented opportunities for enhancing human-computer interaction through emotion-aware design. Food ordering systems exemplify environments where user emotional states significantly influence decision-making processes, preference formation, and overall satisfaction with digital experiences </w:t>
      </w:r>
      <w:sdt>
        <w:sdtPr>
          <w:rPr>
            <w:rFonts w:ascii="Times New Roman" w:eastAsia="Times New Roman" w:hAnsi="Times New Roman" w:cs="Times New Roman"/>
            <w:kern w:val="0"/>
            <w14:ligatures w14:val="none"/>
          </w:rPr>
          <w:id w:val="1710602229"/>
          <w:citation/>
        </w:sdtPr>
        <w:sdtContent>
          <w:r w:rsidR="00746FC6">
            <w:rPr>
              <w:rFonts w:ascii="Times New Roman" w:eastAsia="Times New Roman" w:hAnsi="Times New Roman" w:cs="Times New Roman"/>
              <w:kern w:val="0"/>
              <w14:ligatures w14:val="none"/>
            </w:rPr>
            <w:fldChar w:fldCharType="begin"/>
          </w:r>
          <w:r w:rsidR="00746FC6">
            <w:rPr>
              <w:rFonts w:ascii="Times New Roman" w:eastAsia="Times New Roman" w:hAnsi="Times New Roman" w:cs="Times New Roman"/>
              <w:kern w:val="0"/>
              <w14:ligatures w14:val="none"/>
            </w:rPr>
            <w:instrText xml:space="preserve"> CITATION Sch10 \l 1033 </w:instrText>
          </w:r>
          <w:r w:rsidR="00746FC6">
            <w:rPr>
              <w:rFonts w:ascii="Times New Roman" w:eastAsia="Times New Roman" w:hAnsi="Times New Roman" w:cs="Times New Roman"/>
              <w:kern w:val="0"/>
              <w14:ligatures w14:val="none"/>
            </w:rPr>
            <w:fldChar w:fldCharType="separate"/>
          </w:r>
          <w:r w:rsidR="00C01277" w:rsidRPr="00C01277">
            <w:rPr>
              <w:rFonts w:ascii="Times New Roman" w:eastAsia="Times New Roman" w:hAnsi="Times New Roman" w:cs="Times New Roman"/>
              <w:noProof/>
              <w:kern w:val="0"/>
              <w14:ligatures w14:val="none"/>
            </w:rPr>
            <w:t>(Scheibehenne , Greifeneder , &amp; Todd, 2010)</w:t>
          </w:r>
          <w:r w:rsidR="00746FC6">
            <w:rPr>
              <w:rFonts w:ascii="Times New Roman" w:eastAsia="Times New Roman" w:hAnsi="Times New Roman" w:cs="Times New Roman"/>
              <w:kern w:val="0"/>
              <w14:ligatures w14:val="none"/>
            </w:rPr>
            <w:fldChar w:fldCharType="end"/>
          </w:r>
        </w:sdtContent>
      </w:sdt>
      <w:r w:rsidRPr="00C82E23">
        <w:rPr>
          <w:rFonts w:ascii="Times New Roman" w:eastAsia="Times New Roman" w:hAnsi="Times New Roman" w:cs="Times New Roman"/>
          <w:kern w:val="0"/>
          <w14:ligatures w14:val="none"/>
        </w:rPr>
        <w:t xml:space="preserve">. Traditional static interfaces fail to accommodate the dynamic nature of human emotional and contextual variability, potentially increasing cognitive load, decision fatigue, and user frustration </w:t>
      </w:r>
      <w:sdt>
        <w:sdtPr>
          <w:rPr>
            <w:rFonts w:ascii="Times New Roman" w:eastAsia="Times New Roman" w:hAnsi="Times New Roman" w:cs="Times New Roman"/>
            <w:kern w:val="0"/>
            <w14:ligatures w14:val="none"/>
          </w:rPr>
          <w:id w:val="-857268346"/>
          <w:citation/>
        </w:sdtPr>
        <w:sdtContent>
          <w:r w:rsidR="00746FC6">
            <w:rPr>
              <w:rFonts w:ascii="Times New Roman" w:eastAsia="Times New Roman" w:hAnsi="Times New Roman" w:cs="Times New Roman"/>
              <w:kern w:val="0"/>
              <w14:ligatures w14:val="none"/>
            </w:rPr>
            <w:fldChar w:fldCharType="begin"/>
          </w:r>
          <w:r w:rsidR="00746FC6">
            <w:rPr>
              <w:rFonts w:ascii="Times New Roman" w:eastAsia="Times New Roman" w:hAnsi="Times New Roman" w:cs="Times New Roman"/>
              <w:kern w:val="0"/>
              <w14:ligatures w14:val="none"/>
            </w:rPr>
            <w:instrText xml:space="preserve"> CITATION Kös15 \l 1033 </w:instrText>
          </w:r>
          <w:r w:rsidR="00746FC6">
            <w:rPr>
              <w:rFonts w:ascii="Times New Roman" w:eastAsia="Times New Roman" w:hAnsi="Times New Roman" w:cs="Times New Roman"/>
              <w:kern w:val="0"/>
              <w14:ligatures w14:val="none"/>
            </w:rPr>
            <w:fldChar w:fldCharType="separate"/>
          </w:r>
          <w:r w:rsidR="00C01277" w:rsidRPr="00C01277">
            <w:rPr>
              <w:rFonts w:ascii="Times New Roman" w:eastAsia="Times New Roman" w:hAnsi="Times New Roman" w:cs="Times New Roman"/>
              <w:noProof/>
              <w:kern w:val="0"/>
              <w14:ligatures w14:val="none"/>
            </w:rPr>
            <w:t>(Köster &amp; Mojet , 2015)</w:t>
          </w:r>
          <w:r w:rsidR="00746FC6">
            <w:rPr>
              <w:rFonts w:ascii="Times New Roman" w:eastAsia="Times New Roman" w:hAnsi="Times New Roman" w:cs="Times New Roman"/>
              <w:kern w:val="0"/>
              <w14:ligatures w14:val="none"/>
            </w:rPr>
            <w:fldChar w:fldCharType="end"/>
          </w:r>
        </w:sdtContent>
      </w:sdt>
      <w:r w:rsidRPr="00C82E23">
        <w:rPr>
          <w:rFonts w:ascii="Times New Roman" w:eastAsia="Times New Roman" w:hAnsi="Times New Roman" w:cs="Times New Roman"/>
          <w:kern w:val="0"/>
          <w14:ligatures w14:val="none"/>
        </w:rPr>
        <w:t xml:space="preserve">. This limitation directly contradicts established cognitive ergonomics principles that emphasize adaptive system design to support human cognitive characteristics and optimize performance outcomes </w:t>
      </w:r>
      <w:sdt>
        <w:sdtPr>
          <w:rPr>
            <w:rFonts w:ascii="Times New Roman" w:eastAsia="Times New Roman" w:hAnsi="Times New Roman" w:cs="Times New Roman"/>
            <w:kern w:val="0"/>
            <w14:ligatures w14:val="none"/>
          </w:rPr>
          <w:id w:val="466707200"/>
          <w:citation/>
        </w:sdtPr>
        <w:sdtContent>
          <w:r w:rsidR="00746FC6">
            <w:rPr>
              <w:rFonts w:ascii="Times New Roman" w:eastAsia="Times New Roman" w:hAnsi="Times New Roman" w:cs="Times New Roman"/>
              <w:kern w:val="0"/>
              <w14:ligatures w14:val="none"/>
            </w:rPr>
            <w:fldChar w:fldCharType="begin"/>
          </w:r>
          <w:r w:rsidR="00746FC6">
            <w:rPr>
              <w:rFonts w:ascii="Times New Roman" w:eastAsia="Times New Roman" w:hAnsi="Times New Roman" w:cs="Times New Roman"/>
              <w:kern w:val="0"/>
              <w14:ligatures w14:val="none"/>
            </w:rPr>
            <w:instrText xml:space="preserve"> CITATION Lee03 \l 1033 </w:instrText>
          </w:r>
          <w:r w:rsidR="00746FC6">
            <w:rPr>
              <w:rFonts w:ascii="Times New Roman" w:eastAsia="Times New Roman" w:hAnsi="Times New Roman" w:cs="Times New Roman"/>
              <w:kern w:val="0"/>
              <w14:ligatures w14:val="none"/>
            </w:rPr>
            <w:fldChar w:fldCharType="separate"/>
          </w:r>
          <w:r w:rsidR="00C01277" w:rsidRPr="00C01277">
            <w:rPr>
              <w:rFonts w:ascii="Times New Roman" w:eastAsia="Times New Roman" w:hAnsi="Times New Roman" w:cs="Times New Roman"/>
              <w:noProof/>
              <w:kern w:val="0"/>
              <w14:ligatures w14:val="none"/>
            </w:rPr>
            <w:t>(Lee , Gordon-Becker, Liu, &amp; Wickens , 2003)</w:t>
          </w:r>
          <w:r w:rsidR="00746FC6">
            <w:rPr>
              <w:rFonts w:ascii="Times New Roman" w:eastAsia="Times New Roman" w:hAnsi="Times New Roman" w:cs="Times New Roman"/>
              <w:kern w:val="0"/>
              <w14:ligatures w14:val="none"/>
            </w:rPr>
            <w:fldChar w:fldCharType="end"/>
          </w:r>
        </w:sdtContent>
      </w:sdt>
      <w:r w:rsidRPr="00C82E23">
        <w:rPr>
          <w:rFonts w:ascii="Times New Roman" w:eastAsia="Times New Roman" w:hAnsi="Times New Roman" w:cs="Times New Roman"/>
          <w:kern w:val="0"/>
          <w14:ligatures w14:val="none"/>
        </w:rPr>
        <w:t>.</w:t>
      </w:r>
    </w:p>
    <w:p w14:paraId="033CCBF3" w14:textId="22AA93A0"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lastRenderedPageBreak/>
        <w:t>Recent developments in affective computing have enabled sophisticated recognition and interpretation of human emotional states through facial expression analysis, physiological monitoring, and behavioral pattern detection</w:t>
      </w:r>
      <w:sdt>
        <w:sdtPr>
          <w:rPr>
            <w:rFonts w:ascii="Times New Roman" w:eastAsia="Times New Roman" w:hAnsi="Times New Roman" w:cs="Times New Roman"/>
            <w:kern w:val="0"/>
            <w14:ligatures w14:val="none"/>
          </w:rPr>
          <w:id w:val="-1102177951"/>
          <w:citation/>
        </w:sdtPr>
        <w:sdtContent>
          <w:r w:rsidR="00846C28">
            <w:rPr>
              <w:rFonts w:ascii="Times New Roman" w:eastAsia="Times New Roman" w:hAnsi="Times New Roman" w:cs="Times New Roman"/>
              <w:kern w:val="0"/>
              <w14:ligatures w14:val="none"/>
            </w:rPr>
            <w:fldChar w:fldCharType="begin"/>
          </w:r>
          <w:r w:rsidR="00846C28">
            <w:rPr>
              <w:rFonts w:ascii="Times New Roman" w:eastAsia="Times New Roman" w:hAnsi="Times New Roman" w:cs="Times New Roman"/>
              <w:kern w:val="0"/>
              <w14:ligatures w14:val="none"/>
            </w:rPr>
            <w:instrText xml:space="preserve"> CITATION Pic97 \l 1033 </w:instrText>
          </w:r>
          <w:r w:rsidR="00846C28">
            <w:rPr>
              <w:rFonts w:ascii="Times New Roman" w:eastAsia="Times New Roman" w:hAnsi="Times New Roman" w:cs="Times New Roman"/>
              <w:kern w:val="0"/>
              <w14:ligatures w14:val="none"/>
            </w:rPr>
            <w:fldChar w:fldCharType="separate"/>
          </w:r>
          <w:r w:rsidR="00C01277">
            <w:rPr>
              <w:rFonts w:ascii="Times New Roman" w:eastAsia="Times New Roman" w:hAnsi="Times New Roman" w:cs="Times New Roman"/>
              <w:noProof/>
              <w:kern w:val="0"/>
              <w14:ligatures w14:val="none"/>
            </w:rPr>
            <w:t xml:space="preserve"> </w:t>
          </w:r>
          <w:r w:rsidR="00C01277" w:rsidRPr="00C01277">
            <w:rPr>
              <w:rFonts w:ascii="Times New Roman" w:eastAsia="Times New Roman" w:hAnsi="Times New Roman" w:cs="Times New Roman"/>
              <w:noProof/>
              <w:kern w:val="0"/>
              <w14:ligatures w14:val="none"/>
            </w:rPr>
            <w:t>(Picard, 1997)</w:t>
          </w:r>
          <w:r w:rsidR="00846C28">
            <w:rPr>
              <w:rFonts w:ascii="Times New Roman" w:eastAsia="Times New Roman" w:hAnsi="Times New Roman" w:cs="Times New Roman"/>
              <w:kern w:val="0"/>
              <w14:ligatures w14:val="none"/>
            </w:rPr>
            <w:fldChar w:fldCharType="end"/>
          </w:r>
        </w:sdtContent>
      </w:sdt>
      <w:r w:rsidRPr="00C82E23">
        <w:rPr>
          <w:rFonts w:ascii="Times New Roman" w:eastAsia="Times New Roman" w:hAnsi="Times New Roman" w:cs="Times New Roman"/>
          <w:kern w:val="0"/>
          <w14:ligatures w14:val="none"/>
        </w:rPr>
        <w:t xml:space="preserve">. However, the practical implementation of emotion-responsive interfaces in real-world applications remains limited by insufficient empirical validation, particularly in controlled experimental settings that can isolate the effects of adaptive features from confounding variables </w:t>
      </w:r>
      <w:sdt>
        <w:sdtPr>
          <w:rPr>
            <w:rFonts w:ascii="Times New Roman" w:eastAsia="Times New Roman" w:hAnsi="Times New Roman" w:cs="Times New Roman"/>
            <w:kern w:val="0"/>
            <w14:ligatures w14:val="none"/>
          </w:rPr>
          <w:id w:val="1173290455"/>
          <w:citation/>
        </w:sdtPr>
        <w:sdtContent>
          <w:r w:rsidR="00F118C1">
            <w:rPr>
              <w:rFonts w:ascii="Times New Roman" w:eastAsia="Times New Roman" w:hAnsi="Times New Roman" w:cs="Times New Roman"/>
              <w:kern w:val="0"/>
              <w14:ligatures w14:val="none"/>
            </w:rPr>
            <w:fldChar w:fldCharType="begin"/>
          </w:r>
          <w:r w:rsidR="00F118C1">
            <w:rPr>
              <w:rFonts w:ascii="Times New Roman" w:eastAsia="Times New Roman" w:hAnsi="Times New Roman" w:cs="Times New Roman"/>
              <w:kern w:val="0"/>
              <w14:ligatures w14:val="none"/>
            </w:rPr>
            <w:instrText xml:space="preserve"> CITATION Cal15 \l 1033 </w:instrText>
          </w:r>
          <w:r w:rsidR="00F118C1">
            <w:rPr>
              <w:rFonts w:ascii="Times New Roman" w:eastAsia="Times New Roman" w:hAnsi="Times New Roman" w:cs="Times New Roman"/>
              <w:kern w:val="0"/>
              <w14:ligatures w14:val="none"/>
            </w:rPr>
            <w:fldChar w:fldCharType="separate"/>
          </w:r>
          <w:r w:rsidR="00C01277" w:rsidRPr="00C01277">
            <w:rPr>
              <w:rFonts w:ascii="Times New Roman" w:eastAsia="Times New Roman" w:hAnsi="Times New Roman" w:cs="Times New Roman"/>
              <w:noProof/>
              <w:kern w:val="0"/>
              <w14:ligatures w14:val="none"/>
            </w:rPr>
            <w:t>(Calvo, D'Mello, Gratch, &amp; Kappas, 2015)</w:t>
          </w:r>
          <w:r w:rsidR="00F118C1">
            <w:rPr>
              <w:rFonts w:ascii="Times New Roman" w:eastAsia="Times New Roman" w:hAnsi="Times New Roman" w:cs="Times New Roman"/>
              <w:kern w:val="0"/>
              <w14:ligatures w14:val="none"/>
            </w:rPr>
            <w:fldChar w:fldCharType="end"/>
          </w:r>
        </w:sdtContent>
      </w:sdt>
      <w:r w:rsidRPr="00C82E23">
        <w:rPr>
          <w:rFonts w:ascii="Times New Roman" w:eastAsia="Times New Roman" w:hAnsi="Times New Roman" w:cs="Times New Roman"/>
          <w:kern w:val="0"/>
          <w14:ligatures w14:val="none"/>
        </w:rPr>
        <w:t xml:space="preserve">. The food ordering domain presents an ideal context for investigating emotion-responsive design principles due to the direct relationship between emotional state and food preference, the prevalence of choice overload in menu selection, and the growing ubiquity of digital ordering platforms </w:t>
      </w:r>
      <w:sdt>
        <w:sdtPr>
          <w:rPr>
            <w:rFonts w:ascii="Times New Roman" w:eastAsia="Times New Roman" w:hAnsi="Times New Roman" w:cs="Times New Roman"/>
            <w:kern w:val="0"/>
            <w14:ligatures w14:val="none"/>
          </w:rPr>
          <w:id w:val="-557244701"/>
          <w:citation/>
        </w:sdtPr>
        <w:sdtContent>
          <w:r w:rsidR="00247861">
            <w:rPr>
              <w:rFonts w:ascii="Times New Roman" w:eastAsia="Times New Roman" w:hAnsi="Times New Roman" w:cs="Times New Roman"/>
              <w:kern w:val="0"/>
              <w14:ligatures w14:val="none"/>
            </w:rPr>
            <w:fldChar w:fldCharType="begin"/>
          </w:r>
          <w:r w:rsidR="00247861">
            <w:rPr>
              <w:rFonts w:ascii="Times New Roman" w:eastAsia="Times New Roman" w:hAnsi="Times New Roman" w:cs="Times New Roman"/>
              <w:kern w:val="0"/>
              <w14:ligatures w14:val="none"/>
            </w:rPr>
            <w:instrText xml:space="preserve"> CITATION Iye00 \l 1033 </w:instrText>
          </w:r>
          <w:r w:rsidR="00247861">
            <w:rPr>
              <w:rFonts w:ascii="Times New Roman" w:eastAsia="Times New Roman" w:hAnsi="Times New Roman" w:cs="Times New Roman"/>
              <w:kern w:val="0"/>
              <w14:ligatures w14:val="none"/>
            </w:rPr>
            <w:fldChar w:fldCharType="separate"/>
          </w:r>
          <w:r w:rsidR="00C01277" w:rsidRPr="00C01277">
            <w:rPr>
              <w:rFonts w:ascii="Times New Roman" w:eastAsia="Times New Roman" w:hAnsi="Times New Roman" w:cs="Times New Roman"/>
              <w:noProof/>
              <w:kern w:val="0"/>
              <w14:ligatures w14:val="none"/>
            </w:rPr>
            <w:t>(Iyengar &amp; Lepper, 2000)</w:t>
          </w:r>
          <w:r w:rsidR="00247861">
            <w:rPr>
              <w:rFonts w:ascii="Times New Roman" w:eastAsia="Times New Roman" w:hAnsi="Times New Roman" w:cs="Times New Roman"/>
              <w:kern w:val="0"/>
              <w14:ligatures w14:val="none"/>
            </w:rPr>
            <w:fldChar w:fldCharType="end"/>
          </w:r>
        </w:sdtContent>
      </w:sdt>
      <w:sdt>
        <w:sdtPr>
          <w:rPr>
            <w:rFonts w:ascii="Times New Roman" w:eastAsia="Times New Roman" w:hAnsi="Times New Roman" w:cs="Times New Roman"/>
            <w:kern w:val="0"/>
            <w14:ligatures w14:val="none"/>
          </w:rPr>
          <w:id w:val="965854559"/>
          <w:citation/>
        </w:sdtPr>
        <w:sdtContent>
          <w:r w:rsidR="00247861">
            <w:rPr>
              <w:rFonts w:ascii="Times New Roman" w:eastAsia="Times New Roman" w:hAnsi="Times New Roman" w:cs="Times New Roman"/>
              <w:kern w:val="0"/>
              <w14:ligatures w14:val="none"/>
            </w:rPr>
            <w:fldChar w:fldCharType="begin"/>
          </w:r>
          <w:r w:rsidR="00247861">
            <w:rPr>
              <w:rFonts w:ascii="Times New Roman" w:eastAsia="Times New Roman" w:hAnsi="Times New Roman" w:cs="Times New Roman"/>
              <w:kern w:val="0"/>
              <w14:ligatures w14:val="none"/>
            </w:rPr>
            <w:instrText xml:space="preserve"> CITATION Sch04 \l 1033 </w:instrText>
          </w:r>
          <w:r w:rsidR="00247861">
            <w:rPr>
              <w:rFonts w:ascii="Times New Roman" w:eastAsia="Times New Roman" w:hAnsi="Times New Roman" w:cs="Times New Roman"/>
              <w:kern w:val="0"/>
              <w14:ligatures w14:val="none"/>
            </w:rPr>
            <w:fldChar w:fldCharType="separate"/>
          </w:r>
          <w:r w:rsidR="00C01277">
            <w:rPr>
              <w:rFonts w:ascii="Times New Roman" w:eastAsia="Times New Roman" w:hAnsi="Times New Roman" w:cs="Times New Roman"/>
              <w:noProof/>
              <w:kern w:val="0"/>
              <w14:ligatures w14:val="none"/>
            </w:rPr>
            <w:t xml:space="preserve"> </w:t>
          </w:r>
          <w:r w:rsidR="00C01277" w:rsidRPr="00C01277">
            <w:rPr>
              <w:rFonts w:ascii="Times New Roman" w:eastAsia="Times New Roman" w:hAnsi="Times New Roman" w:cs="Times New Roman"/>
              <w:noProof/>
              <w:kern w:val="0"/>
              <w14:ligatures w14:val="none"/>
            </w:rPr>
            <w:t>(Schwartz, 2004)</w:t>
          </w:r>
          <w:r w:rsidR="00247861">
            <w:rPr>
              <w:rFonts w:ascii="Times New Roman" w:eastAsia="Times New Roman" w:hAnsi="Times New Roman" w:cs="Times New Roman"/>
              <w:kern w:val="0"/>
              <w14:ligatures w14:val="none"/>
            </w:rPr>
            <w:fldChar w:fldCharType="end"/>
          </w:r>
        </w:sdtContent>
      </w:sdt>
    </w:p>
    <w:p w14:paraId="4E68EB5D" w14:textId="4A144F82"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 xml:space="preserve">Choice overload theory demonstrates that individuals faced with extensive options often experience decision paralysis, reduced satisfaction, and increased cognitive burden </w:t>
      </w:r>
      <w:sdt>
        <w:sdtPr>
          <w:rPr>
            <w:rFonts w:ascii="Times New Roman" w:eastAsia="Times New Roman" w:hAnsi="Times New Roman" w:cs="Times New Roman"/>
            <w:kern w:val="0"/>
            <w14:ligatures w14:val="none"/>
          </w:rPr>
          <w:id w:val="-985317550"/>
          <w:citation/>
        </w:sdtPr>
        <w:sdtContent>
          <w:r w:rsidR="004E7796">
            <w:rPr>
              <w:rFonts w:ascii="Times New Roman" w:eastAsia="Times New Roman" w:hAnsi="Times New Roman" w:cs="Times New Roman"/>
              <w:kern w:val="0"/>
              <w14:ligatures w14:val="none"/>
            </w:rPr>
            <w:fldChar w:fldCharType="begin"/>
          </w:r>
          <w:r w:rsidR="004E7796">
            <w:rPr>
              <w:rFonts w:ascii="Times New Roman" w:eastAsia="Times New Roman" w:hAnsi="Times New Roman" w:cs="Times New Roman"/>
              <w:kern w:val="0"/>
              <w14:ligatures w14:val="none"/>
            </w:rPr>
            <w:instrText xml:space="preserve"> CITATION Sch04 \l 1033 </w:instrText>
          </w:r>
          <w:r w:rsidR="004E7796">
            <w:rPr>
              <w:rFonts w:ascii="Times New Roman" w:eastAsia="Times New Roman" w:hAnsi="Times New Roman" w:cs="Times New Roman"/>
              <w:kern w:val="0"/>
              <w14:ligatures w14:val="none"/>
            </w:rPr>
            <w:fldChar w:fldCharType="separate"/>
          </w:r>
          <w:r w:rsidR="00C01277" w:rsidRPr="00C01277">
            <w:rPr>
              <w:rFonts w:ascii="Times New Roman" w:eastAsia="Times New Roman" w:hAnsi="Times New Roman" w:cs="Times New Roman"/>
              <w:noProof/>
              <w:kern w:val="0"/>
              <w14:ligatures w14:val="none"/>
            </w:rPr>
            <w:t>(Schwartz, 2004)</w:t>
          </w:r>
          <w:r w:rsidR="004E7796">
            <w:rPr>
              <w:rFonts w:ascii="Times New Roman" w:eastAsia="Times New Roman" w:hAnsi="Times New Roman" w:cs="Times New Roman"/>
              <w:kern w:val="0"/>
              <w14:ligatures w14:val="none"/>
            </w:rPr>
            <w:fldChar w:fldCharType="end"/>
          </w:r>
        </w:sdtContent>
      </w:sdt>
      <w:r w:rsidR="004E7796">
        <w:rPr>
          <w:rFonts w:ascii="Times New Roman" w:eastAsia="Times New Roman" w:hAnsi="Times New Roman" w:cs="Times New Roman"/>
          <w:kern w:val="0"/>
          <w14:ligatures w14:val="none"/>
        </w:rPr>
        <w:t>.</w:t>
      </w:r>
      <w:r w:rsidRPr="00C82E23">
        <w:rPr>
          <w:rFonts w:ascii="Times New Roman" w:eastAsia="Times New Roman" w:hAnsi="Times New Roman" w:cs="Times New Roman"/>
          <w:kern w:val="0"/>
          <w14:ligatures w14:val="none"/>
        </w:rPr>
        <w:t xml:space="preserve">In food ordering contexts, this phenomenon is exacerbated by the emotional nature of food preferences, time constraints typical of ordering scenarios, and the complex interplay between nutritional considerations, taste preferences, and contextual factors such as weather and activity level </w:t>
      </w:r>
      <w:sdt>
        <w:sdtPr>
          <w:rPr>
            <w:rFonts w:ascii="Times New Roman" w:eastAsia="Times New Roman" w:hAnsi="Times New Roman" w:cs="Times New Roman"/>
            <w:kern w:val="0"/>
            <w14:ligatures w14:val="none"/>
          </w:rPr>
          <w:id w:val="2044013395"/>
          <w:citation/>
        </w:sdtPr>
        <w:sdtContent>
          <w:r w:rsidR="004E7796">
            <w:rPr>
              <w:rFonts w:ascii="Times New Roman" w:eastAsia="Times New Roman" w:hAnsi="Times New Roman" w:cs="Times New Roman"/>
              <w:kern w:val="0"/>
              <w14:ligatures w14:val="none"/>
            </w:rPr>
            <w:fldChar w:fldCharType="begin"/>
          </w:r>
          <w:r w:rsidR="004E7796">
            <w:rPr>
              <w:rFonts w:ascii="Times New Roman" w:eastAsia="Times New Roman" w:hAnsi="Times New Roman" w:cs="Times New Roman"/>
              <w:kern w:val="0"/>
              <w14:ligatures w14:val="none"/>
            </w:rPr>
            <w:instrText xml:space="preserve"> CITATION Gib061 \l 1033 </w:instrText>
          </w:r>
          <w:r w:rsidR="004E7796">
            <w:rPr>
              <w:rFonts w:ascii="Times New Roman" w:eastAsia="Times New Roman" w:hAnsi="Times New Roman" w:cs="Times New Roman"/>
              <w:kern w:val="0"/>
              <w14:ligatures w14:val="none"/>
            </w:rPr>
            <w:fldChar w:fldCharType="separate"/>
          </w:r>
          <w:r w:rsidR="00C01277" w:rsidRPr="00C01277">
            <w:rPr>
              <w:rFonts w:ascii="Times New Roman" w:eastAsia="Times New Roman" w:hAnsi="Times New Roman" w:cs="Times New Roman"/>
              <w:noProof/>
              <w:kern w:val="0"/>
              <w14:ligatures w14:val="none"/>
            </w:rPr>
            <w:t>(Gibson, 2006,)</w:t>
          </w:r>
          <w:r w:rsidR="004E7796">
            <w:rPr>
              <w:rFonts w:ascii="Times New Roman" w:eastAsia="Times New Roman" w:hAnsi="Times New Roman" w:cs="Times New Roman"/>
              <w:kern w:val="0"/>
              <w14:ligatures w14:val="none"/>
            </w:rPr>
            <w:fldChar w:fldCharType="end"/>
          </w:r>
        </w:sdtContent>
      </w:sdt>
      <w:r w:rsidRPr="00C82E23">
        <w:rPr>
          <w:rFonts w:ascii="Times New Roman" w:eastAsia="Times New Roman" w:hAnsi="Times New Roman" w:cs="Times New Roman"/>
          <w:kern w:val="0"/>
          <w14:ligatures w14:val="none"/>
        </w:rPr>
        <w:t>. Traditional ordering interfaces present standardized menu options without considering these dynamic factors, potentially undermining user experience and decision quality.</w:t>
      </w:r>
    </w:p>
    <w:p w14:paraId="2A1A3092" w14:textId="547F7C1A"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 xml:space="preserve">Norman's emotional design framework provides theoretical foundation for understanding how interfaces can be designed to support positive emotional experiences across visceral, behavioral, and reflective levels </w:t>
      </w:r>
      <w:sdt>
        <w:sdtPr>
          <w:rPr>
            <w:rFonts w:ascii="Times New Roman" w:eastAsia="Times New Roman" w:hAnsi="Times New Roman" w:cs="Times New Roman"/>
            <w:kern w:val="0"/>
            <w14:ligatures w14:val="none"/>
          </w:rPr>
          <w:id w:val="-1398822108"/>
          <w:citation/>
        </w:sdtPr>
        <w:sdtContent>
          <w:r w:rsidR="004E7796">
            <w:rPr>
              <w:rFonts w:ascii="Times New Roman" w:eastAsia="Times New Roman" w:hAnsi="Times New Roman" w:cs="Times New Roman"/>
              <w:kern w:val="0"/>
              <w14:ligatures w14:val="none"/>
            </w:rPr>
            <w:fldChar w:fldCharType="begin"/>
          </w:r>
          <w:r w:rsidR="004E7796">
            <w:rPr>
              <w:rFonts w:ascii="Times New Roman" w:eastAsia="Times New Roman" w:hAnsi="Times New Roman" w:cs="Times New Roman"/>
              <w:kern w:val="0"/>
              <w14:ligatures w14:val="none"/>
            </w:rPr>
            <w:instrText xml:space="preserve"> CITATION Nor04 \l 1033 </w:instrText>
          </w:r>
          <w:r w:rsidR="004E7796">
            <w:rPr>
              <w:rFonts w:ascii="Times New Roman" w:eastAsia="Times New Roman" w:hAnsi="Times New Roman" w:cs="Times New Roman"/>
              <w:kern w:val="0"/>
              <w14:ligatures w14:val="none"/>
            </w:rPr>
            <w:fldChar w:fldCharType="separate"/>
          </w:r>
          <w:r w:rsidR="00C01277" w:rsidRPr="00C01277">
            <w:rPr>
              <w:rFonts w:ascii="Times New Roman" w:eastAsia="Times New Roman" w:hAnsi="Times New Roman" w:cs="Times New Roman"/>
              <w:noProof/>
              <w:kern w:val="0"/>
              <w14:ligatures w14:val="none"/>
            </w:rPr>
            <w:t>(Norman, 2004.)</w:t>
          </w:r>
          <w:r w:rsidR="004E7796">
            <w:rPr>
              <w:rFonts w:ascii="Times New Roman" w:eastAsia="Times New Roman" w:hAnsi="Times New Roman" w:cs="Times New Roman"/>
              <w:kern w:val="0"/>
              <w14:ligatures w14:val="none"/>
            </w:rPr>
            <w:fldChar w:fldCharType="end"/>
          </w:r>
        </w:sdtContent>
      </w:sdt>
      <w:r w:rsidRPr="00C82E23">
        <w:rPr>
          <w:rFonts w:ascii="Times New Roman" w:eastAsia="Times New Roman" w:hAnsi="Times New Roman" w:cs="Times New Roman"/>
          <w:kern w:val="0"/>
          <w14:ligatures w14:val="none"/>
        </w:rPr>
        <w:t xml:space="preserve">. Cognitive ergonomics research has established that human cognitive capabilities vary significantly based on emotional state, attention levels, and environmental context </w:t>
      </w:r>
      <w:sdt>
        <w:sdtPr>
          <w:rPr>
            <w:rFonts w:ascii="Times New Roman" w:eastAsia="Times New Roman" w:hAnsi="Times New Roman" w:cs="Times New Roman"/>
            <w:kern w:val="0"/>
            <w14:ligatures w14:val="none"/>
          </w:rPr>
          <w:id w:val="573085046"/>
          <w:citation/>
        </w:sdtPr>
        <w:sdtContent>
          <w:r w:rsidR="002B2FF7">
            <w:rPr>
              <w:rFonts w:ascii="Times New Roman" w:eastAsia="Times New Roman" w:hAnsi="Times New Roman" w:cs="Times New Roman"/>
              <w:kern w:val="0"/>
              <w14:ligatures w14:val="none"/>
            </w:rPr>
            <w:fldChar w:fldCharType="begin"/>
          </w:r>
          <w:r w:rsidR="002B2FF7">
            <w:rPr>
              <w:rFonts w:ascii="Times New Roman" w:eastAsia="Times New Roman" w:hAnsi="Times New Roman" w:cs="Times New Roman"/>
              <w:kern w:val="0"/>
              <w14:ligatures w14:val="none"/>
            </w:rPr>
            <w:instrText xml:space="preserve"> CITATION Ise87 \l 1033 </w:instrText>
          </w:r>
          <w:r w:rsidR="002B2FF7">
            <w:rPr>
              <w:rFonts w:ascii="Times New Roman" w:eastAsia="Times New Roman" w:hAnsi="Times New Roman" w:cs="Times New Roman"/>
              <w:kern w:val="0"/>
              <w14:ligatures w14:val="none"/>
            </w:rPr>
            <w:fldChar w:fldCharType="separate"/>
          </w:r>
          <w:r w:rsidR="00C01277" w:rsidRPr="00C01277">
            <w:rPr>
              <w:rFonts w:ascii="Times New Roman" w:eastAsia="Times New Roman" w:hAnsi="Times New Roman" w:cs="Times New Roman"/>
              <w:noProof/>
              <w:kern w:val="0"/>
              <w14:ligatures w14:val="none"/>
            </w:rPr>
            <w:t>(Isen, 1987,)</w:t>
          </w:r>
          <w:r w:rsidR="002B2FF7">
            <w:rPr>
              <w:rFonts w:ascii="Times New Roman" w:eastAsia="Times New Roman" w:hAnsi="Times New Roman" w:cs="Times New Roman"/>
              <w:kern w:val="0"/>
              <w14:ligatures w14:val="none"/>
            </w:rPr>
            <w:fldChar w:fldCharType="end"/>
          </w:r>
        </w:sdtContent>
      </w:sdt>
      <w:r w:rsidRPr="00C82E23">
        <w:rPr>
          <w:rFonts w:ascii="Times New Roman" w:eastAsia="Times New Roman" w:hAnsi="Times New Roman" w:cs="Times New Roman"/>
          <w:kern w:val="0"/>
          <w14:ligatures w14:val="none"/>
        </w:rPr>
        <w:t>. The integration of affective computing technologies with cognitive ergonomics principles represents a promising approach for creating more human-centered adaptive systems that can recognize and respond to user needs in real-time.</w:t>
      </w:r>
    </w:p>
    <w:p w14:paraId="49C61D17" w14:textId="72E6A754"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 xml:space="preserve">Multi-agent architectures have emerged as effective approaches for managing the complexity inherent in adaptive systems while maintaining coherent user experiences </w:t>
      </w:r>
      <w:sdt>
        <w:sdtPr>
          <w:rPr>
            <w:rFonts w:ascii="Times New Roman" w:eastAsia="Times New Roman" w:hAnsi="Times New Roman" w:cs="Times New Roman"/>
            <w:kern w:val="0"/>
            <w14:ligatures w14:val="none"/>
          </w:rPr>
          <w:id w:val="1677004637"/>
          <w:citation/>
        </w:sdtPr>
        <w:sdtContent>
          <w:r w:rsidR="002B2FF7">
            <w:rPr>
              <w:rFonts w:ascii="Times New Roman" w:eastAsia="Times New Roman" w:hAnsi="Times New Roman" w:cs="Times New Roman"/>
              <w:kern w:val="0"/>
              <w14:ligatures w14:val="none"/>
            </w:rPr>
            <w:fldChar w:fldCharType="begin"/>
          </w:r>
          <w:r w:rsidR="002B2FF7">
            <w:rPr>
              <w:rFonts w:ascii="Times New Roman" w:eastAsia="Times New Roman" w:hAnsi="Times New Roman" w:cs="Times New Roman"/>
              <w:kern w:val="0"/>
              <w14:ligatures w14:val="none"/>
            </w:rPr>
            <w:instrText xml:space="preserve"> CITATION Woo09 \l 1033 </w:instrText>
          </w:r>
          <w:r w:rsidR="002B2FF7">
            <w:rPr>
              <w:rFonts w:ascii="Times New Roman" w:eastAsia="Times New Roman" w:hAnsi="Times New Roman" w:cs="Times New Roman"/>
              <w:kern w:val="0"/>
              <w14:ligatures w14:val="none"/>
            </w:rPr>
            <w:fldChar w:fldCharType="separate"/>
          </w:r>
          <w:r w:rsidR="00C01277" w:rsidRPr="00C01277">
            <w:rPr>
              <w:rFonts w:ascii="Times New Roman" w:eastAsia="Times New Roman" w:hAnsi="Times New Roman" w:cs="Times New Roman"/>
              <w:noProof/>
              <w:kern w:val="0"/>
              <w14:ligatures w14:val="none"/>
            </w:rPr>
            <w:t>(Wooldridge, 2009.)</w:t>
          </w:r>
          <w:r w:rsidR="002B2FF7">
            <w:rPr>
              <w:rFonts w:ascii="Times New Roman" w:eastAsia="Times New Roman" w:hAnsi="Times New Roman" w:cs="Times New Roman"/>
              <w:kern w:val="0"/>
              <w14:ligatures w14:val="none"/>
            </w:rPr>
            <w:fldChar w:fldCharType="end"/>
          </w:r>
        </w:sdtContent>
      </w:sdt>
      <w:r w:rsidRPr="00C82E23">
        <w:rPr>
          <w:rFonts w:ascii="Times New Roman" w:eastAsia="Times New Roman" w:hAnsi="Times New Roman" w:cs="Times New Roman"/>
          <w:kern w:val="0"/>
          <w14:ligatures w14:val="none"/>
        </w:rPr>
        <w:t>. By distributing specialized functions across modular components, multi-agent systems can achieve sophisticated adaptation capabilities without overwhelming users with system complexity. This research addresses critical gaps in the empirical validation of emotion-responsive interface design through a rigorous controlled experiment comparing baseline and adaptive food ordering systems. The Curry Creations system, developed as part of the EYEAI restaurant ordering platform, implements a comprehensive multi-agent architecture that integrates facial emotion recognition, contextual adaptation, health and weather integration, and personalized recommendation generation.</w:t>
      </w:r>
    </w:p>
    <w:p w14:paraId="5056E335" w14:textId="77777777" w:rsidR="00C82E23" w:rsidRPr="00C82E23" w:rsidRDefault="00C82E23" w:rsidP="00C82E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E23">
        <w:rPr>
          <w:rFonts w:ascii="Times New Roman" w:eastAsia="Times New Roman" w:hAnsi="Times New Roman" w:cs="Times New Roman"/>
          <w:b/>
          <w:bCs/>
          <w:kern w:val="0"/>
          <w:sz w:val="36"/>
          <w:szCs w:val="36"/>
          <w14:ligatures w14:val="none"/>
        </w:rPr>
        <w:t>2. Materials and Methods</w:t>
      </w:r>
    </w:p>
    <w:p w14:paraId="305738A7" w14:textId="77777777" w:rsidR="00C82E23" w:rsidRPr="00C82E23" w:rsidRDefault="00C82E23" w:rsidP="00C82E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E23">
        <w:rPr>
          <w:rFonts w:ascii="Times New Roman" w:eastAsia="Times New Roman" w:hAnsi="Times New Roman" w:cs="Times New Roman"/>
          <w:b/>
          <w:bCs/>
          <w:kern w:val="0"/>
          <w:sz w:val="27"/>
          <w:szCs w:val="27"/>
          <w14:ligatures w14:val="none"/>
        </w:rPr>
        <w:t>2.1 Experimental Design and Research Framework</w:t>
      </w:r>
    </w:p>
    <w:p w14:paraId="1D2534B0" w14:textId="630AFAA1"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 xml:space="preserve">This study employed a controlled within-subjects experimental design to enable rigorous comparison between baseline and emotion-responsive interface conditions while controlling for individual differences across participants. The within-subjects approach was selected to maximize statistical power, minimize confounding variables, and enable detailed analysis of </w:t>
      </w:r>
      <w:r w:rsidRPr="00C82E23">
        <w:rPr>
          <w:rFonts w:ascii="Times New Roman" w:eastAsia="Times New Roman" w:hAnsi="Times New Roman" w:cs="Times New Roman"/>
          <w:kern w:val="0"/>
          <w14:ligatures w14:val="none"/>
        </w:rPr>
        <w:lastRenderedPageBreak/>
        <w:t>individual adaptation patterns across different interface conditions</w:t>
      </w:r>
      <w:r w:rsidR="002B2FF7">
        <w:rPr>
          <w:rFonts w:ascii="Times New Roman" w:eastAsia="Times New Roman" w:hAnsi="Times New Roman" w:cs="Times New Roman"/>
          <w:kern w:val="0"/>
          <w14:ligatures w14:val="none"/>
        </w:rPr>
        <w:t xml:space="preserve"> </w:t>
      </w:r>
      <w:sdt>
        <w:sdtPr>
          <w:rPr>
            <w:rFonts w:ascii="Times New Roman" w:eastAsia="Times New Roman" w:hAnsi="Times New Roman" w:cs="Times New Roman"/>
            <w:kern w:val="0"/>
            <w14:ligatures w14:val="none"/>
          </w:rPr>
          <w:id w:val="-1153678812"/>
          <w:citation/>
        </w:sdtPr>
        <w:sdtContent>
          <w:r w:rsidR="002B2FF7">
            <w:rPr>
              <w:rFonts w:ascii="Times New Roman" w:eastAsia="Times New Roman" w:hAnsi="Times New Roman" w:cs="Times New Roman"/>
              <w:kern w:val="0"/>
              <w14:ligatures w14:val="none"/>
            </w:rPr>
            <w:fldChar w:fldCharType="begin"/>
          </w:r>
          <w:r w:rsidR="002B2FF7">
            <w:rPr>
              <w:rFonts w:ascii="Times New Roman" w:eastAsia="Times New Roman" w:hAnsi="Times New Roman" w:cs="Times New Roman"/>
              <w:kern w:val="0"/>
              <w14:ligatures w14:val="none"/>
            </w:rPr>
            <w:instrText xml:space="preserve"> CITATION Laz17 \l 1033 </w:instrText>
          </w:r>
          <w:r w:rsidR="002B2FF7">
            <w:rPr>
              <w:rFonts w:ascii="Times New Roman" w:eastAsia="Times New Roman" w:hAnsi="Times New Roman" w:cs="Times New Roman"/>
              <w:kern w:val="0"/>
              <w14:ligatures w14:val="none"/>
            </w:rPr>
            <w:fldChar w:fldCharType="separate"/>
          </w:r>
          <w:r w:rsidR="00C01277" w:rsidRPr="00C01277">
            <w:rPr>
              <w:rFonts w:ascii="Times New Roman" w:eastAsia="Times New Roman" w:hAnsi="Times New Roman" w:cs="Times New Roman"/>
              <w:noProof/>
              <w:kern w:val="0"/>
              <w14:ligatures w14:val="none"/>
            </w:rPr>
            <w:t>(Lazar, Feng, &amp; Hochheiser, 2017)</w:t>
          </w:r>
          <w:r w:rsidR="002B2FF7">
            <w:rPr>
              <w:rFonts w:ascii="Times New Roman" w:eastAsia="Times New Roman" w:hAnsi="Times New Roman" w:cs="Times New Roman"/>
              <w:kern w:val="0"/>
              <w14:ligatures w14:val="none"/>
            </w:rPr>
            <w:fldChar w:fldCharType="end"/>
          </w:r>
        </w:sdtContent>
      </w:sdt>
      <w:r w:rsidRPr="00C82E23">
        <w:rPr>
          <w:rFonts w:ascii="Times New Roman" w:eastAsia="Times New Roman" w:hAnsi="Times New Roman" w:cs="Times New Roman"/>
          <w:kern w:val="0"/>
          <w14:ligatures w14:val="none"/>
        </w:rPr>
        <w:t>. Each participant served as their own control, completing trials in both experimental conditions with appropriate counterbalancing to control for order effects and learning transfer between conditions.</w:t>
      </w:r>
    </w:p>
    <w:p w14:paraId="37630B7F" w14:textId="32F2D331"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 xml:space="preserve">The experimental framework was designed according to established principles for human-computer interaction research, incorporating standardized procedures, comprehensive dependent variable measurement, and appropriate statistical analysis methods </w:t>
      </w:r>
      <w:sdt>
        <w:sdtPr>
          <w:rPr>
            <w:rFonts w:ascii="Times New Roman" w:eastAsia="Times New Roman" w:hAnsi="Times New Roman" w:cs="Times New Roman"/>
            <w:kern w:val="0"/>
            <w14:ligatures w14:val="none"/>
          </w:rPr>
          <w:id w:val="1724716681"/>
          <w:citation/>
        </w:sdtPr>
        <w:sdtContent>
          <w:r w:rsidR="002B2FF7">
            <w:rPr>
              <w:rFonts w:ascii="Times New Roman" w:eastAsia="Times New Roman" w:hAnsi="Times New Roman" w:cs="Times New Roman"/>
              <w:kern w:val="0"/>
              <w14:ligatures w14:val="none"/>
            </w:rPr>
            <w:fldChar w:fldCharType="begin"/>
          </w:r>
          <w:r w:rsidR="002B2FF7">
            <w:rPr>
              <w:rFonts w:ascii="Times New Roman" w:eastAsia="Times New Roman" w:hAnsi="Times New Roman" w:cs="Times New Roman"/>
              <w:kern w:val="0"/>
              <w14:ligatures w14:val="none"/>
            </w:rPr>
            <w:instrText xml:space="preserve"> CITATION Cai08 \l 1033 </w:instrText>
          </w:r>
          <w:r w:rsidR="002B2FF7">
            <w:rPr>
              <w:rFonts w:ascii="Times New Roman" w:eastAsia="Times New Roman" w:hAnsi="Times New Roman" w:cs="Times New Roman"/>
              <w:kern w:val="0"/>
              <w14:ligatures w14:val="none"/>
            </w:rPr>
            <w:fldChar w:fldCharType="separate"/>
          </w:r>
          <w:r w:rsidR="00C01277" w:rsidRPr="00C01277">
            <w:rPr>
              <w:rFonts w:ascii="Times New Roman" w:eastAsia="Times New Roman" w:hAnsi="Times New Roman" w:cs="Times New Roman"/>
              <w:noProof/>
              <w:kern w:val="0"/>
              <w14:ligatures w14:val="none"/>
            </w:rPr>
            <w:t>(Cairns &amp; Cox, 2008)</w:t>
          </w:r>
          <w:r w:rsidR="002B2FF7">
            <w:rPr>
              <w:rFonts w:ascii="Times New Roman" w:eastAsia="Times New Roman" w:hAnsi="Times New Roman" w:cs="Times New Roman"/>
              <w:kern w:val="0"/>
              <w14:ligatures w14:val="none"/>
            </w:rPr>
            <w:fldChar w:fldCharType="end"/>
          </w:r>
        </w:sdtContent>
      </w:sdt>
      <w:r w:rsidRPr="00C82E23">
        <w:rPr>
          <w:rFonts w:ascii="Times New Roman" w:eastAsia="Times New Roman" w:hAnsi="Times New Roman" w:cs="Times New Roman"/>
          <w:kern w:val="0"/>
          <w14:ligatures w14:val="none"/>
        </w:rPr>
        <w:t xml:space="preserve">. The study received institutional review board approval ensuring compliance with ethical standards for human </w:t>
      </w:r>
      <w:proofErr w:type="gramStart"/>
      <w:r w:rsidRPr="00C82E23">
        <w:rPr>
          <w:rFonts w:ascii="Times New Roman" w:eastAsia="Times New Roman" w:hAnsi="Times New Roman" w:cs="Times New Roman"/>
          <w:kern w:val="0"/>
          <w14:ligatures w14:val="none"/>
        </w:rPr>
        <w:t>subjects</w:t>
      </w:r>
      <w:proofErr w:type="gramEnd"/>
      <w:r w:rsidRPr="00C82E23">
        <w:rPr>
          <w:rFonts w:ascii="Times New Roman" w:eastAsia="Times New Roman" w:hAnsi="Times New Roman" w:cs="Times New Roman"/>
          <w:kern w:val="0"/>
          <w14:ligatures w14:val="none"/>
        </w:rPr>
        <w:t xml:space="preserve"> research, particularly regarding facial recognition technology and emotion detection procedures that raise privacy and consent considerations.</w:t>
      </w:r>
    </w:p>
    <w:p w14:paraId="6DBCCC85" w14:textId="77777777" w:rsidR="00C82E23" w:rsidRPr="00C82E23" w:rsidRDefault="00C82E23" w:rsidP="00C82E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E23">
        <w:rPr>
          <w:rFonts w:ascii="Times New Roman" w:eastAsia="Times New Roman" w:hAnsi="Times New Roman" w:cs="Times New Roman"/>
          <w:b/>
          <w:bCs/>
          <w:kern w:val="0"/>
          <w:sz w:val="27"/>
          <w:szCs w:val="27"/>
          <w14:ligatures w14:val="none"/>
        </w:rPr>
        <w:t>2.2 Participant Recruitment and Characteristics</w:t>
      </w:r>
    </w:p>
    <w:p w14:paraId="7EFEEBCB"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 xml:space="preserve">Fifty adult participants were recruited from various locations including university campuses, community centers, and public spaces (age range: 18-65 years, balanced gender distribution, varied technical proficiency levels). Participants were approached at different venues and offered gift card incentives for their voluntary participation in the study. All participants reported regular digital food ordering experience and provided informed consent for facial recognition, emotion detection, and comprehensive data collection. The study protocol received institutional review board approval, ensuring compliance with ethical standards for human </w:t>
      </w:r>
      <w:proofErr w:type="gramStart"/>
      <w:r w:rsidRPr="00C82E23">
        <w:rPr>
          <w:rFonts w:ascii="Times New Roman" w:eastAsia="Times New Roman" w:hAnsi="Times New Roman" w:cs="Times New Roman"/>
          <w:kern w:val="0"/>
          <w14:ligatures w14:val="none"/>
        </w:rPr>
        <w:t>subjects</w:t>
      </w:r>
      <w:proofErr w:type="gramEnd"/>
      <w:r w:rsidRPr="00C82E23">
        <w:rPr>
          <w:rFonts w:ascii="Times New Roman" w:eastAsia="Times New Roman" w:hAnsi="Times New Roman" w:cs="Times New Roman"/>
          <w:kern w:val="0"/>
          <w14:ligatures w14:val="none"/>
        </w:rPr>
        <w:t xml:space="preserve"> research.</w:t>
      </w:r>
    </w:p>
    <w:p w14:paraId="14A8D717"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Inclusion criteria required participants to be at least 18 years of age, have regular experience with digital ordering systems, possess normal or corrected-to-normal vision, and provide voluntary consent for facial recognition procedures with gift card compensation provided. Exclusion criteria included severe food allergies requiring specialized ordering procedures, visual impairments affecting interface interaction, and previous experience with the specific experimental system.</w:t>
      </w:r>
    </w:p>
    <w:p w14:paraId="2C504913"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Final participant demographics reflected successful diversity achievement with mean age of 34.2 years (SD = 12.8), balanced gender distribution (52% female, 48% male), and varied technical proficiency levels (28% low, 44% moderate, 28% high). Ninety-six percent reported regular food ordering experience with digital platforms at least twice per month.</w:t>
      </w:r>
    </w:p>
    <w:p w14:paraId="1F102ED4" w14:textId="77777777" w:rsidR="00C82E23" w:rsidRPr="00C82E23" w:rsidRDefault="00C82E23" w:rsidP="00C82E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E23">
        <w:rPr>
          <w:rFonts w:ascii="Times New Roman" w:eastAsia="Times New Roman" w:hAnsi="Times New Roman" w:cs="Times New Roman"/>
          <w:b/>
          <w:bCs/>
          <w:kern w:val="0"/>
          <w:sz w:val="27"/>
          <w:szCs w:val="27"/>
          <w14:ligatures w14:val="none"/>
        </w:rPr>
        <w:t>2.3 System Architecture and Implementation</w:t>
      </w:r>
    </w:p>
    <w:p w14:paraId="4AE13516" w14:textId="77777777" w:rsidR="00C82E23" w:rsidRPr="00C82E23" w:rsidRDefault="00C82E23" w:rsidP="00C82E2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82E23">
        <w:rPr>
          <w:rFonts w:ascii="Times New Roman" w:eastAsia="Times New Roman" w:hAnsi="Times New Roman" w:cs="Times New Roman"/>
          <w:b/>
          <w:bCs/>
          <w:kern w:val="0"/>
          <w14:ligatures w14:val="none"/>
        </w:rPr>
        <w:t>2.3.1 Baseline System Design (Trial A)</w:t>
      </w:r>
    </w:p>
    <w:p w14:paraId="3CBE5E11"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The baseline system implemented a conventional food ordering interface designed to represent current industry standards without adaptive or personalization features. The interface employed static menu presentation with standardized categorization, uniform visual design without mood-responsive elements, and minimal system guidance or recommendations. Participants were required to select an "Experiment A Baseline" button during each trial to ensure proper experimental condition identification and data integrity.</w:t>
      </w:r>
    </w:p>
    <w:p w14:paraId="6E2B7A2E"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lastRenderedPageBreak/>
        <w:t>The baseline system maintained consistent visual hierarchy, standard navigation patterns, and conventional interaction flows typical of contemporary food ordering applications. Menu items were presented in alphabetical order within categories, with standardized descriptions, consistent pricing display, and uniform visual treatment across all options. The system provided basic functionality for item selection, customization, and order completion without intelligent recommendation, contextual adaptation, or personalized interface elements.</w:t>
      </w:r>
    </w:p>
    <w:p w14:paraId="14FB25E8"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Order completion workflow followed standard patterns including item selection, customization options, quantity specification, cart review, and final confirmation. The system maintained comprehensive logging of user interactions, selection patterns, completion times, and error occurrences to enable direct comparison with the adaptive condition while ensuring equivalent data collection across both experimental conditions.</w:t>
      </w:r>
    </w:p>
    <w:p w14:paraId="01E9FE0A" w14:textId="77777777" w:rsidR="00C82E23" w:rsidRPr="00C82E23" w:rsidRDefault="00C82E23" w:rsidP="00C82E2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82E23">
        <w:rPr>
          <w:rFonts w:ascii="Times New Roman" w:eastAsia="Times New Roman" w:hAnsi="Times New Roman" w:cs="Times New Roman"/>
          <w:b/>
          <w:bCs/>
          <w:kern w:val="0"/>
          <w14:ligatures w14:val="none"/>
        </w:rPr>
        <w:t>2.3.2 Emotion-Responsive System Design (Trial B)</w:t>
      </w:r>
    </w:p>
    <w:p w14:paraId="08C3876C"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The adaptive system employed a seven-agent architecture for comprehensive emotion-aware functionality:</w:t>
      </w:r>
    </w:p>
    <w:p w14:paraId="502F0025" w14:textId="6DF449D9"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 xml:space="preserve">The </w:t>
      </w:r>
      <w:r w:rsidRPr="00C82E23">
        <w:rPr>
          <w:rFonts w:ascii="Times New Roman" w:eastAsia="Times New Roman" w:hAnsi="Times New Roman" w:cs="Times New Roman"/>
          <w:b/>
          <w:bCs/>
          <w:kern w:val="0"/>
          <w14:ligatures w14:val="none"/>
        </w:rPr>
        <w:t>Face Recognition Agent</w:t>
      </w:r>
      <w:r w:rsidRPr="00C82E23">
        <w:rPr>
          <w:rFonts w:ascii="Times New Roman" w:eastAsia="Times New Roman" w:hAnsi="Times New Roman" w:cs="Times New Roman"/>
          <w:kern w:val="0"/>
          <w14:ligatures w14:val="none"/>
        </w:rPr>
        <w:t xml:space="preserve"> implemented real-time facial emotion detection using validated facial action coding systems, identifying emotional states (happy, neutral, stressed, excited) and maintaining user profiles across sessions </w:t>
      </w:r>
      <w:sdt>
        <w:sdtPr>
          <w:rPr>
            <w:rFonts w:ascii="Times New Roman" w:eastAsia="Times New Roman" w:hAnsi="Times New Roman" w:cs="Times New Roman"/>
            <w:kern w:val="0"/>
            <w14:ligatures w14:val="none"/>
          </w:rPr>
          <w:id w:val="1419828231"/>
          <w:citation/>
        </w:sdtPr>
        <w:sdtContent>
          <w:r w:rsidR="002B2FF7">
            <w:rPr>
              <w:rFonts w:ascii="Times New Roman" w:eastAsia="Times New Roman" w:hAnsi="Times New Roman" w:cs="Times New Roman"/>
              <w:kern w:val="0"/>
              <w14:ligatures w14:val="none"/>
            </w:rPr>
            <w:fldChar w:fldCharType="begin"/>
          </w:r>
          <w:r w:rsidR="002B2FF7">
            <w:rPr>
              <w:rFonts w:ascii="Times New Roman" w:eastAsia="Times New Roman" w:hAnsi="Times New Roman" w:cs="Times New Roman"/>
              <w:kern w:val="0"/>
              <w14:ligatures w14:val="none"/>
            </w:rPr>
            <w:instrText xml:space="preserve"> CITATION Ekm78 \l 1033 </w:instrText>
          </w:r>
          <w:r w:rsidR="002B2FF7">
            <w:rPr>
              <w:rFonts w:ascii="Times New Roman" w:eastAsia="Times New Roman" w:hAnsi="Times New Roman" w:cs="Times New Roman"/>
              <w:kern w:val="0"/>
              <w14:ligatures w14:val="none"/>
            </w:rPr>
            <w:fldChar w:fldCharType="separate"/>
          </w:r>
          <w:r w:rsidR="00C01277" w:rsidRPr="00C01277">
            <w:rPr>
              <w:rFonts w:ascii="Times New Roman" w:eastAsia="Times New Roman" w:hAnsi="Times New Roman" w:cs="Times New Roman"/>
              <w:noProof/>
              <w:kern w:val="0"/>
              <w14:ligatures w14:val="none"/>
            </w:rPr>
            <w:t>(Ekman &amp; Friesen, 1978)</w:t>
          </w:r>
          <w:r w:rsidR="002B2FF7">
            <w:rPr>
              <w:rFonts w:ascii="Times New Roman" w:eastAsia="Times New Roman" w:hAnsi="Times New Roman" w:cs="Times New Roman"/>
              <w:kern w:val="0"/>
              <w14:ligatures w14:val="none"/>
            </w:rPr>
            <w:fldChar w:fldCharType="end"/>
          </w:r>
        </w:sdtContent>
      </w:sdt>
      <w:r w:rsidR="002B2FF7">
        <w:rPr>
          <w:rFonts w:ascii="Times New Roman" w:eastAsia="Times New Roman" w:hAnsi="Times New Roman" w:cs="Times New Roman"/>
          <w:kern w:val="0"/>
          <w14:ligatures w14:val="none"/>
        </w:rPr>
        <w:t xml:space="preserve">. </w:t>
      </w:r>
      <w:r w:rsidRPr="00C82E23">
        <w:rPr>
          <w:rFonts w:ascii="Times New Roman" w:eastAsia="Times New Roman" w:hAnsi="Times New Roman" w:cs="Times New Roman"/>
          <w:kern w:val="0"/>
          <w14:ligatures w14:val="none"/>
        </w:rPr>
        <w:t xml:space="preserve">The </w:t>
      </w:r>
      <w:r w:rsidRPr="00C82E23">
        <w:rPr>
          <w:rFonts w:ascii="Times New Roman" w:eastAsia="Times New Roman" w:hAnsi="Times New Roman" w:cs="Times New Roman"/>
          <w:b/>
          <w:bCs/>
          <w:kern w:val="0"/>
          <w14:ligatures w14:val="none"/>
        </w:rPr>
        <w:t>Health Recommender Agent</w:t>
      </w:r>
      <w:r w:rsidRPr="00C82E23">
        <w:rPr>
          <w:rFonts w:ascii="Times New Roman" w:eastAsia="Times New Roman" w:hAnsi="Times New Roman" w:cs="Times New Roman"/>
          <w:kern w:val="0"/>
          <w14:ligatures w14:val="none"/>
        </w:rPr>
        <w:t xml:space="preserve"> integrated user-reported activity levels (workout, rest, study, work) and health goals (low-calorie, high-protein, balanced) into recommendation algorithms, achieving 87.2% acceptance rates for activity-matched suggestions.</w:t>
      </w:r>
    </w:p>
    <w:p w14:paraId="362567F8"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 xml:space="preserve">The </w:t>
      </w:r>
      <w:r w:rsidRPr="00C82E23">
        <w:rPr>
          <w:rFonts w:ascii="Times New Roman" w:eastAsia="Times New Roman" w:hAnsi="Times New Roman" w:cs="Times New Roman"/>
          <w:b/>
          <w:bCs/>
          <w:kern w:val="0"/>
          <w14:ligatures w14:val="none"/>
        </w:rPr>
        <w:t>Weather Recommender Agent</w:t>
      </w:r>
      <w:r w:rsidRPr="00C82E23">
        <w:rPr>
          <w:rFonts w:ascii="Times New Roman" w:eastAsia="Times New Roman" w:hAnsi="Times New Roman" w:cs="Times New Roman"/>
          <w:kern w:val="0"/>
          <w14:ligatures w14:val="none"/>
        </w:rPr>
        <w:t xml:space="preserve"> accessed real-time environmental data through weather APIs, adapting suggestions to external conditions. Cold weather triggered warm soup recommendations, while hot weather emphasized lighter options. The </w:t>
      </w:r>
      <w:r w:rsidRPr="00C82E23">
        <w:rPr>
          <w:rFonts w:ascii="Times New Roman" w:eastAsia="Times New Roman" w:hAnsi="Times New Roman" w:cs="Times New Roman"/>
          <w:b/>
          <w:bCs/>
          <w:kern w:val="0"/>
          <w14:ligatures w14:val="none"/>
        </w:rPr>
        <w:t>Entertainer Agent</w:t>
      </w:r>
      <w:r w:rsidRPr="00C82E23">
        <w:rPr>
          <w:rFonts w:ascii="Times New Roman" w:eastAsia="Times New Roman" w:hAnsi="Times New Roman" w:cs="Times New Roman"/>
          <w:kern w:val="0"/>
          <w14:ligatures w14:val="none"/>
        </w:rPr>
        <w:t xml:space="preserve"> generated mood-responsive interface elements including playful dish names and encouraging messages tailored to detected emotional states.</w:t>
      </w:r>
    </w:p>
    <w:p w14:paraId="54126C29"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 xml:space="preserve">The </w:t>
      </w:r>
      <w:r w:rsidRPr="00C82E23">
        <w:rPr>
          <w:rFonts w:ascii="Times New Roman" w:eastAsia="Times New Roman" w:hAnsi="Times New Roman" w:cs="Times New Roman"/>
          <w:b/>
          <w:bCs/>
          <w:kern w:val="0"/>
          <w14:ligatures w14:val="none"/>
        </w:rPr>
        <w:t>Learner Agent</w:t>
      </w:r>
      <w:r w:rsidRPr="00C82E23">
        <w:rPr>
          <w:rFonts w:ascii="Times New Roman" w:eastAsia="Times New Roman" w:hAnsi="Times New Roman" w:cs="Times New Roman"/>
          <w:kern w:val="0"/>
          <w14:ligatures w14:val="none"/>
        </w:rPr>
        <w:t xml:space="preserve"> implemented adaptive algorithms to track user preferences and behavioral responses across trials, with recommendation accuracy improving from 78.2% to 91.4% across trials. The </w:t>
      </w:r>
      <w:r w:rsidRPr="00C82E23">
        <w:rPr>
          <w:rFonts w:ascii="Times New Roman" w:eastAsia="Times New Roman" w:hAnsi="Times New Roman" w:cs="Times New Roman"/>
          <w:b/>
          <w:bCs/>
          <w:kern w:val="0"/>
          <w14:ligatures w14:val="none"/>
        </w:rPr>
        <w:t>Record Keeper Agent</w:t>
      </w:r>
      <w:r w:rsidRPr="00C82E23">
        <w:rPr>
          <w:rFonts w:ascii="Times New Roman" w:eastAsia="Times New Roman" w:hAnsi="Times New Roman" w:cs="Times New Roman"/>
          <w:kern w:val="0"/>
          <w14:ligatures w14:val="none"/>
        </w:rPr>
        <w:t xml:space="preserve"> maintained comprehensive logs of user interactions for real-time personalization and analysis. The </w:t>
      </w:r>
      <w:r w:rsidRPr="00C82E23">
        <w:rPr>
          <w:rFonts w:ascii="Times New Roman" w:eastAsia="Times New Roman" w:hAnsi="Times New Roman" w:cs="Times New Roman"/>
          <w:b/>
          <w:bCs/>
          <w:kern w:val="0"/>
          <w14:ligatures w14:val="none"/>
        </w:rPr>
        <w:t>Social/Trust Agent</w:t>
      </w:r>
      <w:r w:rsidRPr="00C82E23">
        <w:rPr>
          <w:rFonts w:ascii="Times New Roman" w:eastAsia="Times New Roman" w:hAnsi="Times New Roman" w:cs="Times New Roman"/>
          <w:kern w:val="0"/>
          <w14:ligatures w14:val="none"/>
        </w:rPr>
        <w:t xml:space="preserve"> monitored user engagement and satisfaction levels, providing feedback to other agents for dynamic behavior adjustment.</w:t>
      </w:r>
    </w:p>
    <w:p w14:paraId="61CC3D48"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A central orchestrator managed agent coordination, ensuring coherent user experience while enabling sophisticated adaptation capabilities through standardized interfaces and shared information protocols.</w:t>
      </w:r>
    </w:p>
    <w:p w14:paraId="7357CB92" w14:textId="77777777" w:rsidR="00C82E23" w:rsidRPr="00C82E23" w:rsidRDefault="00C82E23" w:rsidP="00C82E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E23">
        <w:rPr>
          <w:rFonts w:ascii="Times New Roman" w:eastAsia="Times New Roman" w:hAnsi="Times New Roman" w:cs="Times New Roman"/>
          <w:b/>
          <w:bCs/>
          <w:kern w:val="0"/>
          <w:sz w:val="27"/>
          <w:szCs w:val="27"/>
          <w14:ligatures w14:val="none"/>
        </w:rPr>
        <w:t>2.4 Experimental Procedure</w:t>
      </w:r>
    </w:p>
    <w:p w14:paraId="0A2986C5"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Each participant completed both experimental conditions within a single 90-minute session. The session included informed consent and setup (10 minutes), baseline trials (20 minutes), rest period (5 minutes), adaptive trials (20 minutes), and post-experiment assessment (15 minutes).</w:t>
      </w:r>
    </w:p>
    <w:p w14:paraId="7623E83D"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lastRenderedPageBreak/>
        <w:t>Baseline trials consisted of five food ordering tasks using the standard interface without adaptive features. Adaptive trials used the full emotion-responsive system with all agent functions active. Each trial followed standardized procedures including system initialization, condition verification, emotion recognition (Trial B only), menu navigation, item selection, order completion, and immediate post-trial assessments.</w:t>
      </w:r>
    </w:p>
    <w:p w14:paraId="5A916099"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Order composition included three "free choice" scenarios and two "specific requirement" scenarios with defined constraints such as "healthy lunch after workout" to evaluate system adaptation to contextual needs. Post-experiment assessment included comprehensive questionnaires covering system usability (SUS), satisfaction, trust measures, and qualitative feedback through semi-structured interviews.</w:t>
      </w:r>
    </w:p>
    <w:p w14:paraId="1633B1C4" w14:textId="77777777" w:rsidR="00C82E23" w:rsidRPr="00C82E23" w:rsidRDefault="00C82E23" w:rsidP="00C82E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E23">
        <w:rPr>
          <w:rFonts w:ascii="Times New Roman" w:eastAsia="Times New Roman" w:hAnsi="Times New Roman" w:cs="Times New Roman"/>
          <w:b/>
          <w:bCs/>
          <w:kern w:val="0"/>
          <w:sz w:val="27"/>
          <w:szCs w:val="27"/>
          <w14:ligatures w14:val="none"/>
        </w:rPr>
        <w:t>2.5 Dependent Variables and Measurements</w:t>
      </w:r>
    </w:p>
    <w:p w14:paraId="58375A0F" w14:textId="4A9696BE"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 xml:space="preserve">Objective performance measures included task completion time, navigation efficiency (menu steps), error rates, decision changes, recommendation acceptance rates, and system response times. Cognitive workload was assessed using the NASA Task Load Index (NASA-TLX), measuring mental demand, temporal demand, performance, effort, and frustration levels </w:t>
      </w:r>
      <w:sdt>
        <w:sdtPr>
          <w:rPr>
            <w:rFonts w:ascii="Times New Roman" w:eastAsia="Times New Roman" w:hAnsi="Times New Roman" w:cs="Times New Roman"/>
            <w:kern w:val="0"/>
            <w14:ligatures w14:val="none"/>
          </w:rPr>
          <w:id w:val="1856844659"/>
          <w:citation/>
        </w:sdtPr>
        <w:sdtContent>
          <w:r w:rsidR="002B2FF7">
            <w:rPr>
              <w:rFonts w:ascii="Times New Roman" w:eastAsia="Times New Roman" w:hAnsi="Times New Roman" w:cs="Times New Roman"/>
              <w:kern w:val="0"/>
              <w14:ligatures w14:val="none"/>
            </w:rPr>
            <w:fldChar w:fldCharType="begin"/>
          </w:r>
          <w:r w:rsidR="002B2FF7">
            <w:rPr>
              <w:rFonts w:ascii="Times New Roman" w:eastAsia="Times New Roman" w:hAnsi="Times New Roman" w:cs="Times New Roman"/>
              <w:kern w:val="0"/>
              <w14:ligatures w14:val="none"/>
            </w:rPr>
            <w:instrText xml:space="preserve"> CITATION Har88 \l 1033 </w:instrText>
          </w:r>
          <w:r w:rsidR="002B2FF7">
            <w:rPr>
              <w:rFonts w:ascii="Times New Roman" w:eastAsia="Times New Roman" w:hAnsi="Times New Roman" w:cs="Times New Roman"/>
              <w:kern w:val="0"/>
              <w14:ligatures w14:val="none"/>
            </w:rPr>
            <w:fldChar w:fldCharType="separate"/>
          </w:r>
          <w:r w:rsidR="00C01277" w:rsidRPr="00C01277">
            <w:rPr>
              <w:rFonts w:ascii="Times New Roman" w:eastAsia="Times New Roman" w:hAnsi="Times New Roman" w:cs="Times New Roman"/>
              <w:noProof/>
              <w:kern w:val="0"/>
              <w14:ligatures w14:val="none"/>
            </w:rPr>
            <w:t>(Hart &amp; Staveland, 1988)</w:t>
          </w:r>
          <w:r w:rsidR="002B2FF7">
            <w:rPr>
              <w:rFonts w:ascii="Times New Roman" w:eastAsia="Times New Roman" w:hAnsi="Times New Roman" w:cs="Times New Roman"/>
              <w:kern w:val="0"/>
              <w14:ligatures w14:val="none"/>
            </w:rPr>
            <w:fldChar w:fldCharType="end"/>
          </w:r>
        </w:sdtContent>
      </w:sdt>
      <w:r w:rsidRPr="00C82E23">
        <w:rPr>
          <w:rFonts w:ascii="Times New Roman" w:eastAsia="Times New Roman" w:hAnsi="Times New Roman" w:cs="Times New Roman"/>
          <w:kern w:val="0"/>
          <w14:ligatures w14:val="none"/>
        </w:rPr>
        <w:t xml:space="preserve">. System usability was evaluated using the System Usability Scale (SUS) </w:t>
      </w:r>
      <w:sdt>
        <w:sdtPr>
          <w:rPr>
            <w:rFonts w:ascii="Times New Roman" w:eastAsia="Times New Roman" w:hAnsi="Times New Roman" w:cs="Times New Roman"/>
            <w:kern w:val="0"/>
            <w14:ligatures w14:val="none"/>
          </w:rPr>
          <w:id w:val="-1040040586"/>
          <w:citation/>
        </w:sdtPr>
        <w:sdtContent>
          <w:r w:rsidR="002B2FF7">
            <w:rPr>
              <w:rFonts w:ascii="Times New Roman" w:eastAsia="Times New Roman" w:hAnsi="Times New Roman" w:cs="Times New Roman"/>
              <w:kern w:val="0"/>
              <w14:ligatures w14:val="none"/>
            </w:rPr>
            <w:fldChar w:fldCharType="begin"/>
          </w:r>
          <w:r w:rsidR="002B2FF7">
            <w:rPr>
              <w:rFonts w:ascii="Times New Roman" w:eastAsia="Times New Roman" w:hAnsi="Times New Roman" w:cs="Times New Roman"/>
              <w:kern w:val="0"/>
              <w14:ligatures w14:val="none"/>
            </w:rPr>
            <w:instrText xml:space="preserve"> CITATION Bro96 \l 1033 </w:instrText>
          </w:r>
          <w:r w:rsidR="002B2FF7">
            <w:rPr>
              <w:rFonts w:ascii="Times New Roman" w:eastAsia="Times New Roman" w:hAnsi="Times New Roman" w:cs="Times New Roman"/>
              <w:kern w:val="0"/>
              <w14:ligatures w14:val="none"/>
            </w:rPr>
            <w:fldChar w:fldCharType="separate"/>
          </w:r>
          <w:r w:rsidR="00C01277" w:rsidRPr="00C01277">
            <w:rPr>
              <w:rFonts w:ascii="Times New Roman" w:eastAsia="Times New Roman" w:hAnsi="Times New Roman" w:cs="Times New Roman"/>
              <w:noProof/>
              <w:kern w:val="0"/>
              <w14:ligatures w14:val="none"/>
            </w:rPr>
            <w:t>(Brooke, 1996)</w:t>
          </w:r>
          <w:r w:rsidR="002B2FF7">
            <w:rPr>
              <w:rFonts w:ascii="Times New Roman" w:eastAsia="Times New Roman" w:hAnsi="Times New Roman" w:cs="Times New Roman"/>
              <w:kern w:val="0"/>
              <w14:ligatures w14:val="none"/>
            </w:rPr>
            <w:fldChar w:fldCharType="end"/>
          </w:r>
        </w:sdtContent>
      </w:sdt>
      <w:r w:rsidRPr="00C82E23">
        <w:rPr>
          <w:rFonts w:ascii="Times New Roman" w:eastAsia="Times New Roman" w:hAnsi="Times New Roman" w:cs="Times New Roman"/>
          <w:kern w:val="0"/>
          <w14:ligatures w14:val="none"/>
        </w:rPr>
        <w:t>.</w:t>
      </w:r>
    </w:p>
    <w:p w14:paraId="5E86D195"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User experience measures included satisfaction ratings (7-point Likert scales), trust and confidence assessments, perceived personalization effectiveness, and emotional engagement evaluation. Qualitative feedback was collected through semi-structured interviews exploring user preferences, experiences with adaptive features, privacy concerns, and suggestions for improvement.</w:t>
      </w:r>
    </w:p>
    <w:p w14:paraId="75231CB0" w14:textId="77777777" w:rsidR="00C82E23" w:rsidRPr="00C82E23" w:rsidRDefault="00C82E23" w:rsidP="00C82E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E23">
        <w:rPr>
          <w:rFonts w:ascii="Times New Roman" w:eastAsia="Times New Roman" w:hAnsi="Times New Roman" w:cs="Times New Roman"/>
          <w:b/>
          <w:bCs/>
          <w:kern w:val="0"/>
          <w:sz w:val="27"/>
          <w:szCs w:val="27"/>
          <w14:ligatures w14:val="none"/>
        </w:rPr>
        <w:t>2.6 Statistical Analysis Framework</w:t>
      </w:r>
    </w:p>
    <w:p w14:paraId="5F108ACA"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Data analysis employed appropriate statistical methods for repeated measures experimental designs with within-</w:t>
      </w:r>
      <w:proofErr w:type="gramStart"/>
      <w:r w:rsidRPr="00C82E23">
        <w:rPr>
          <w:rFonts w:ascii="Times New Roman" w:eastAsia="Times New Roman" w:hAnsi="Times New Roman" w:cs="Times New Roman"/>
          <w:kern w:val="0"/>
          <w14:ligatures w14:val="none"/>
        </w:rPr>
        <w:t>subjects</w:t>
      </w:r>
      <w:proofErr w:type="gramEnd"/>
      <w:r w:rsidRPr="00C82E23">
        <w:rPr>
          <w:rFonts w:ascii="Times New Roman" w:eastAsia="Times New Roman" w:hAnsi="Times New Roman" w:cs="Times New Roman"/>
          <w:kern w:val="0"/>
          <w14:ligatures w14:val="none"/>
        </w:rPr>
        <w:t xml:space="preserve"> comparisons. Primary analyses utilized paired t-tests to compare baseline and adaptive conditions across all dependent variables, with effect size calculations using Cohen's d to assess practical significance beyond statistical significance. Repeated measures ANOVA examined learning effects within each condition across the five-trial sequence, identifying adaptation patterns and performance changes over time.</w:t>
      </w:r>
    </w:p>
    <w:p w14:paraId="18A95528"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Secondary analyses included correlation assessments between subjective and objective measures to validate measurement consistency and identify relationships between different aspects of user experience. Individual difference analyses examined how user characteristics including age, technical proficiency, and gender influenced adaptation to emotion-responsive features and preference between experimental conditions.</w:t>
      </w:r>
    </w:p>
    <w:p w14:paraId="333496FB"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 xml:space="preserve">Statistical significance was established at α = 0.05 with Bonferroni corrections applied for multiple comparisons to control family-wise error rates. Effect sizes were interpreted using established conventions with small (d = 0.2), medium (d = 0.5), and large (d = 0.8) effect </w:t>
      </w:r>
      <w:r w:rsidRPr="00C82E23">
        <w:rPr>
          <w:rFonts w:ascii="Times New Roman" w:eastAsia="Times New Roman" w:hAnsi="Times New Roman" w:cs="Times New Roman"/>
          <w:kern w:val="0"/>
          <w14:ligatures w14:val="none"/>
        </w:rPr>
        <w:lastRenderedPageBreak/>
        <w:t>thresholds. Confidence intervals were calculated for all primary measures to support interpretation and replication of research findings.</w:t>
      </w:r>
    </w:p>
    <w:p w14:paraId="0390DE8C"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Qualitative data from interview transcripts underwent thematic analysis to identify common patterns, concerns, and suggestions across participants. Coding procedures followed established qualitative research methods with inter-rater reliability assessment to ensure coding consistency and validity of thematic interpretations.</w:t>
      </w:r>
    </w:p>
    <w:p w14:paraId="67B65FA6" w14:textId="77777777" w:rsidR="00C82E23" w:rsidRPr="00C82E23" w:rsidRDefault="00C82E23" w:rsidP="00C82E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E23">
        <w:rPr>
          <w:rFonts w:ascii="Times New Roman" w:eastAsia="Times New Roman" w:hAnsi="Times New Roman" w:cs="Times New Roman"/>
          <w:b/>
          <w:bCs/>
          <w:kern w:val="0"/>
          <w:sz w:val="36"/>
          <w:szCs w:val="36"/>
          <w14:ligatures w14:val="none"/>
        </w:rPr>
        <w:t>3. Results</w:t>
      </w:r>
    </w:p>
    <w:p w14:paraId="5A804562" w14:textId="77777777" w:rsidR="00C82E23" w:rsidRPr="00C82E23" w:rsidRDefault="00C82E23" w:rsidP="00C82E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E23">
        <w:rPr>
          <w:rFonts w:ascii="Times New Roman" w:eastAsia="Times New Roman" w:hAnsi="Times New Roman" w:cs="Times New Roman"/>
          <w:b/>
          <w:bCs/>
          <w:kern w:val="0"/>
          <w:sz w:val="27"/>
          <w:szCs w:val="27"/>
          <w14:ligatures w14:val="none"/>
        </w:rPr>
        <w:t>3.1 Participant Completion and Demographics</w:t>
      </w:r>
    </w:p>
    <w:p w14:paraId="05F2B7E4"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All 50 participants successfully completed the full experimental protocol, yielding 500 total trials with 250 trials per experimental condition and achieving 100% completion rate without dropout or significant missing data. This exceptional completion rate demonstrates the feasibility and acceptability of the experimental procedures while ensuring robust statistical power for all planned analyses.</w:t>
      </w:r>
    </w:p>
    <w:p w14:paraId="4B855FE6"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 xml:space="preserve">Participant demographics confirmed successful achievement of diversity goals with mean age of 34.2 years (SD = 12.8, range 18-65), balanced gender distribution, and appropriate representation across technical proficiency levels. </w:t>
      </w:r>
      <w:proofErr w:type="gramStart"/>
      <w:r w:rsidRPr="00C82E23">
        <w:rPr>
          <w:rFonts w:ascii="Times New Roman" w:eastAsia="Times New Roman" w:hAnsi="Times New Roman" w:cs="Times New Roman"/>
          <w:kern w:val="0"/>
          <w14:ligatures w14:val="none"/>
        </w:rPr>
        <w:t>The majority of</w:t>
      </w:r>
      <w:proofErr w:type="gramEnd"/>
      <w:r w:rsidRPr="00C82E23">
        <w:rPr>
          <w:rFonts w:ascii="Times New Roman" w:eastAsia="Times New Roman" w:hAnsi="Times New Roman" w:cs="Times New Roman"/>
          <w:kern w:val="0"/>
          <w14:ligatures w14:val="none"/>
        </w:rPr>
        <w:t xml:space="preserve"> participants (96%) reported regular digital food ordering experience, ensuring relevant domain knowledge while maintaining naivety to the specific experimental system and adaptive features.</w:t>
      </w:r>
    </w:p>
    <w:p w14:paraId="56BCCBA0" w14:textId="77777777" w:rsidR="00C82E23" w:rsidRPr="00C82E23" w:rsidRDefault="00C82E23" w:rsidP="00C82E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E23">
        <w:rPr>
          <w:rFonts w:ascii="Times New Roman" w:eastAsia="Times New Roman" w:hAnsi="Times New Roman" w:cs="Times New Roman"/>
          <w:b/>
          <w:bCs/>
          <w:kern w:val="0"/>
          <w:sz w:val="27"/>
          <w:szCs w:val="27"/>
          <w14:ligatures w14:val="none"/>
        </w:rPr>
        <w:t>3.2 Primary Performance Outcomes</w:t>
      </w:r>
    </w:p>
    <w:p w14:paraId="23DCA77F" w14:textId="77777777" w:rsidR="00C82E23" w:rsidRPr="00C82E23" w:rsidRDefault="00C82E23" w:rsidP="00C82E2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82E23">
        <w:rPr>
          <w:rFonts w:ascii="Times New Roman" w:eastAsia="Times New Roman" w:hAnsi="Times New Roman" w:cs="Times New Roman"/>
          <w:b/>
          <w:bCs/>
          <w:kern w:val="0"/>
          <w14:ligatures w14:val="none"/>
        </w:rPr>
        <w:t>3.2.1 Task Efficiency and Completion Dynamics</w:t>
      </w:r>
    </w:p>
    <w:p w14:paraId="63127BF7"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 xml:space="preserve">Task completion time analysis revealed no significant difference between baseline (Mean = 6.8 seconds, SD = 2.1) and adaptive conditions (Mean = 6.9 seconds, SD = 1.8), with statistical comparison yielding </w:t>
      </w:r>
      <w:proofErr w:type="gramStart"/>
      <w:r w:rsidRPr="00C82E23">
        <w:rPr>
          <w:rFonts w:ascii="Times New Roman" w:eastAsia="Times New Roman" w:hAnsi="Times New Roman" w:cs="Times New Roman"/>
          <w:kern w:val="0"/>
          <w14:ligatures w14:val="none"/>
        </w:rPr>
        <w:t>t(</w:t>
      </w:r>
      <w:proofErr w:type="gramEnd"/>
      <w:r w:rsidRPr="00C82E23">
        <w:rPr>
          <w:rFonts w:ascii="Times New Roman" w:eastAsia="Times New Roman" w:hAnsi="Times New Roman" w:cs="Times New Roman"/>
          <w:kern w:val="0"/>
          <w14:ligatures w14:val="none"/>
        </w:rPr>
        <w:t>49) = -0.32, p = 0.751, d = -0.05. This finding demonstrates that emotion-responsive features achieved substantial user experience improvements without compromising task efficiency or creating performance penalties that might limit commercial viability.</w:t>
      </w:r>
    </w:p>
    <w:p w14:paraId="572AA1D9"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 xml:space="preserve">Navigation efficiency showed significant improvement in the adaptive condition, with participants requiring fewer menu navigation steps (baseline: 8.4 steps, SD = 2.6; adaptive: 6.7 steps, SD = 1.9; </w:t>
      </w:r>
      <w:proofErr w:type="gramStart"/>
      <w:r w:rsidRPr="00C82E23">
        <w:rPr>
          <w:rFonts w:ascii="Times New Roman" w:eastAsia="Times New Roman" w:hAnsi="Times New Roman" w:cs="Times New Roman"/>
          <w:kern w:val="0"/>
          <w14:ligatures w14:val="none"/>
        </w:rPr>
        <w:t>t(</w:t>
      </w:r>
      <w:proofErr w:type="gramEnd"/>
      <w:r w:rsidRPr="00C82E23">
        <w:rPr>
          <w:rFonts w:ascii="Times New Roman" w:eastAsia="Times New Roman" w:hAnsi="Times New Roman" w:cs="Times New Roman"/>
          <w:kern w:val="0"/>
          <w14:ligatures w14:val="none"/>
        </w:rPr>
        <w:t>49) = 4.21, p &lt; 0.001, d = 0.74). This represents a medium to large effect size indicating practical significance of recommendation effectiveness and progressive disclosure benefits in reducing user effort and decision complexity.</w:t>
      </w:r>
    </w:p>
    <w:p w14:paraId="198FE9FC"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 xml:space="preserve">Error frequency demonstrated substantial reduction in the adaptive condition (baseline: 0.31 errors per trial, SD = 0.18; adaptive: 0.12 errors per trial, SD = 0.09; </w:t>
      </w:r>
      <w:proofErr w:type="gramStart"/>
      <w:r w:rsidRPr="00C82E23">
        <w:rPr>
          <w:rFonts w:ascii="Times New Roman" w:eastAsia="Times New Roman" w:hAnsi="Times New Roman" w:cs="Times New Roman"/>
          <w:kern w:val="0"/>
          <w14:ligatures w14:val="none"/>
        </w:rPr>
        <w:t>t(</w:t>
      </w:r>
      <w:proofErr w:type="gramEnd"/>
      <w:r w:rsidRPr="00C82E23">
        <w:rPr>
          <w:rFonts w:ascii="Times New Roman" w:eastAsia="Times New Roman" w:hAnsi="Times New Roman" w:cs="Times New Roman"/>
          <w:kern w:val="0"/>
          <w14:ligatures w14:val="none"/>
        </w:rPr>
        <w:t>49) = 6.83, p &lt; 0.001, d = 1.31). This large effect size indicates that emotion-responsive features and contextual guidance significantly improved decision accuracy and reduced task-related errors that could undermine user experience and system effectiveness.</w:t>
      </w:r>
    </w:p>
    <w:p w14:paraId="41102E75"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lastRenderedPageBreak/>
        <w:t xml:space="preserve">Decision changes during the ordering process showed significant reduction in the adaptive condition (baseline: 1.7 changes per trial, SD = 0.8; adaptive: 0.9 changes per trial, SD = 0.6; </w:t>
      </w:r>
      <w:proofErr w:type="gramStart"/>
      <w:r w:rsidRPr="00C82E23">
        <w:rPr>
          <w:rFonts w:ascii="Times New Roman" w:eastAsia="Times New Roman" w:hAnsi="Times New Roman" w:cs="Times New Roman"/>
          <w:kern w:val="0"/>
          <w14:ligatures w14:val="none"/>
        </w:rPr>
        <w:t>t(</w:t>
      </w:r>
      <w:proofErr w:type="gramEnd"/>
      <w:r w:rsidRPr="00C82E23">
        <w:rPr>
          <w:rFonts w:ascii="Times New Roman" w:eastAsia="Times New Roman" w:hAnsi="Times New Roman" w:cs="Times New Roman"/>
          <w:kern w:val="0"/>
          <w14:ligatures w14:val="none"/>
        </w:rPr>
        <w:t>49) = 5.94, p &lt; 0.001, d = 1.12). This large effect demonstrates improved initial choice satisfaction and reduced decision uncertainty when users received personalized recommendations aligned with their emotional state and contextual needs.</w:t>
      </w:r>
    </w:p>
    <w:p w14:paraId="24D3040A" w14:textId="77777777" w:rsidR="00C82E23" w:rsidRPr="00C82E23" w:rsidRDefault="00C82E23" w:rsidP="00C82E2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82E23">
        <w:rPr>
          <w:rFonts w:ascii="Times New Roman" w:eastAsia="Times New Roman" w:hAnsi="Times New Roman" w:cs="Times New Roman"/>
          <w:b/>
          <w:bCs/>
          <w:kern w:val="0"/>
          <w14:ligatures w14:val="none"/>
        </w:rPr>
        <w:t>3.2.2 Cognitive Workload Assessment</w:t>
      </w:r>
    </w:p>
    <w:p w14:paraId="4E4EBCB0"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 xml:space="preserve">NASA-TLX overall scores revealed substantial cognitive workload reduction in the adaptive condition (baseline: 68.7/100, SD = 14.2; adaptive: 47.3/100, SD = 12.8; </w:t>
      </w:r>
      <w:proofErr w:type="gramStart"/>
      <w:r w:rsidRPr="00C82E23">
        <w:rPr>
          <w:rFonts w:ascii="Times New Roman" w:eastAsia="Times New Roman" w:hAnsi="Times New Roman" w:cs="Times New Roman"/>
          <w:kern w:val="0"/>
          <w14:ligatures w14:val="none"/>
        </w:rPr>
        <w:t>t(</w:t>
      </w:r>
      <w:proofErr w:type="gramEnd"/>
      <w:r w:rsidRPr="00C82E23">
        <w:rPr>
          <w:rFonts w:ascii="Times New Roman" w:eastAsia="Times New Roman" w:hAnsi="Times New Roman" w:cs="Times New Roman"/>
          <w:kern w:val="0"/>
          <w14:ligatures w14:val="none"/>
        </w:rPr>
        <w:t>49) = 8.76, p &lt; 0.001, d = 1.58). This represents a 31% reduction in cognitive workload with a very large effect size, demonstrating significant practical benefits of emotion-responsive design for reducing mental effort and cognitive strain during complex decision-making tasks.</w:t>
      </w:r>
    </w:p>
    <w:p w14:paraId="3DA98999"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Detailed subscale analysis revealed significant improvements across all NASA-TLX dimensions. Mental demand decreased from 72.4 in baseline to 45.8 in adaptive condition (p &lt; 0.001, d = 1.43), indicating reduced cognitive processing requirements through effective recommendation and progressive disclosure. Temporal demand decreased from 61.2 to 42.1 (p &lt; 0.001, d = 1.22), suggesting that adaptive features reduced perceived time pressure and decision urgency.</w:t>
      </w:r>
    </w:p>
    <w:p w14:paraId="2C108E5F"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Performance satisfaction improved dramatically from 38.9 in baseline to 68.7 in adaptive condition (p &lt; 0.001, d = -1.67), indicating enhanced user confidence and satisfaction with task performance when adaptive features were available. Effort required decreased from 69.8 to 48.2 (p &lt; 0.001, d = 1.31), demonstrating reduced perceived exertion during task completion. Frustration levels showed the largest improvement, decreasing from 58.3 to 28.4 (p &lt; 0.001, d = 1.89), representing substantial enhancement in user emotional experience and task satisfaction.</w:t>
      </w:r>
    </w:p>
    <w:p w14:paraId="1232998C" w14:textId="77777777" w:rsidR="00C82E23" w:rsidRPr="00C82E23" w:rsidRDefault="00C82E23" w:rsidP="00C82E2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82E23">
        <w:rPr>
          <w:rFonts w:ascii="Times New Roman" w:eastAsia="Times New Roman" w:hAnsi="Times New Roman" w:cs="Times New Roman"/>
          <w:b/>
          <w:bCs/>
          <w:kern w:val="0"/>
          <w14:ligatures w14:val="none"/>
        </w:rPr>
        <w:t>3.2.3 System Usability and User Experience</w:t>
      </w:r>
    </w:p>
    <w:p w14:paraId="3A394AD4"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 xml:space="preserve">System Usability Scale scores showed significant improvement in the adaptive condition (baseline: 72.4/100, SD = 11.6; adaptive: 88.2/100, SD = 8.9; </w:t>
      </w:r>
      <w:proofErr w:type="gramStart"/>
      <w:r w:rsidRPr="00C82E23">
        <w:rPr>
          <w:rFonts w:ascii="Times New Roman" w:eastAsia="Times New Roman" w:hAnsi="Times New Roman" w:cs="Times New Roman"/>
          <w:kern w:val="0"/>
          <w14:ligatures w14:val="none"/>
        </w:rPr>
        <w:t>t(</w:t>
      </w:r>
      <w:proofErr w:type="gramEnd"/>
      <w:r w:rsidRPr="00C82E23">
        <w:rPr>
          <w:rFonts w:ascii="Times New Roman" w:eastAsia="Times New Roman" w:hAnsi="Times New Roman" w:cs="Times New Roman"/>
          <w:kern w:val="0"/>
          <w14:ligatures w14:val="none"/>
        </w:rPr>
        <w:t>49) = -8.12, p &lt; 0.001, d = -1.53). The adaptive system achieved excellent usability ratings exceeding the established threshold for excellent usability (85+) while representing a large effect size improvement over the baseline system.</w:t>
      </w:r>
    </w:p>
    <w:p w14:paraId="42F87EFB"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 xml:space="preserve">Overall satisfaction ratings demonstrated substantial improvement (baseline: 5.2/7.0, SD = 1.1; adaptive: 6.4/7.0, SD = 0.8; </w:t>
      </w:r>
      <w:proofErr w:type="gramStart"/>
      <w:r w:rsidRPr="00C82E23">
        <w:rPr>
          <w:rFonts w:ascii="Times New Roman" w:eastAsia="Times New Roman" w:hAnsi="Times New Roman" w:cs="Times New Roman"/>
          <w:kern w:val="0"/>
          <w14:ligatures w14:val="none"/>
        </w:rPr>
        <w:t>t(</w:t>
      </w:r>
      <w:proofErr w:type="gramEnd"/>
      <w:r w:rsidRPr="00C82E23">
        <w:rPr>
          <w:rFonts w:ascii="Times New Roman" w:eastAsia="Times New Roman" w:hAnsi="Times New Roman" w:cs="Times New Roman"/>
          <w:kern w:val="0"/>
          <w14:ligatures w14:val="none"/>
        </w:rPr>
        <w:t xml:space="preserve">49) = -6.91, p &lt; 0.001, d = -1.26), representing a 23% increase in user satisfaction with large effect size. Trust and confidence measures showed similar improvement (baseline: 4.1/7.0, SD = 1.2; adaptive: 5.8/7.0, SD = 0.9; </w:t>
      </w:r>
      <w:proofErr w:type="gramStart"/>
      <w:r w:rsidRPr="00C82E23">
        <w:rPr>
          <w:rFonts w:ascii="Times New Roman" w:eastAsia="Times New Roman" w:hAnsi="Times New Roman" w:cs="Times New Roman"/>
          <w:kern w:val="0"/>
          <w14:ligatures w14:val="none"/>
        </w:rPr>
        <w:t>t(</w:t>
      </w:r>
      <w:proofErr w:type="gramEnd"/>
      <w:r w:rsidRPr="00C82E23">
        <w:rPr>
          <w:rFonts w:ascii="Times New Roman" w:eastAsia="Times New Roman" w:hAnsi="Times New Roman" w:cs="Times New Roman"/>
          <w:kern w:val="0"/>
          <w14:ligatures w14:val="none"/>
        </w:rPr>
        <w:t>49) = -8.34, p &lt; 0.001, d = -1.58), indicating enhanced user confidence in system recommendations and capabilities.</w:t>
      </w:r>
    </w:p>
    <w:p w14:paraId="522C4676"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 xml:space="preserve">Perceived personalization effectiveness showed the largest effect size improvement (baseline: 2.8/7.0, SD = 1.0; adaptive: 6.1/7.0, SD = 0.7; </w:t>
      </w:r>
      <w:proofErr w:type="gramStart"/>
      <w:r w:rsidRPr="00C82E23">
        <w:rPr>
          <w:rFonts w:ascii="Times New Roman" w:eastAsia="Times New Roman" w:hAnsi="Times New Roman" w:cs="Times New Roman"/>
          <w:kern w:val="0"/>
          <w14:ligatures w14:val="none"/>
        </w:rPr>
        <w:t>t(</w:t>
      </w:r>
      <w:proofErr w:type="gramEnd"/>
      <w:r w:rsidRPr="00C82E23">
        <w:rPr>
          <w:rFonts w:ascii="Times New Roman" w:eastAsia="Times New Roman" w:hAnsi="Times New Roman" w:cs="Times New Roman"/>
          <w:kern w:val="0"/>
          <w14:ligatures w14:val="none"/>
        </w:rPr>
        <w:t>49) = -19.47, p &lt; 0.001, d = -3.81), demonstrating that users clearly recognized and valued the adaptive features and personalized recommendations provided by the emotion-responsive system.</w:t>
      </w:r>
    </w:p>
    <w:p w14:paraId="0798108F" w14:textId="77777777" w:rsidR="00C82E23" w:rsidRPr="00C82E23" w:rsidRDefault="00C82E23" w:rsidP="00C82E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E23">
        <w:rPr>
          <w:rFonts w:ascii="Times New Roman" w:eastAsia="Times New Roman" w:hAnsi="Times New Roman" w:cs="Times New Roman"/>
          <w:b/>
          <w:bCs/>
          <w:kern w:val="0"/>
          <w:sz w:val="27"/>
          <w:szCs w:val="27"/>
          <w14:ligatures w14:val="none"/>
        </w:rPr>
        <w:lastRenderedPageBreak/>
        <w:t>3.3 Recommendation System Performance Analysis</w:t>
      </w:r>
    </w:p>
    <w:p w14:paraId="6FC002CE"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The adaptive condition achieved an overall recommendation acceptance rate of 84.7% (SD = 12.3%), demonstrating strong user acceptance of system suggestions and confidence in recommendation quality. Acceptance rates showed significant improvement across trials, increasing from 78.2% in early trials to 91.4% in late trials (</w:t>
      </w:r>
      <w:proofErr w:type="gramStart"/>
      <w:r w:rsidRPr="00C82E23">
        <w:rPr>
          <w:rFonts w:ascii="Times New Roman" w:eastAsia="Times New Roman" w:hAnsi="Times New Roman" w:cs="Times New Roman"/>
          <w:kern w:val="0"/>
          <w14:ligatures w14:val="none"/>
        </w:rPr>
        <w:t>t(</w:t>
      </w:r>
      <w:proofErr w:type="gramEnd"/>
      <w:r w:rsidRPr="00C82E23">
        <w:rPr>
          <w:rFonts w:ascii="Times New Roman" w:eastAsia="Times New Roman" w:hAnsi="Times New Roman" w:cs="Times New Roman"/>
          <w:kern w:val="0"/>
          <w14:ligatures w14:val="none"/>
        </w:rPr>
        <w:t>49) = -6.28, p &lt; 0.001, d = -1.15), indicating effective system learning and user adaptation over extended interaction periods.</w:t>
      </w:r>
    </w:p>
    <w:p w14:paraId="34389644"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 xml:space="preserve">System override frequency, measured as modifications to system suggestions, decreased significantly in the adaptive condition (baseline: 2.1 overrides per trial, SD = 0.9; adaptive: 0.7 overrides per trial, SD = 0.5; </w:t>
      </w:r>
      <w:proofErr w:type="gramStart"/>
      <w:r w:rsidRPr="00C82E23">
        <w:rPr>
          <w:rFonts w:ascii="Times New Roman" w:eastAsia="Times New Roman" w:hAnsi="Times New Roman" w:cs="Times New Roman"/>
          <w:kern w:val="0"/>
          <w14:ligatures w14:val="none"/>
        </w:rPr>
        <w:t>t(</w:t>
      </w:r>
      <w:proofErr w:type="gramEnd"/>
      <w:r w:rsidRPr="00C82E23">
        <w:rPr>
          <w:rFonts w:ascii="Times New Roman" w:eastAsia="Times New Roman" w:hAnsi="Times New Roman" w:cs="Times New Roman"/>
          <w:kern w:val="0"/>
          <w14:ligatures w14:val="none"/>
        </w:rPr>
        <w:t>49) = 8.94, p &lt; 0.001, d = 1.84). This large effect demonstrates improved initial recommendation quality and reduced need for user corrections or modifications during task completion.</w:t>
      </w:r>
    </w:p>
    <w:p w14:paraId="79E98B16" w14:textId="77777777" w:rsidR="00C82E23" w:rsidRPr="00C82E23" w:rsidRDefault="00C82E23" w:rsidP="00C82E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E23">
        <w:rPr>
          <w:rFonts w:ascii="Times New Roman" w:eastAsia="Times New Roman" w:hAnsi="Times New Roman" w:cs="Times New Roman"/>
          <w:b/>
          <w:bCs/>
          <w:kern w:val="0"/>
          <w:sz w:val="27"/>
          <w:szCs w:val="27"/>
          <w14:ligatures w14:val="none"/>
        </w:rPr>
        <w:t>3.4 Learning Effects and Temporal Dynamics</w:t>
      </w:r>
    </w:p>
    <w:p w14:paraId="0F89C9C6"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Both experimental conditions demonstrated significant learning effects across the five-trial sequence, with users improving performance and satisfaction over time. In the baseline condition, task completion time decreased from 7.8 seconds in trial 1 to 6.2 seconds in trial 5, representing 21% improvement, while satisfaction increased from 4.8/7.0 to 5.4/7.0, representing 13% improvement.</w:t>
      </w:r>
    </w:p>
    <w:p w14:paraId="340E714B"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The adaptive condition showed similar temporal improvements with task completion time decreasing from 7.6 seconds in trial 1 to 6.4 seconds in trial 5 (16% improvement) and satisfaction increasing from 6.0/7.0 to 6.7/7.0 (12% improvement). Importantly, the adaptive system maintained higher absolute performance levels throughout the trial sequence while demonstrating continued learning and optimization.</w:t>
      </w:r>
    </w:p>
    <w:p w14:paraId="291D2536"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Recommendation accuracy in the adaptive condition improved substantially across trials, increasing from 78.2% acceptance in early trials to 91.4% acceptance in later trials. This 16.8% improvement demonstrates effective system learning and user adaptation, suggesting that extended interaction periods enable both users and systems to optimize performance through mutual adaptation processes.</w:t>
      </w:r>
    </w:p>
    <w:p w14:paraId="5E294FB9" w14:textId="77777777" w:rsidR="00C82E23" w:rsidRPr="00C82E23" w:rsidRDefault="00C82E23" w:rsidP="00C82E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E23">
        <w:rPr>
          <w:rFonts w:ascii="Times New Roman" w:eastAsia="Times New Roman" w:hAnsi="Times New Roman" w:cs="Times New Roman"/>
          <w:b/>
          <w:bCs/>
          <w:kern w:val="0"/>
          <w:sz w:val="27"/>
          <w:szCs w:val="27"/>
          <w14:ligatures w14:val="none"/>
        </w:rPr>
        <w:t>3.5 Individual Differences and Demographic Patterns</w:t>
      </w:r>
    </w:p>
    <w:p w14:paraId="71E45481"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Technical proficiency significantly moderated the benefits of adaptive features, with lower proficiency users showing larger improvements in satisfaction (d = 1.89) compared to higher proficiency users (d = 0.94). This interaction effect (</w:t>
      </w:r>
      <w:proofErr w:type="gramStart"/>
      <w:r w:rsidRPr="00C82E23">
        <w:rPr>
          <w:rFonts w:ascii="Times New Roman" w:eastAsia="Times New Roman" w:hAnsi="Times New Roman" w:cs="Times New Roman"/>
          <w:kern w:val="0"/>
          <w14:ligatures w14:val="none"/>
        </w:rPr>
        <w:t>F(</w:t>
      </w:r>
      <w:proofErr w:type="gramEnd"/>
      <w:r w:rsidRPr="00C82E23">
        <w:rPr>
          <w:rFonts w:ascii="Times New Roman" w:eastAsia="Times New Roman" w:hAnsi="Times New Roman" w:cs="Times New Roman"/>
          <w:kern w:val="0"/>
          <w14:ligatures w14:val="none"/>
        </w:rPr>
        <w:t>2,47) = 5.73, p = 0.006) suggests that emotion-responsive interfaces may be particularly beneficial for users with limited technical experience, supporting inclusive design goals and accessibility enhancement.</w:t>
      </w:r>
    </w:p>
    <w:p w14:paraId="5F8AD312"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Age-related patterns revealed that older participants (50+ years) derived greater relative benefit from adaptive features compared to younger participants, with significant age by condition interaction (</w:t>
      </w:r>
      <w:proofErr w:type="gramStart"/>
      <w:r w:rsidRPr="00C82E23">
        <w:rPr>
          <w:rFonts w:ascii="Times New Roman" w:eastAsia="Times New Roman" w:hAnsi="Times New Roman" w:cs="Times New Roman"/>
          <w:kern w:val="0"/>
          <w14:ligatures w14:val="none"/>
        </w:rPr>
        <w:t>F(</w:t>
      </w:r>
      <w:proofErr w:type="gramEnd"/>
      <w:r w:rsidRPr="00C82E23">
        <w:rPr>
          <w:rFonts w:ascii="Times New Roman" w:eastAsia="Times New Roman" w:hAnsi="Times New Roman" w:cs="Times New Roman"/>
          <w:kern w:val="0"/>
          <w14:ligatures w14:val="none"/>
        </w:rPr>
        <w:t xml:space="preserve">1,48) = 8.42, p = 0.006). This finding suggests that emotion-responsive interfaces </w:t>
      </w:r>
      <w:r w:rsidRPr="00C82E23">
        <w:rPr>
          <w:rFonts w:ascii="Times New Roman" w:eastAsia="Times New Roman" w:hAnsi="Times New Roman" w:cs="Times New Roman"/>
          <w:kern w:val="0"/>
          <w14:ligatures w14:val="none"/>
        </w:rPr>
        <w:lastRenderedPageBreak/>
        <w:t>may help reduce age-related digital divide effects while supporting cognitive ergonomics principles of accommodation for individual differences.</w:t>
      </w:r>
    </w:p>
    <w:p w14:paraId="6BD03D44" w14:textId="77777777" w:rsidR="00C82E23" w:rsidRPr="00C82E23" w:rsidRDefault="00C82E23" w:rsidP="00C82E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E23">
        <w:rPr>
          <w:rFonts w:ascii="Times New Roman" w:eastAsia="Times New Roman" w:hAnsi="Times New Roman" w:cs="Times New Roman"/>
          <w:b/>
          <w:bCs/>
          <w:kern w:val="0"/>
          <w:sz w:val="27"/>
          <w:szCs w:val="27"/>
          <w14:ligatures w14:val="none"/>
        </w:rPr>
        <w:t>3.6 Comprehensive Results Comparison</w:t>
      </w:r>
    </w:p>
    <w:p w14:paraId="2ECB50D7"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Table 1 presents a complete comparison of all primary outcome measures between baseline and emotion-responsive conditions, including statistical significance tests and effect size calculations. The results demonstrate consistent and substantial improvements across all measured dimensions when adaptive features were implemented.</w:t>
      </w:r>
    </w:p>
    <w:p w14:paraId="48E91A9A"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b/>
          <w:bCs/>
          <w:kern w:val="0"/>
          <w14:ligatures w14:val="none"/>
        </w:rPr>
        <w:t>Table 1.</w:t>
      </w:r>
      <w:r w:rsidRPr="00C82E23">
        <w:rPr>
          <w:rFonts w:ascii="Times New Roman" w:eastAsia="Times New Roman" w:hAnsi="Times New Roman" w:cs="Times New Roman"/>
          <w:kern w:val="0"/>
          <w14:ligatures w14:val="none"/>
        </w:rPr>
        <w:t xml:space="preserve"> Comprehensive Performance Comparison: Baseline vs. Emotion-Responsive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1255"/>
        <w:gridCol w:w="1581"/>
        <w:gridCol w:w="1596"/>
        <w:gridCol w:w="1226"/>
        <w:gridCol w:w="1494"/>
      </w:tblGrid>
      <w:tr w:rsidR="00C82E23" w:rsidRPr="00C82E23" w14:paraId="33CFDBAF" w14:textId="77777777" w:rsidTr="00C82E23">
        <w:trPr>
          <w:tblHeader/>
          <w:tblCellSpacing w:w="15" w:type="dxa"/>
        </w:trPr>
        <w:tc>
          <w:tcPr>
            <w:tcW w:w="0" w:type="auto"/>
            <w:vAlign w:val="center"/>
            <w:hideMark/>
          </w:tcPr>
          <w:p w14:paraId="31AE5F43" w14:textId="77777777" w:rsidR="00C82E23" w:rsidRPr="00C82E23" w:rsidRDefault="00C82E23" w:rsidP="00C82E23">
            <w:pPr>
              <w:spacing w:after="0" w:line="240" w:lineRule="auto"/>
              <w:jc w:val="center"/>
              <w:rPr>
                <w:rFonts w:ascii="Times New Roman" w:eastAsia="Times New Roman" w:hAnsi="Times New Roman" w:cs="Times New Roman"/>
                <w:b/>
                <w:bCs/>
                <w:kern w:val="0"/>
                <w14:ligatures w14:val="none"/>
              </w:rPr>
            </w:pPr>
            <w:r w:rsidRPr="00C82E23">
              <w:rPr>
                <w:rFonts w:ascii="Times New Roman" w:eastAsia="Times New Roman" w:hAnsi="Times New Roman" w:cs="Times New Roman"/>
                <w:b/>
                <w:bCs/>
                <w:kern w:val="0"/>
                <w14:ligatures w14:val="none"/>
              </w:rPr>
              <w:t>Measure</w:t>
            </w:r>
          </w:p>
        </w:tc>
        <w:tc>
          <w:tcPr>
            <w:tcW w:w="0" w:type="auto"/>
            <w:vAlign w:val="center"/>
            <w:hideMark/>
          </w:tcPr>
          <w:p w14:paraId="0989549A" w14:textId="77777777" w:rsidR="00C82E23" w:rsidRPr="00C82E23" w:rsidRDefault="00C82E23" w:rsidP="00C82E23">
            <w:pPr>
              <w:spacing w:after="0" w:line="240" w:lineRule="auto"/>
              <w:jc w:val="center"/>
              <w:rPr>
                <w:rFonts w:ascii="Times New Roman" w:eastAsia="Times New Roman" w:hAnsi="Times New Roman" w:cs="Times New Roman"/>
                <w:b/>
                <w:bCs/>
                <w:kern w:val="0"/>
                <w14:ligatures w14:val="none"/>
              </w:rPr>
            </w:pPr>
            <w:r w:rsidRPr="00C82E23">
              <w:rPr>
                <w:rFonts w:ascii="Times New Roman" w:eastAsia="Times New Roman" w:hAnsi="Times New Roman" w:cs="Times New Roman"/>
                <w:b/>
                <w:bCs/>
                <w:kern w:val="0"/>
                <w14:ligatures w14:val="none"/>
              </w:rPr>
              <w:t>Baseline Condition</w:t>
            </w:r>
          </w:p>
        </w:tc>
        <w:tc>
          <w:tcPr>
            <w:tcW w:w="0" w:type="auto"/>
            <w:vAlign w:val="center"/>
            <w:hideMark/>
          </w:tcPr>
          <w:p w14:paraId="747F4174" w14:textId="77777777" w:rsidR="00C82E23" w:rsidRPr="00C82E23" w:rsidRDefault="00C82E23" w:rsidP="00C82E23">
            <w:pPr>
              <w:spacing w:after="0" w:line="240" w:lineRule="auto"/>
              <w:jc w:val="center"/>
              <w:rPr>
                <w:rFonts w:ascii="Times New Roman" w:eastAsia="Times New Roman" w:hAnsi="Times New Roman" w:cs="Times New Roman"/>
                <w:b/>
                <w:bCs/>
                <w:kern w:val="0"/>
                <w14:ligatures w14:val="none"/>
              </w:rPr>
            </w:pPr>
            <w:r w:rsidRPr="00C82E23">
              <w:rPr>
                <w:rFonts w:ascii="Times New Roman" w:eastAsia="Times New Roman" w:hAnsi="Times New Roman" w:cs="Times New Roman"/>
                <w:b/>
                <w:bCs/>
                <w:kern w:val="0"/>
                <w14:ligatures w14:val="none"/>
              </w:rPr>
              <w:t>Emotion-Responsive Condition</w:t>
            </w:r>
          </w:p>
        </w:tc>
        <w:tc>
          <w:tcPr>
            <w:tcW w:w="0" w:type="auto"/>
            <w:vAlign w:val="center"/>
            <w:hideMark/>
          </w:tcPr>
          <w:p w14:paraId="50FEF11B" w14:textId="77777777" w:rsidR="00C82E23" w:rsidRPr="00C82E23" w:rsidRDefault="00C82E23" w:rsidP="00C82E23">
            <w:pPr>
              <w:spacing w:after="0" w:line="240" w:lineRule="auto"/>
              <w:jc w:val="center"/>
              <w:rPr>
                <w:rFonts w:ascii="Times New Roman" w:eastAsia="Times New Roman" w:hAnsi="Times New Roman" w:cs="Times New Roman"/>
                <w:b/>
                <w:bCs/>
                <w:kern w:val="0"/>
                <w14:ligatures w14:val="none"/>
              </w:rPr>
            </w:pPr>
            <w:r w:rsidRPr="00C82E23">
              <w:rPr>
                <w:rFonts w:ascii="Times New Roman" w:eastAsia="Times New Roman" w:hAnsi="Times New Roman" w:cs="Times New Roman"/>
                <w:b/>
                <w:bCs/>
                <w:kern w:val="0"/>
                <w14:ligatures w14:val="none"/>
              </w:rPr>
              <w:t>Statistical Comparison</w:t>
            </w:r>
          </w:p>
        </w:tc>
        <w:tc>
          <w:tcPr>
            <w:tcW w:w="0" w:type="auto"/>
            <w:vAlign w:val="center"/>
            <w:hideMark/>
          </w:tcPr>
          <w:p w14:paraId="5F747D49" w14:textId="77777777" w:rsidR="00C82E23" w:rsidRPr="00C82E23" w:rsidRDefault="00C82E23" w:rsidP="00C82E23">
            <w:pPr>
              <w:spacing w:after="0" w:line="240" w:lineRule="auto"/>
              <w:jc w:val="center"/>
              <w:rPr>
                <w:rFonts w:ascii="Times New Roman" w:eastAsia="Times New Roman" w:hAnsi="Times New Roman" w:cs="Times New Roman"/>
                <w:b/>
                <w:bCs/>
                <w:kern w:val="0"/>
                <w14:ligatures w14:val="none"/>
              </w:rPr>
            </w:pPr>
            <w:r w:rsidRPr="00C82E23">
              <w:rPr>
                <w:rFonts w:ascii="Times New Roman" w:eastAsia="Times New Roman" w:hAnsi="Times New Roman" w:cs="Times New Roman"/>
                <w:b/>
                <w:bCs/>
                <w:kern w:val="0"/>
                <w14:ligatures w14:val="none"/>
              </w:rPr>
              <w:t>Effect Size (Cohen's d)</w:t>
            </w:r>
          </w:p>
        </w:tc>
        <w:tc>
          <w:tcPr>
            <w:tcW w:w="0" w:type="auto"/>
            <w:vAlign w:val="center"/>
            <w:hideMark/>
          </w:tcPr>
          <w:p w14:paraId="12F7499E" w14:textId="77777777" w:rsidR="00C82E23" w:rsidRPr="00C82E23" w:rsidRDefault="00C82E23" w:rsidP="00C82E23">
            <w:pPr>
              <w:spacing w:after="0" w:line="240" w:lineRule="auto"/>
              <w:jc w:val="center"/>
              <w:rPr>
                <w:rFonts w:ascii="Times New Roman" w:eastAsia="Times New Roman" w:hAnsi="Times New Roman" w:cs="Times New Roman"/>
                <w:b/>
                <w:bCs/>
                <w:kern w:val="0"/>
                <w14:ligatures w14:val="none"/>
              </w:rPr>
            </w:pPr>
            <w:r w:rsidRPr="00C82E23">
              <w:rPr>
                <w:rFonts w:ascii="Times New Roman" w:eastAsia="Times New Roman" w:hAnsi="Times New Roman" w:cs="Times New Roman"/>
                <w:b/>
                <w:bCs/>
                <w:kern w:val="0"/>
                <w14:ligatures w14:val="none"/>
              </w:rPr>
              <w:t>Practical Significance</w:t>
            </w:r>
          </w:p>
        </w:tc>
      </w:tr>
      <w:tr w:rsidR="00C82E23" w:rsidRPr="00C82E23" w14:paraId="1FE0B522" w14:textId="77777777" w:rsidTr="00C82E23">
        <w:trPr>
          <w:tblCellSpacing w:w="15" w:type="dxa"/>
        </w:trPr>
        <w:tc>
          <w:tcPr>
            <w:tcW w:w="0" w:type="auto"/>
            <w:vAlign w:val="center"/>
            <w:hideMark/>
          </w:tcPr>
          <w:p w14:paraId="482BA5A3"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b/>
                <w:bCs/>
                <w:kern w:val="0"/>
                <w14:ligatures w14:val="none"/>
              </w:rPr>
              <w:t>Task Performance</w:t>
            </w:r>
          </w:p>
        </w:tc>
        <w:tc>
          <w:tcPr>
            <w:tcW w:w="0" w:type="auto"/>
            <w:vAlign w:val="center"/>
            <w:hideMark/>
          </w:tcPr>
          <w:p w14:paraId="4D7E289E"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p>
        </w:tc>
        <w:tc>
          <w:tcPr>
            <w:tcW w:w="0" w:type="auto"/>
            <w:vAlign w:val="center"/>
            <w:hideMark/>
          </w:tcPr>
          <w:p w14:paraId="7BE91D65" w14:textId="77777777" w:rsidR="00C82E23" w:rsidRPr="00C82E23" w:rsidRDefault="00C82E23" w:rsidP="00C82E23">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19B064" w14:textId="77777777" w:rsidR="00C82E23" w:rsidRPr="00C82E23" w:rsidRDefault="00C82E23" w:rsidP="00C82E23">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90BA2E" w14:textId="77777777" w:rsidR="00C82E23" w:rsidRPr="00C82E23" w:rsidRDefault="00C82E23" w:rsidP="00C82E23">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4345FD" w14:textId="77777777" w:rsidR="00C82E23" w:rsidRPr="00C82E23" w:rsidRDefault="00C82E23" w:rsidP="00C82E23">
            <w:pPr>
              <w:spacing w:after="0" w:line="240" w:lineRule="auto"/>
              <w:rPr>
                <w:rFonts w:ascii="Times New Roman" w:eastAsia="Times New Roman" w:hAnsi="Times New Roman" w:cs="Times New Roman"/>
                <w:kern w:val="0"/>
                <w:sz w:val="20"/>
                <w:szCs w:val="20"/>
                <w14:ligatures w14:val="none"/>
              </w:rPr>
            </w:pPr>
          </w:p>
        </w:tc>
      </w:tr>
      <w:tr w:rsidR="00C82E23" w:rsidRPr="00C82E23" w14:paraId="3D31D3AF" w14:textId="77777777" w:rsidTr="00C82E23">
        <w:trPr>
          <w:tblCellSpacing w:w="15" w:type="dxa"/>
        </w:trPr>
        <w:tc>
          <w:tcPr>
            <w:tcW w:w="0" w:type="auto"/>
            <w:vAlign w:val="center"/>
            <w:hideMark/>
          </w:tcPr>
          <w:p w14:paraId="0A919200"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Task Completion Time (seconds)</w:t>
            </w:r>
          </w:p>
        </w:tc>
        <w:tc>
          <w:tcPr>
            <w:tcW w:w="0" w:type="auto"/>
            <w:vAlign w:val="center"/>
            <w:hideMark/>
          </w:tcPr>
          <w:p w14:paraId="0D9AC9C4"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6.8 ± 2.1</w:t>
            </w:r>
          </w:p>
        </w:tc>
        <w:tc>
          <w:tcPr>
            <w:tcW w:w="0" w:type="auto"/>
            <w:vAlign w:val="center"/>
            <w:hideMark/>
          </w:tcPr>
          <w:p w14:paraId="063B2DC9"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6.9 ± 1.8</w:t>
            </w:r>
          </w:p>
        </w:tc>
        <w:tc>
          <w:tcPr>
            <w:tcW w:w="0" w:type="auto"/>
            <w:vAlign w:val="center"/>
            <w:hideMark/>
          </w:tcPr>
          <w:p w14:paraId="275839BC"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proofErr w:type="gramStart"/>
            <w:r w:rsidRPr="00C82E23">
              <w:rPr>
                <w:rFonts w:ascii="Times New Roman" w:eastAsia="Times New Roman" w:hAnsi="Times New Roman" w:cs="Times New Roman"/>
                <w:kern w:val="0"/>
                <w14:ligatures w14:val="none"/>
              </w:rPr>
              <w:t>t(</w:t>
            </w:r>
            <w:proofErr w:type="gramEnd"/>
            <w:r w:rsidRPr="00C82E23">
              <w:rPr>
                <w:rFonts w:ascii="Times New Roman" w:eastAsia="Times New Roman" w:hAnsi="Times New Roman" w:cs="Times New Roman"/>
                <w:kern w:val="0"/>
                <w14:ligatures w14:val="none"/>
              </w:rPr>
              <w:t>49) = -0.32, p = 0.751</w:t>
            </w:r>
          </w:p>
        </w:tc>
        <w:tc>
          <w:tcPr>
            <w:tcW w:w="0" w:type="auto"/>
            <w:vAlign w:val="center"/>
            <w:hideMark/>
          </w:tcPr>
          <w:p w14:paraId="7EABA03C"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-0.05</w:t>
            </w:r>
          </w:p>
        </w:tc>
        <w:tc>
          <w:tcPr>
            <w:tcW w:w="0" w:type="auto"/>
            <w:vAlign w:val="center"/>
            <w:hideMark/>
          </w:tcPr>
          <w:p w14:paraId="192F0DD1"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No difference</w:t>
            </w:r>
          </w:p>
        </w:tc>
      </w:tr>
      <w:tr w:rsidR="00C82E23" w:rsidRPr="00C82E23" w14:paraId="30AA6B18" w14:textId="77777777" w:rsidTr="00C82E23">
        <w:trPr>
          <w:tblCellSpacing w:w="15" w:type="dxa"/>
        </w:trPr>
        <w:tc>
          <w:tcPr>
            <w:tcW w:w="0" w:type="auto"/>
            <w:vAlign w:val="center"/>
            <w:hideMark/>
          </w:tcPr>
          <w:p w14:paraId="3B92A25D"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Navigation Steps</w:t>
            </w:r>
          </w:p>
        </w:tc>
        <w:tc>
          <w:tcPr>
            <w:tcW w:w="0" w:type="auto"/>
            <w:vAlign w:val="center"/>
            <w:hideMark/>
          </w:tcPr>
          <w:p w14:paraId="036B8FB3"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8.4 ± 2.6</w:t>
            </w:r>
          </w:p>
        </w:tc>
        <w:tc>
          <w:tcPr>
            <w:tcW w:w="0" w:type="auto"/>
            <w:vAlign w:val="center"/>
            <w:hideMark/>
          </w:tcPr>
          <w:p w14:paraId="50746532"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6.7 ± 1.9</w:t>
            </w:r>
          </w:p>
        </w:tc>
        <w:tc>
          <w:tcPr>
            <w:tcW w:w="0" w:type="auto"/>
            <w:vAlign w:val="center"/>
            <w:hideMark/>
          </w:tcPr>
          <w:p w14:paraId="1C5B1E96"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proofErr w:type="gramStart"/>
            <w:r w:rsidRPr="00C82E23">
              <w:rPr>
                <w:rFonts w:ascii="Times New Roman" w:eastAsia="Times New Roman" w:hAnsi="Times New Roman" w:cs="Times New Roman"/>
                <w:kern w:val="0"/>
                <w14:ligatures w14:val="none"/>
              </w:rPr>
              <w:t>t(</w:t>
            </w:r>
            <w:proofErr w:type="gramEnd"/>
            <w:r w:rsidRPr="00C82E23">
              <w:rPr>
                <w:rFonts w:ascii="Times New Roman" w:eastAsia="Times New Roman" w:hAnsi="Times New Roman" w:cs="Times New Roman"/>
                <w:kern w:val="0"/>
                <w14:ligatures w14:val="none"/>
              </w:rPr>
              <w:t>49) = 4.21, p &lt; 0.001***</w:t>
            </w:r>
          </w:p>
        </w:tc>
        <w:tc>
          <w:tcPr>
            <w:tcW w:w="0" w:type="auto"/>
            <w:vAlign w:val="center"/>
            <w:hideMark/>
          </w:tcPr>
          <w:p w14:paraId="6EB117C9"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0.74</w:t>
            </w:r>
          </w:p>
        </w:tc>
        <w:tc>
          <w:tcPr>
            <w:tcW w:w="0" w:type="auto"/>
            <w:vAlign w:val="center"/>
            <w:hideMark/>
          </w:tcPr>
          <w:p w14:paraId="1AEA7C2C"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Medium-Large</w:t>
            </w:r>
          </w:p>
        </w:tc>
      </w:tr>
      <w:tr w:rsidR="00C82E23" w:rsidRPr="00C82E23" w14:paraId="5BF1BDF0" w14:textId="77777777" w:rsidTr="00C82E23">
        <w:trPr>
          <w:tblCellSpacing w:w="15" w:type="dxa"/>
        </w:trPr>
        <w:tc>
          <w:tcPr>
            <w:tcW w:w="0" w:type="auto"/>
            <w:vAlign w:val="center"/>
            <w:hideMark/>
          </w:tcPr>
          <w:p w14:paraId="14DB39A9"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Error Rate (per trial)</w:t>
            </w:r>
          </w:p>
        </w:tc>
        <w:tc>
          <w:tcPr>
            <w:tcW w:w="0" w:type="auto"/>
            <w:vAlign w:val="center"/>
            <w:hideMark/>
          </w:tcPr>
          <w:p w14:paraId="393FB5E0"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0.31 ± 0.18</w:t>
            </w:r>
          </w:p>
        </w:tc>
        <w:tc>
          <w:tcPr>
            <w:tcW w:w="0" w:type="auto"/>
            <w:vAlign w:val="center"/>
            <w:hideMark/>
          </w:tcPr>
          <w:p w14:paraId="5C313607"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0.12 ± 0.09</w:t>
            </w:r>
          </w:p>
        </w:tc>
        <w:tc>
          <w:tcPr>
            <w:tcW w:w="0" w:type="auto"/>
            <w:vAlign w:val="center"/>
            <w:hideMark/>
          </w:tcPr>
          <w:p w14:paraId="66F29AB5"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proofErr w:type="gramStart"/>
            <w:r w:rsidRPr="00C82E23">
              <w:rPr>
                <w:rFonts w:ascii="Times New Roman" w:eastAsia="Times New Roman" w:hAnsi="Times New Roman" w:cs="Times New Roman"/>
                <w:kern w:val="0"/>
                <w14:ligatures w14:val="none"/>
              </w:rPr>
              <w:t>t(</w:t>
            </w:r>
            <w:proofErr w:type="gramEnd"/>
            <w:r w:rsidRPr="00C82E23">
              <w:rPr>
                <w:rFonts w:ascii="Times New Roman" w:eastAsia="Times New Roman" w:hAnsi="Times New Roman" w:cs="Times New Roman"/>
                <w:kern w:val="0"/>
                <w14:ligatures w14:val="none"/>
              </w:rPr>
              <w:t>49) = 6.83, p &lt; 0.001***</w:t>
            </w:r>
          </w:p>
        </w:tc>
        <w:tc>
          <w:tcPr>
            <w:tcW w:w="0" w:type="auto"/>
            <w:vAlign w:val="center"/>
            <w:hideMark/>
          </w:tcPr>
          <w:p w14:paraId="04260EBD"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1.31</w:t>
            </w:r>
          </w:p>
        </w:tc>
        <w:tc>
          <w:tcPr>
            <w:tcW w:w="0" w:type="auto"/>
            <w:vAlign w:val="center"/>
            <w:hideMark/>
          </w:tcPr>
          <w:p w14:paraId="43101B3D"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Large</w:t>
            </w:r>
          </w:p>
        </w:tc>
      </w:tr>
      <w:tr w:rsidR="00C82E23" w:rsidRPr="00C82E23" w14:paraId="13BA38DD" w14:textId="77777777" w:rsidTr="00C82E23">
        <w:trPr>
          <w:tblCellSpacing w:w="15" w:type="dxa"/>
        </w:trPr>
        <w:tc>
          <w:tcPr>
            <w:tcW w:w="0" w:type="auto"/>
            <w:vAlign w:val="center"/>
            <w:hideMark/>
          </w:tcPr>
          <w:p w14:paraId="641084AA"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Decision Changes</w:t>
            </w:r>
          </w:p>
        </w:tc>
        <w:tc>
          <w:tcPr>
            <w:tcW w:w="0" w:type="auto"/>
            <w:vAlign w:val="center"/>
            <w:hideMark/>
          </w:tcPr>
          <w:p w14:paraId="68BE5DD9"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1.7 ± 0.8</w:t>
            </w:r>
          </w:p>
        </w:tc>
        <w:tc>
          <w:tcPr>
            <w:tcW w:w="0" w:type="auto"/>
            <w:vAlign w:val="center"/>
            <w:hideMark/>
          </w:tcPr>
          <w:p w14:paraId="6A2343D8"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0.9 ± 0.6</w:t>
            </w:r>
          </w:p>
        </w:tc>
        <w:tc>
          <w:tcPr>
            <w:tcW w:w="0" w:type="auto"/>
            <w:vAlign w:val="center"/>
            <w:hideMark/>
          </w:tcPr>
          <w:p w14:paraId="65EE9287"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proofErr w:type="gramStart"/>
            <w:r w:rsidRPr="00C82E23">
              <w:rPr>
                <w:rFonts w:ascii="Times New Roman" w:eastAsia="Times New Roman" w:hAnsi="Times New Roman" w:cs="Times New Roman"/>
                <w:kern w:val="0"/>
                <w14:ligatures w14:val="none"/>
              </w:rPr>
              <w:t>t(</w:t>
            </w:r>
            <w:proofErr w:type="gramEnd"/>
            <w:r w:rsidRPr="00C82E23">
              <w:rPr>
                <w:rFonts w:ascii="Times New Roman" w:eastAsia="Times New Roman" w:hAnsi="Times New Roman" w:cs="Times New Roman"/>
                <w:kern w:val="0"/>
                <w14:ligatures w14:val="none"/>
              </w:rPr>
              <w:t>49) = 5.94, p &lt; 0.001***</w:t>
            </w:r>
          </w:p>
        </w:tc>
        <w:tc>
          <w:tcPr>
            <w:tcW w:w="0" w:type="auto"/>
            <w:vAlign w:val="center"/>
            <w:hideMark/>
          </w:tcPr>
          <w:p w14:paraId="0C7835D0"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1.12</w:t>
            </w:r>
          </w:p>
        </w:tc>
        <w:tc>
          <w:tcPr>
            <w:tcW w:w="0" w:type="auto"/>
            <w:vAlign w:val="center"/>
            <w:hideMark/>
          </w:tcPr>
          <w:p w14:paraId="7AB52E32"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Large</w:t>
            </w:r>
          </w:p>
        </w:tc>
      </w:tr>
      <w:tr w:rsidR="00C82E23" w:rsidRPr="00C82E23" w14:paraId="3E20C2A8" w14:textId="77777777" w:rsidTr="00C82E23">
        <w:trPr>
          <w:tblCellSpacing w:w="15" w:type="dxa"/>
        </w:trPr>
        <w:tc>
          <w:tcPr>
            <w:tcW w:w="0" w:type="auto"/>
            <w:vAlign w:val="center"/>
            <w:hideMark/>
          </w:tcPr>
          <w:p w14:paraId="6A244422"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b/>
                <w:bCs/>
                <w:kern w:val="0"/>
                <w14:ligatures w14:val="none"/>
              </w:rPr>
              <w:t>Cognitive Workload (NASA-TLX)</w:t>
            </w:r>
          </w:p>
        </w:tc>
        <w:tc>
          <w:tcPr>
            <w:tcW w:w="0" w:type="auto"/>
            <w:vAlign w:val="center"/>
            <w:hideMark/>
          </w:tcPr>
          <w:p w14:paraId="0C56C1FE"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p>
        </w:tc>
        <w:tc>
          <w:tcPr>
            <w:tcW w:w="0" w:type="auto"/>
            <w:vAlign w:val="center"/>
            <w:hideMark/>
          </w:tcPr>
          <w:p w14:paraId="775CE77D" w14:textId="77777777" w:rsidR="00C82E23" w:rsidRPr="00C82E23" w:rsidRDefault="00C82E23" w:rsidP="00C82E23">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29ABC8" w14:textId="77777777" w:rsidR="00C82E23" w:rsidRPr="00C82E23" w:rsidRDefault="00C82E23" w:rsidP="00C82E23">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AFFDC8" w14:textId="77777777" w:rsidR="00C82E23" w:rsidRPr="00C82E23" w:rsidRDefault="00C82E23" w:rsidP="00C82E23">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A7D19A" w14:textId="77777777" w:rsidR="00C82E23" w:rsidRPr="00C82E23" w:rsidRDefault="00C82E23" w:rsidP="00C82E23">
            <w:pPr>
              <w:spacing w:after="0" w:line="240" w:lineRule="auto"/>
              <w:rPr>
                <w:rFonts w:ascii="Times New Roman" w:eastAsia="Times New Roman" w:hAnsi="Times New Roman" w:cs="Times New Roman"/>
                <w:kern w:val="0"/>
                <w:sz w:val="20"/>
                <w:szCs w:val="20"/>
                <w14:ligatures w14:val="none"/>
              </w:rPr>
            </w:pPr>
          </w:p>
        </w:tc>
      </w:tr>
      <w:tr w:rsidR="00C82E23" w:rsidRPr="00C82E23" w14:paraId="41EEA5A8" w14:textId="77777777" w:rsidTr="00C82E23">
        <w:trPr>
          <w:tblCellSpacing w:w="15" w:type="dxa"/>
        </w:trPr>
        <w:tc>
          <w:tcPr>
            <w:tcW w:w="0" w:type="auto"/>
            <w:vAlign w:val="center"/>
            <w:hideMark/>
          </w:tcPr>
          <w:p w14:paraId="09D88C57"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Overall NASA-TLX Score (/100)</w:t>
            </w:r>
          </w:p>
        </w:tc>
        <w:tc>
          <w:tcPr>
            <w:tcW w:w="0" w:type="auto"/>
            <w:vAlign w:val="center"/>
            <w:hideMark/>
          </w:tcPr>
          <w:p w14:paraId="538C88E5"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68.7 ± 14.2</w:t>
            </w:r>
          </w:p>
        </w:tc>
        <w:tc>
          <w:tcPr>
            <w:tcW w:w="0" w:type="auto"/>
            <w:vAlign w:val="center"/>
            <w:hideMark/>
          </w:tcPr>
          <w:p w14:paraId="516CA83C"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47.3 ± 12.8</w:t>
            </w:r>
          </w:p>
        </w:tc>
        <w:tc>
          <w:tcPr>
            <w:tcW w:w="0" w:type="auto"/>
            <w:vAlign w:val="center"/>
            <w:hideMark/>
          </w:tcPr>
          <w:p w14:paraId="507EE6FA"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proofErr w:type="gramStart"/>
            <w:r w:rsidRPr="00C82E23">
              <w:rPr>
                <w:rFonts w:ascii="Times New Roman" w:eastAsia="Times New Roman" w:hAnsi="Times New Roman" w:cs="Times New Roman"/>
                <w:kern w:val="0"/>
                <w14:ligatures w14:val="none"/>
              </w:rPr>
              <w:t>t(</w:t>
            </w:r>
            <w:proofErr w:type="gramEnd"/>
            <w:r w:rsidRPr="00C82E23">
              <w:rPr>
                <w:rFonts w:ascii="Times New Roman" w:eastAsia="Times New Roman" w:hAnsi="Times New Roman" w:cs="Times New Roman"/>
                <w:kern w:val="0"/>
                <w14:ligatures w14:val="none"/>
              </w:rPr>
              <w:t>49) = 8.76, p &lt; 0.001***</w:t>
            </w:r>
          </w:p>
        </w:tc>
        <w:tc>
          <w:tcPr>
            <w:tcW w:w="0" w:type="auto"/>
            <w:vAlign w:val="center"/>
            <w:hideMark/>
          </w:tcPr>
          <w:p w14:paraId="2F6FF537"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1.58</w:t>
            </w:r>
          </w:p>
        </w:tc>
        <w:tc>
          <w:tcPr>
            <w:tcW w:w="0" w:type="auto"/>
            <w:vAlign w:val="center"/>
            <w:hideMark/>
          </w:tcPr>
          <w:p w14:paraId="751F0423"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Very Large</w:t>
            </w:r>
          </w:p>
        </w:tc>
      </w:tr>
      <w:tr w:rsidR="00C82E23" w:rsidRPr="00C82E23" w14:paraId="1E64D04C" w14:textId="77777777" w:rsidTr="00C82E23">
        <w:trPr>
          <w:tblCellSpacing w:w="15" w:type="dxa"/>
        </w:trPr>
        <w:tc>
          <w:tcPr>
            <w:tcW w:w="0" w:type="auto"/>
            <w:vAlign w:val="center"/>
            <w:hideMark/>
          </w:tcPr>
          <w:p w14:paraId="7B55E9EE"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Mental Demand</w:t>
            </w:r>
          </w:p>
        </w:tc>
        <w:tc>
          <w:tcPr>
            <w:tcW w:w="0" w:type="auto"/>
            <w:vAlign w:val="center"/>
            <w:hideMark/>
          </w:tcPr>
          <w:p w14:paraId="29FC4FBD"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72.4 ± 12.8</w:t>
            </w:r>
          </w:p>
        </w:tc>
        <w:tc>
          <w:tcPr>
            <w:tcW w:w="0" w:type="auto"/>
            <w:vAlign w:val="center"/>
            <w:hideMark/>
          </w:tcPr>
          <w:p w14:paraId="4F8BDE4D"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45.8 ± 11.2</w:t>
            </w:r>
          </w:p>
        </w:tc>
        <w:tc>
          <w:tcPr>
            <w:tcW w:w="0" w:type="auto"/>
            <w:vAlign w:val="center"/>
            <w:hideMark/>
          </w:tcPr>
          <w:p w14:paraId="43DC053E"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proofErr w:type="gramStart"/>
            <w:r w:rsidRPr="00C82E23">
              <w:rPr>
                <w:rFonts w:ascii="Times New Roman" w:eastAsia="Times New Roman" w:hAnsi="Times New Roman" w:cs="Times New Roman"/>
                <w:kern w:val="0"/>
                <w14:ligatures w14:val="none"/>
              </w:rPr>
              <w:t>t(</w:t>
            </w:r>
            <w:proofErr w:type="gramEnd"/>
            <w:r w:rsidRPr="00C82E23">
              <w:rPr>
                <w:rFonts w:ascii="Times New Roman" w:eastAsia="Times New Roman" w:hAnsi="Times New Roman" w:cs="Times New Roman"/>
                <w:kern w:val="0"/>
                <w14:ligatures w14:val="none"/>
              </w:rPr>
              <w:t>49) = 9.12, p &lt; 0.001***</w:t>
            </w:r>
          </w:p>
        </w:tc>
        <w:tc>
          <w:tcPr>
            <w:tcW w:w="0" w:type="auto"/>
            <w:vAlign w:val="center"/>
            <w:hideMark/>
          </w:tcPr>
          <w:p w14:paraId="6AC1EA1F"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1.43</w:t>
            </w:r>
          </w:p>
        </w:tc>
        <w:tc>
          <w:tcPr>
            <w:tcW w:w="0" w:type="auto"/>
            <w:vAlign w:val="center"/>
            <w:hideMark/>
          </w:tcPr>
          <w:p w14:paraId="2C3F95DB"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Large</w:t>
            </w:r>
          </w:p>
        </w:tc>
      </w:tr>
      <w:tr w:rsidR="00C82E23" w:rsidRPr="00C82E23" w14:paraId="79E88834" w14:textId="77777777" w:rsidTr="00C82E23">
        <w:trPr>
          <w:tblCellSpacing w:w="15" w:type="dxa"/>
        </w:trPr>
        <w:tc>
          <w:tcPr>
            <w:tcW w:w="0" w:type="auto"/>
            <w:vAlign w:val="center"/>
            <w:hideMark/>
          </w:tcPr>
          <w:p w14:paraId="1C97B001"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Temporal Demand</w:t>
            </w:r>
          </w:p>
        </w:tc>
        <w:tc>
          <w:tcPr>
            <w:tcW w:w="0" w:type="auto"/>
            <w:vAlign w:val="center"/>
            <w:hideMark/>
          </w:tcPr>
          <w:p w14:paraId="0247D947"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61.2 ± 13.4</w:t>
            </w:r>
          </w:p>
        </w:tc>
        <w:tc>
          <w:tcPr>
            <w:tcW w:w="0" w:type="auto"/>
            <w:vAlign w:val="center"/>
            <w:hideMark/>
          </w:tcPr>
          <w:p w14:paraId="19673424"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42.1 ± 10.6</w:t>
            </w:r>
          </w:p>
        </w:tc>
        <w:tc>
          <w:tcPr>
            <w:tcW w:w="0" w:type="auto"/>
            <w:vAlign w:val="center"/>
            <w:hideMark/>
          </w:tcPr>
          <w:p w14:paraId="2747F72A"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proofErr w:type="gramStart"/>
            <w:r w:rsidRPr="00C82E23">
              <w:rPr>
                <w:rFonts w:ascii="Times New Roman" w:eastAsia="Times New Roman" w:hAnsi="Times New Roman" w:cs="Times New Roman"/>
                <w:kern w:val="0"/>
                <w14:ligatures w14:val="none"/>
              </w:rPr>
              <w:t>t(</w:t>
            </w:r>
            <w:proofErr w:type="gramEnd"/>
            <w:r w:rsidRPr="00C82E23">
              <w:rPr>
                <w:rFonts w:ascii="Times New Roman" w:eastAsia="Times New Roman" w:hAnsi="Times New Roman" w:cs="Times New Roman"/>
                <w:kern w:val="0"/>
                <w14:ligatures w14:val="none"/>
              </w:rPr>
              <w:t>49) = 7.89, p &lt; 0.001***</w:t>
            </w:r>
          </w:p>
        </w:tc>
        <w:tc>
          <w:tcPr>
            <w:tcW w:w="0" w:type="auto"/>
            <w:vAlign w:val="center"/>
            <w:hideMark/>
          </w:tcPr>
          <w:p w14:paraId="0EE1C593"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1.22</w:t>
            </w:r>
          </w:p>
        </w:tc>
        <w:tc>
          <w:tcPr>
            <w:tcW w:w="0" w:type="auto"/>
            <w:vAlign w:val="center"/>
            <w:hideMark/>
          </w:tcPr>
          <w:p w14:paraId="06655E8A"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Large</w:t>
            </w:r>
          </w:p>
        </w:tc>
      </w:tr>
      <w:tr w:rsidR="00C82E23" w:rsidRPr="00C82E23" w14:paraId="3E59D897" w14:textId="77777777" w:rsidTr="00C82E23">
        <w:trPr>
          <w:tblCellSpacing w:w="15" w:type="dxa"/>
        </w:trPr>
        <w:tc>
          <w:tcPr>
            <w:tcW w:w="0" w:type="auto"/>
            <w:vAlign w:val="center"/>
            <w:hideMark/>
          </w:tcPr>
          <w:p w14:paraId="68BE3C4F"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Performance Satisfaction</w:t>
            </w:r>
          </w:p>
        </w:tc>
        <w:tc>
          <w:tcPr>
            <w:tcW w:w="0" w:type="auto"/>
            <w:vAlign w:val="center"/>
            <w:hideMark/>
          </w:tcPr>
          <w:p w14:paraId="651C817B"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38.9 ± 11.8</w:t>
            </w:r>
          </w:p>
        </w:tc>
        <w:tc>
          <w:tcPr>
            <w:tcW w:w="0" w:type="auto"/>
            <w:vAlign w:val="center"/>
            <w:hideMark/>
          </w:tcPr>
          <w:p w14:paraId="11A04346"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68.7 ± 9.4</w:t>
            </w:r>
          </w:p>
        </w:tc>
        <w:tc>
          <w:tcPr>
            <w:tcW w:w="0" w:type="auto"/>
            <w:vAlign w:val="center"/>
            <w:hideMark/>
          </w:tcPr>
          <w:p w14:paraId="4C418402"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proofErr w:type="gramStart"/>
            <w:r w:rsidRPr="00C82E23">
              <w:rPr>
                <w:rFonts w:ascii="Times New Roman" w:eastAsia="Times New Roman" w:hAnsi="Times New Roman" w:cs="Times New Roman"/>
                <w:kern w:val="0"/>
                <w14:ligatures w14:val="none"/>
              </w:rPr>
              <w:t>t(</w:t>
            </w:r>
            <w:proofErr w:type="gramEnd"/>
            <w:r w:rsidRPr="00C82E23">
              <w:rPr>
                <w:rFonts w:ascii="Times New Roman" w:eastAsia="Times New Roman" w:hAnsi="Times New Roman" w:cs="Times New Roman"/>
                <w:kern w:val="0"/>
                <w14:ligatures w14:val="none"/>
              </w:rPr>
              <w:t>49) = -11.23, p &lt; 0.001***</w:t>
            </w:r>
          </w:p>
        </w:tc>
        <w:tc>
          <w:tcPr>
            <w:tcW w:w="0" w:type="auto"/>
            <w:vAlign w:val="center"/>
            <w:hideMark/>
          </w:tcPr>
          <w:p w14:paraId="087227AF"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-1.67</w:t>
            </w:r>
          </w:p>
        </w:tc>
        <w:tc>
          <w:tcPr>
            <w:tcW w:w="0" w:type="auto"/>
            <w:vAlign w:val="center"/>
            <w:hideMark/>
          </w:tcPr>
          <w:p w14:paraId="1E6907B8"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Very Large</w:t>
            </w:r>
          </w:p>
        </w:tc>
      </w:tr>
      <w:tr w:rsidR="00C82E23" w:rsidRPr="00C82E23" w14:paraId="6AD72CAC" w14:textId="77777777" w:rsidTr="00C82E23">
        <w:trPr>
          <w:tblCellSpacing w:w="15" w:type="dxa"/>
        </w:trPr>
        <w:tc>
          <w:tcPr>
            <w:tcW w:w="0" w:type="auto"/>
            <w:vAlign w:val="center"/>
            <w:hideMark/>
          </w:tcPr>
          <w:p w14:paraId="17D6DBEB"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Effort Required</w:t>
            </w:r>
          </w:p>
        </w:tc>
        <w:tc>
          <w:tcPr>
            <w:tcW w:w="0" w:type="auto"/>
            <w:vAlign w:val="center"/>
            <w:hideMark/>
          </w:tcPr>
          <w:p w14:paraId="28BF8FA7"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69.8 ± 13.1</w:t>
            </w:r>
          </w:p>
        </w:tc>
        <w:tc>
          <w:tcPr>
            <w:tcW w:w="0" w:type="auto"/>
            <w:vAlign w:val="center"/>
            <w:hideMark/>
          </w:tcPr>
          <w:p w14:paraId="57F6C5DE"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48.2 ± 12.0</w:t>
            </w:r>
          </w:p>
        </w:tc>
        <w:tc>
          <w:tcPr>
            <w:tcW w:w="0" w:type="auto"/>
            <w:vAlign w:val="center"/>
            <w:hideMark/>
          </w:tcPr>
          <w:p w14:paraId="3111CB70"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proofErr w:type="gramStart"/>
            <w:r w:rsidRPr="00C82E23">
              <w:rPr>
                <w:rFonts w:ascii="Times New Roman" w:eastAsia="Times New Roman" w:hAnsi="Times New Roman" w:cs="Times New Roman"/>
                <w:kern w:val="0"/>
                <w14:ligatures w14:val="none"/>
              </w:rPr>
              <w:t>t(</w:t>
            </w:r>
            <w:proofErr w:type="gramEnd"/>
            <w:r w:rsidRPr="00C82E23">
              <w:rPr>
                <w:rFonts w:ascii="Times New Roman" w:eastAsia="Times New Roman" w:hAnsi="Times New Roman" w:cs="Times New Roman"/>
                <w:kern w:val="0"/>
                <w14:ligatures w14:val="none"/>
              </w:rPr>
              <w:t>49) = 8.54, p &lt; 0.001***</w:t>
            </w:r>
          </w:p>
        </w:tc>
        <w:tc>
          <w:tcPr>
            <w:tcW w:w="0" w:type="auto"/>
            <w:vAlign w:val="center"/>
            <w:hideMark/>
          </w:tcPr>
          <w:p w14:paraId="12B64FD9"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1.31</w:t>
            </w:r>
          </w:p>
        </w:tc>
        <w:tc>
          <w:tcPr>
            <w:tcW w:w="0" w:type="auto"/>
            <w:vAlign w:val="center"/>
            <w:hideMark/>
          </w:tcPr>
          <w:p w14:paraId="7721E83C"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Large</w:t>
            </w:r>
          </w:p>
        </w:tc>
      </w:tr>
      <w:tr w:rsidR="00C82E23" w:rsidRPr="00C82E23" w14:paraId="34FB9E75" w14:textId="77777777" w:rsidTr="00C82E23">
        <w:trPr>
          <w:tblCellSpacing w:w="15" w:type="dxa"/>
        </w:trPr>
        <w:tc>
          <w:tcPr>
            <w:tcW w:w="0" w:type="auto"/>
            <w:vAlign w:val="center"/>
            <w:hideMark/>
          </w:tcPr>
          <w:p w14:paraId="5BD9AB75"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Frustration Level</w:t>
            </w:r>
          </w:p>
        </w:tc>
        <w:tc>
          <w:tcPr>
            <w:tcW w:w="0" w:type="auto"/>
            <w:vAlign w:val="center"/>
            <w:hideMark/>
          </w:tcPr>
          <w:p w14:paraId="489393C6"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58.3 ± 14.6</w:t>
            </w:r>
          </w:p>
        </w:tc>
        <w:tc>
          <w:tcPr>
            <w:tcW w:w="0" w:type="auto"/>
            <w:vAlign w:val="center"/>
            <w:hideMark/>
          </w:tcPr>
          <w:p w14:paraId="6098FED3"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28.4 ± 10.2</w:t>
            </w:r>
          </w:p>
        </w:tc>
        <w:tc>
          <w:tcPr>
            <w:tcW w:w="0" w:type="auto"/>
            <w:vAlign w:val="center"/>
            <w:hideMark/>
          </w:tcPr>
          <w:p w14:paraId="6874D412"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proofErr w:type="gramStart"/>
            <w:r w:rsidRPr="00C82E23">
              <w:rPr>
                <w:rFonts w:ascii="Times New Roman" w:eastAsia="Times New Roman" w:hAnsi="Times New Roman" w:cs="Times New Roman"/>
                <w:kern w:val="0"/>
                <w14:ligatures w14:val="none"/>
              </w:rPr>
              <w:t>t(</w:t>
            </w:r>
            <w:proofErr w:type="gramEnd"/>
            <w:r w:rsidRPr="00C82E23">
              <w:rPr>
                <w:rFonts w:ascii="Times New Roman" w:eastAsia="Times New Roman" w:hAnsi="Times New Roman" w:cs="Times New Roman"/>
                <w:kern w:val="0"/>
                <w14:ligatures w14:val="none"/>
              </w:rPr>
              <w:t>49) = 10.87, p &lt; 0.001***</w:t>
            </w:r>
          </w:p>
        </w:tc>
        <w:tc>
          <w:tcPr>
            <w:tcW w:w="0" w:type="auto"/>
            <w:vAlign w:val="center"/>
            <w:hideMark/>
          </w:tcPr>
          <w:p w14:paraId="64F89433"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1.89</w:t>
            </w:r>
          </w:p>
        </w:tc>
        <w:tc>
          <w:tcPr>
            <w:tcW w:w="0" w:type="auto"/>
            <w:vAlign w:val="center"/>
            <w:hideMark/>
          </w:tcPr>
          <w:p w14:paraId="2F5A4451"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Very Large</w:t>
            </w:r>
          </w:p>
        </w:tc>
      </w:tr>
      <w:tr w:rsidR="00C82E23" w:rsidRPr="00C82E23" w14:paraId="4BEB2849" w14:textId="77777777" w:rsidTr="00C82E23">
        <w:trPr>
          <w:tblCellSpacing w:w="15" w:type="dxa"/>
        </w:trPr>
        <w:tc>
          <w:tcPr>
            <w:tcW w:w="0" w:type="auto"/>
            <w:vAlign w:val="center"/>
            <w:hideMark/>
          </w:tcPr>
          <w:p w14:paraId="33FACFD6"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b/>
                <w:bCs/>
                <w:kern w:val="0"/>
                <w14:ligatures w14:val="none"/>
              </w:rPr>
              <w:t>System Usability &amp; Experience</w:t>
            </w:r>
          </w:p>
        </w:tc>
        <w:tc>
          <w:tcPr>
            <w:tcW w:w="0" w:type="auto"/>
            <w:vAlign w:val="center"/>
            <w:hideMark/>
          </w:tcPr>
          <w:p w14:paraId="38041CB5"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p>
        </w:tc>
        <w:tc>
          <w:tcPr>
            <w:tcW w:w="0" w:type="auto"/>
            <w:vAlign w:val="center"/>
            <w:hideMark/>
          </w:tcPr>
          <w:p w14:paraId="10CE2F09" w14:textId="77777777" w:rsidR="00C82E23" w:rsidRPr="00C82E23" w:rsidRDefault="00C82E23" w:rsidP="00C82E23">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EF3998" w14:textId="77777777" w:rsidR="00C82E23" w:rsidRPr="00C82E23" w:rsidRDefault="00C82E23" w:rsidP="00C82E23">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816772" w14:textId="77777777" w:rsidR="00C82E23" w:rsidRPr="00C82E23" w:rsidRDefault="00C82E23" w:rsidP="00C82E23">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6A311D" w14:textId="77777777" w:rsidR="00C82E23" w:rsidRPr="00C82E23" w:rsidRDefault="00C82E23" w:rsidP="00C82E23">
            <w:pPr>
              <w:spacing w:after="0" w:line="240" w:lineRule="auto"/>
              <w:rPr>
                <w:rFonts w:ascii="Times New Roman" w:eastAsia="Times New Roman" w:hAnsi="Times New Roman" w:cs="Times New Roman"/>
                <w:kern w:val="0"/>
                <w:sz w:val="20"/>
                <w:szCs w:val="20"/>
                <w14:ligatures w14:val="none"/>
              </w:rPr>
            </w:pPr>
          </w:p>
        </w:tc>
      </w:tr>
      <w:tr w:rsidR="00C82E23" w:rsidRPr="00C82E23" w14:paraId="3B895073" w14:textId="77777777" w:rsidTr="00C82E23">
        <w:trPr>
          <w:tblCellSpacing w:w="15" w:type="dxa"/>
        </w:trPr>
        <w:tc>
          <w:tcPr>
            <w:tcW w:w="0" w:type="auto"/>
            <w:vAlign w:val="center"/>
            <w:hideMark/>
          </w:tcPr>
          <w:p w14:paraId="17755103"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SUS Score (/100)</w:t>
            </w:r>
          </w:p>
        </w:tc>
        <w:tc>
          <w:tcPr>
            <w:tcW w:w="0" w:type="auto"/>
            <w:vAlign w:val="center"/>
            <w:hideMark/>
          </w:tcPr>
          <w:p w14:paraId="0AB1A76D"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72.4 ± 11.6</w:t>
            </w:r>
          </w:p>
        </w:tc>
        <w:tc>
          <w:tcPr>
            <w:tcW w:w="0" w:type="auto"/>
            <w:vAlign w:val="center"/>
            <w:hideMark/>
          </w:tcPr>
          <w:p w14:paraId="5C70B113"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88.2 ± 8.9</w:t>
            </w:r>
          </w:p>
        </w:tc>
        <w:tc>
          <w:tcPr>
            <w:tcW w:w="0" w:type="auto"/>
            <w:vAlign w:val="center"/>
            <w:hideMark/>
          </w:tcPr>
          <w:p w14:paraId="6A4613BF"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proofErr w:type="gramStart"/>
            <w:r w:rsidRPr="00C82E23">
              <w:rPr>
                <w:rFonts w:ascii="Times New Roman" w:eastAsia="Times New Roman" w:hAnsi="Times New Roman" w:cs="Times New Roman"/>
                <w:kern w:val="0"/>
                <w14:ligatures w14:val="none"/>
              </w:rPr>
              <w:t>t(</w:t>
            </w:r>
            <w:proofErr w:type="gramEnd"/>
            <w:r w:rsidRPr="00C82E23">
              <w:rPr>
                <w:rFonts w:ascii="Times New Roman" w:eastAsia="Times New Roman" w:hAnsi="Times New Roman" w:cs="Times New Roman"/>
                <w:kern w:val="0"/>
                <w14:ligatures w14:val="none"/>
              </w:rPr>
              <w:t>49) = -8.12, p &lt; 0.001***</w:t>
            </w:r>
          </w:p>
        </w:tc>
        <w:tc>
          <w:tcPr>
            <w:tcW w:w="0" w:type="auto"/>
            <w:vAlign w:val="center"/>
            <w:hideMark/>
          </w:tcPr>
          <w:p w14:paraId="1D706B2B"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-1.53</w:t>
            </w:r>
          </w:p>
        </w:tc>
        <w:tc>
          <w:tcPr>
            <w:tcW w:w="0" w:type="auto"/>
            <w:vAlign w:val="center"/>
            <w:hideMark/>
          </w:tcPr>
          <w:p w14:paraId="7CCC0FDB"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Large</w:t>
            </w:r>
          </w:p>
        </w:tc>
      </w:tr>
      <w:tr w:rsidR="00C82E23" w:rsidRPr="00C82E23" w14:paraId="6D8D1E8F" w14:textId="77777777" w:rsidTr="00C82E23">
        <w:trPr>
          <w:tblCellSpacing w:w="15" w:type="dxa"/>
        </w:trPr>
        <w:tc>
          <w:tcPr>
            <w:tcW w:w="0" w:type="auto"/>
            <w:vAlign w:val="center"/>
            <w:hideMark/>
          </w:tcPr>
          <w:p w14:paraId="1DE02A6A"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lastRenderedPageBreak/>
              <w:t>Overall Satisfaction (/7)</w:t>
            </w:r>
          </w:p>
        </w:tc>
        <w:tc>
          <w:tcPr>
            <w:tcW w:w="0" w:type="auto"/>
            <w:vAlign w:val="center"/>
            <w:hideMark/>
          </w:tcPr>
          <w:p w14:paraId="3BC7E7CB"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5.2 ± 1.1</w:t>
            </w:r>
          </w:p>
        </w:tc>
        <w:tc>
          <w:tcPr>
            <w:tcW w:w="0" w:type="auto"/>
            <w:vAlign w:val="center"/>
            <w:hideMark/>
          </w:tcPr>
          <w:p w14:paraId="7F1434ED"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6.4 ± 0.8</w:t>
            </w:r>
          </w:p>
        </w:tc>
        <w:tc>
          <w:tcPr>
            <w:tcW w:w="0" w:type="auto"/>
            <w:vAlign w:val="center"/>
            <w:hideMark/>
          </w:tcPr>
          <w:p w14:paraId="453F74AA"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proofErr w:type="gramStart"/>
            <w:r w:rsidRPr="00C82E23">
              <w:rPr>
                <w:rFonts w:ascii="Times New Roman" w:eastAsia="Times New Roman" w:hAnsi="Times New Roman" w:cs="Times New Roman"/>
                <w:kern w:val="0"/>
                <w14:ligatures w14:val="none"/>
              </w:rPr>
              <w:t>t(</w:t>
            </w:r>
            <w:proofErr w:type="gramEnd"/>
            <w:r w:rsidRPr="00C82E23">
              <w:rPr>
                <w:rFonts w:ascii="Times New Roman" w:eastAsia="Times New Roman" w:hAnsi="Times New Roman" w:cs="Times New Roman"/>
                <w:kern w:val="0"/>
                <w14:ligatures w14:val="none"/>
              </w:rPr>
              <w:t>49) = -6.91, p &lt; 0.001***</w:t>
            </w:r>
          </w:p>
        </w:tc>
        <w:tc>
          <w:tcPr>
            <w:tcW w:w="0" w:type="auto"/>
            <w:vAlign w:val="center"/>
            <w:hideMark/>
          </w:tcPr>
          <w:p w14:paraId="2E6B6E4F"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-1.26</w:t>
            </w:r>
          </w:p>
        </w:tc>
        <w:tc>
          <w:tcPr>
            <w:tcW w:w="0" w:type="auto"/>
            <w:vAlign w:val="center"/>
            <w:hideMark/>
          </w:tcPr>
          <w:p w14:paraId="6A738A4A"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Large</w:t>
            </w:r>
          </w:p>
        </w:tc>
      </w:tr>
      <w:tr w:rsidR="00C82E23" w:rsidRPr="00C82E23" w14:paraId="3076876F" w14:textId="77777777" w:rsidTr="00C82E23">
        <w:trPr>
          <w:tblCellSpacing w:w="15" w:type="dxa"/>
        </w:trPr>
        <w:tc>
          <w:tcPr>
            <w:tcW w:w="0" w:type="auto"/>
            <w:vAlign w:val="center"/>
            <w:hideMark/>
          </w:tcPr>
          <w:p w14:paraId="59DA4072"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Trust Score (/7)</w:t>
            </w:r>
          </w:p>
        </w:tc>
        <w:tc>
          <w:tcPr>
            <w:tcW w:w="0" w:type="auto"/>
            <w:vAlign w:val="center"/>
            <w:hideMark/>
          </w:tcPr>
          <w:p w14:paraId="24E72FDB"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4.1 ± 1.2</w:t>
            </w:r>
          </w:p>
        </w:tc>
        <w:tc>
          <w:tcPr>
            <w:tcW w:w="0" w:type="auto"/>
            <w:vAlign w:val="center"/>
            <w:hideMark/>
          </w:tcPr>
          <w:p w14:paraId="5423A140"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5.8 ± 0.9</w:t>
            </w:r>
          </w:p>
        </w:tc>
        <w:tc>
          <w:tcPr>
            <w:tcW w:w="0" w:type="auto"/>
            <w:vAlign w:val="center"/>
            <w:hideMark/>
          </w:tcPr>
          <w:p w14:paraId="75EDF308"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proofErr w:type="gramStart"/>
            <w:r w:rsidRPr="00C82E23">
              <w:rPr>
                <w:rFonts w:ascii="Times New Roman" w:eastAsia="Times New Roman" w:hAnsi="Times New Roman" w:cs="Times New Roman"/>
                <w:kern w:val="0"/>
                <w14:ligatures w14:val="none"/>
              </w:rPr>
              <w:t>t(</w:t>
            </w:r>
            <w:proofErr w:type="gramEnd"/>
            <w:r w:rsidRPr="00C82E23">
              <w:rPr>
                <w:rFonts w:ascii="Times New Roman" w:eastAsia="Times New Roman" w:hAnsi="Times New Roman" w:cs="Times New Roman"/>
                <w:kern w:val="0"/>
                <w14:ligatures w14:val="none"/>
              </w:rPr>
              <w:t>49) = -8.34, p &lt; 0.001***</w:t>
            </w:r>
          </w:p>
        </w:tc>
        <w:tc>
          <w:tcPr>
            <w:tcW w:w="0" w:type="auto"/>
            <w:vAlign w:val="center"/>
            <w:hideMark/>
          </w:tcPr>
          <w:p w14:paraId="4491717E"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-1.58</w:t>
            </w:r>
          </w:p>
        </w:tc>
        <w:tc>
          <w:tcPr>
            <w:tcW w:w="0" w:type="auto"/>
            <w:vAlign w:val="center"/>
            <w:hideMark/>
          </w:tcPr>
          <w:p w14:paraId="1ABBC4B8"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Large</w:t>
            </w:r>
          </w:p>
        </w:tc>
      </w:tr>
      <w:tr w:rsidR="00C82E23" w:rsidRPr="00C82E23" w14:paraId="7E1EB9AC" w14:textId="77777777" w:rsidTr="00C82E23">
        <w:trPr>
          <w:tblCellSpacing w:w="15" w:type="dxa"/>
        </w:trPr>
        <w:tc>
          <w:tcPr>
            <w:tcW w:w="0" w:type="auto"/>
            <w:vAlign w:val="center"/>
            <w:hideMark/>
          </w:tcPr>
          <w:p w14:paraId="4E3676D4"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Perceived Personalization (/7)</w:t>
            </w:r>
          </w:p>
        </w:tc>
        <w:tc>
          <w:tcPr>
            <w:tcW w:w="0" w:type="auto"/>
            <w:vAlign w:val="center"/>
            <w:hideMark/>
          </w:tcPr>
          <w:p w14:paraId="1A798420"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2.8 ± 1.0</w:t>
            </w:r>
          </w:p>
        </w:tc>
        <w:tc>
          <w:tcPr>
            <w:tcW w:w="0" w:type="auto"/>
            <w:vAlign w:val="center"/>
            <w:hideMark/>
          </w:tcPr>
          <w:p w14:paraId="42CE82B0"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6.1 ± 0.7</w:t>
            </w:r>
          </w:p>
        </w:tc>
        <w:tc>
          <w:tcPr>
            <w:tcW w:w="0" w:type="auto"/>
            <w:vAlign w:val="center"/>
            <w:hideMark/>
          </w:tcPr>
          <w:p w14:paraId="07786339"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proofErr w:type="gramStart"/>
            <w:r w:rsidRPr="00C82E23">
              <w:rPr>
                <w:rFonts w:ascii="Times New Roman" w:eastAsia="Times New Roman" w:hAnsi="Times New Roman" w:cs="Times New Roman"/>
                <w:kern w:val="0"/>
                <w14:ligatures w14:val="none"/>
              </w:rPr>
              <w:t>t(</w:t>
            </w:r>
            <w:proofErr w:type="gramEnd"/>
            <w:r w:rsidRPr="00C82E23">
              <w:rPr>
                <w:rFonts w:ascii="Times New Roman" w:eastAsia="Times New Roman" w:hAnsi="Times New Roman" w:cs="Times New Roman"/>
                <w:kern w:val="0"/>
                <w14:ligatures w14:val="none"/>
              </w:rPr>
              <w:t>49) = -19.47, p &lt; 0.001***</w:t>
            </w:r>
          </w:p>
        </w:tc>
        <w:tc>
          <w:tcPr>
            <w:tcW w:w="0" w:type="auto"/>
            <w:vAlign w:val="center"/>
            <w:hideMark/>
          </w:tcPr>
          <w:p w14:paraId="3083278C"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-3.81</w:t>
            </w:r>
          </w:p>
        </w:tc>
        <w:tc>
          <w:tcPr>
            <w:tcW w:w="0" w:type="auto"/>
            <w:vAlign w:val="center"/>
            <w:hideMark/>
          </w:tcPr>
          <w:p w14:paraId="3290F549"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Very Large</w:t>
            </w:r>
          </w:p>
        </w:tc>
      </w:tr>
      <w:tr w:rsidR="00C82E23" w:rsidRPr="00C82E23" w14:paraId="74B1FDAC" w14:textId="77777777" w:rsidTr="00C82E23">
        <w:trPr>
          <w:tblCellSpacing w:w="15" w:type="dxa"/>
        </w:trPr>
        <w:tc>
          <w:tcPr>
            <w:tcW w:w="0" w:type="auto"/>
            <w:vAlign w:val="center"/>
            <w:hideMark/>
          </w:tcPr>
          <w:p w14:paraId="7BC5F89C"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b/>
                <w:bCs/>
                <w:kern w:val="0"/>
                <w14:ligatures w14:val="none"/>
              </w:rPr>
              <w:t>Recommendation System</w:t>
            </w:r>
          </w:p>
        </w:tc>
        <w:tc>
          <w:tcPr>
            <w:tcW w:w="0" w:type="auto"/>
            <w:vAlign w:val="center"/>
            <w:hideMark/>
          </w:tcPr>
          <w:p w14:paraId="74DF85E9"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p>
        </w:tc>
        <w:tc>
          <w:tcPr>
            <w:tcW w:w="0" w:type="auto"/>
            <w:vAlign w:val="center"/>
            <w:hideMark/>
          </w:tcPr>
          <w:p w14:paraId="3E21249F" w14:textId="77777777" w:rsidR="00C82E23" w:rsidRPr="00C82E23" w:rsidRDefault="00C82E23" w:rsidP="00C82E23">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86ADAC" w14:textId="77777777" w:rsidR="00C82E23" w:rsidRPr="00C82E23" w:rsidRDefault="00C82E23" w:rsidP="00C82E23">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C16506" w14:textId="77777777" w:rsidR="00C82E23" w:rsidRPr="00C82E23" w:rsidRDefault="00C82E23" w:rsidP="00C82E23">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4D39DE" w14:textId="77777777" w:rsidR="00C82E23" w:rsidRPr="00C82E23" w:rsidRDefault="00C82E23" w:rsidP="00C82E23">
            <w:pPr>
              <w:spacing w:after="0" w:line="240" w:lineRule="auto"/>
              <w:rPr>
                <w:rFonts w:ascii="Times New Roman" w:eastAsia="Times New Roman" w:hAnsi="Times New Roman" w:cs="Times New Roman"/>
                <w:kern w:val="0"/>
                <w:sz w:val="20"/>
                <w:szCs w:val="20"/>
                <w14:ligatures w14:val="none"/>
              </w:rPr>
            </w:pPr>
          </w:p>
        </w:tc>
      </w:tr>
      <w:tr w:rsidR="00C82E23" w:rsidRPr="00C82E23" w14:paraId="50092B57" w14:textId="77777777" w:rsidTr="00C82E23">
        <w:trPr>
          <w:tblCellSpacing w:w="15" w:type="dxa"/>
        </w:trPr>
        <w:tc>
          <w:tcPr>
            <w:tcW w:w="0" w:type="auto"/>
            <w:vAlign w:val="center"/>
            <w:hideMark/>
          </w:tcPr>
          <w:p w14:paraId="6B5DA233"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Recommendation Acceptance (%)</w:t>
            </w:r>
          </w:p>
        </w:tc>
        <w:tc>
          <w:tcPr>
            <w:tcW w:w="0" w:type="auto"/>
            <w:vAlign w:val="center"/>
            <w:hideMark/>
          </w:tcPr>
          <w:p w14:paraId="02245BF8"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N/A</w:t>
            </w:r>
          </w:p>
        </w:tc>
        <w:tc>
          <w:tcPr>
            <w:tcW w:w="0" w:type="auto"/>
            <w:vAlign w:val="center"/>
            <w:hideMark/>
          </w:tcPr>
          <w:p w14:paraId="47E8D9B0"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84.7 ± 12.3</w:t>
            </w:r>
          </w:p>
        </w:tc>
        <w:tc>
          <w:tcPr>
            <w:tcW w:w="0" w:type="auto"/>
            <w:vAlign w:val="center"/>
            <w:hideMark/>
          </w:tcPr>
          <w:p w14:paraId="4AF40F4E"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N/A</w:t>
            </w:r>
          </w:p>
        </w:tc>
        <w:tc>
          <w:tcPr>
            <w:tcW w:w="0" w:type="auto"/>
            <w:vAlign w:val="center"/>
            <w:hideMark/>
          </w:tcPr>
          <w:p w14:paraId="0FFBF011"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N/A</w:t>
            </w:r>
          </w:p>
        </w:tc>
        <w:tc>
          <w:tcPr>
            <w:tcW w:w="0" w:type="auto"/>
            <w:vAlign w:val="center"/>
            <w:hideMark/>
          </w:tcPr>
          <w:p w14:paraId="4F356FA7"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High Acceptance</w:t>
            </w:r>
          </w:p>
        </w:tc>
      </w:tr>
      <w:tr w:rsidR="00C82E23" w:rsidRPr="00C82E23" w14:paraId="623634A7" w14:textId="77777777" w:rsidTr="00C82E23">
        <w:trPr>
          <w:tblCellSpacing w:w="15" w:type="dxa"/>
        </w:trPr>
        <w:tc>
          <w:tcPr>
            <w:tcW w:w="0" w:type="auto"/>
            <w:vAlign w:val="center"/>
            <w:hideMark/>
          </w:tcPr>
          <w:p w14:paraId="0AD08200"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System Override Frequency</w:t>
            </w:r>
          </w:p>
        </w:tc>
        <w:tc>
          <w:tcPr>
            <w:tcW w:w="0" w:type="auto"/>
            <w:vAlign w:val="center"/>
            <w:hideMark/>
          </w:tcPr>
          <w:p w14:paraId="7C17E1DC"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2.1 ± 0.9</w:t>
            </w:r>
          </w:p>
        </w:tc>
        <w:tc>
          <w:tcPr>
            <w:tcW w:w="0" w:type="auto"/>
            <w:vAlign w:val="center"/>
            <w:hideMark/>
          </w:tcPr>
          <w:p w14:paraId="3B40A70A"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0.7 ± 0.5</w:t>
            </w:r>
          </w:p>
        </w:tc>
        <w:tc>
          <w:tcPr>
            <w:tcW w:w="0" w:type="auto"/>
            <w:vAlign w:val="center"/>
            <w:hideMark/>
          </w:tcPr>
          <w:p w14:paraId="3A54F6B0"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proofErr w:type="gramStart"/>
            <w:r w:rsidRPr="00C82E23">
              <w:rPr>
                <w:rFonts w:ascii="Times New Roman" w:eastAsia="Times New Roman" w:hAnsi="Times New Roman" w:cs="Times New Roman"/>
                <w:kern w:val="0"/>
                <w14:ligatures w14:val="none"/>
              </w:rPr>
              <w:t>t(</w:t>
            </w:r>
            <w:proofErr w:type="gramEnd"/>
            <w:r w:rsidRPr="00C82E23">
              <w:rPr>
                <w:rFonts w:ascii="Times New Roman" w:eastAsia="Times New Roman" w:hAnsi="Times New Roman" w:cs="Times New Roman"/>
                <w:kern w:val="0"/>
                <w14:ligatures w14:val="none"/>
              </w:rPr>
              <w:t>49) = 8.94, p &lt; 0.001***</w:t>
            </w:r>
          </w:p>
        </w:tc>
        <w:tc>
          <w:tcPr>
            <w:tcW w:w="0" w:type="auto"/>
            <w:vAlign w:val="center"/>
            <w:hideMark/>
          </w:tcPr>
          <w:p w14:paraId="68887F6C"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1.84</w:t>
            </w:r>
          </w:p>
        </w:tc>
        <w:tc>
          <w:tcPr>
            <w:tcW w:w="0" w:type="auto"/>
            <w:vAlign w:val="center"/>
            <w:hideMark/>
          </w:tcPr>
          <w:p w14:paraId="578D48FF"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Very Large</w:t>
            </w:r>
          </w:p>
        </w:tc>
      </w:tr>
      <w:tr w:rsidR="00C82E23" w:rsidRPr="00C82E23" w14:paraId="76B10255" w14:textId="77777777" w:rsidTr="00C82E23">
        <w:trPr>
          <w:tblCellSpacing w:w="15" w:type="dxa"/>
        </w:trPr>
        <w:tc>
          <w:tcPr>
            <w:tcW w:w="0" w:type="auto"/>
            <w:vAlign w:val="center"/>
            <w:hideMark/>
          </w:tcPr>
          <w:p w14:paraId="548ED896"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Learning Improvement (</w:t>
            </w:r>
            <w:proofErr w:type="spellStart"/>
            <w:r w:rsidRPr="00C82E23">
              <w:rPr>
                <w:rFonts w:ascii="Times New Roman" w:eastAsia="Times New Roman" w:hAnsi="Times New Roman" w:cs="Times New Roman"/>
                <w:kern w:val="0"/>
                <w14:ligatures w14:val="none"/>
              </w:rPr>
              <w:t>Early→Late</w:t>
            </w:r>
            <w:proofErr w:type="spellEnd"/>
            <w:r w:rsidRPr="00C82E23">
              <w:rPr>
                <w:rFonts w:ascii="Times New Roman" w:eastAsia="Times New Roman" w:hAnsi="Times New Roman" w:cs="Times New Roman"/>
                <w:kern w:val="0"/>
                <w14:ligatures w14:val="none"/>
              </w:rPr>
              <w:t>)</w:t>
            </w:r>
          </w:p>
        </w:tc>
        <w:tc>
          <w:tcPr>
            <w:tcW w:w="0" w:type="auto"/>
            <w:vAlign w:val="center"/>
            <w:hideMark/>
          </w:tcPr>
          <w:p w14:paraId="0717DE3E"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N/A</w:t>
            </w:r>
          </w:p>
        </w:tc>
        <w:tc>
          <w:tcPr>
            <w:tcW w:w="0" w:type="auto"/>
            <w:vAlign w:val="center"/>
            <w:hideMark/>
          </w:tcPr>
          <w:p w14:paraId="39B5ABA4"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78.2% → 91.4%</w:t>
            </w:r>
          </w:p>
        </w:tc>
        <w:tc>
          <w:tcPr>
            <w:tcW w:w="0" w:type="auto"/>
            <w:vAlign w:val="center"/>
            <w:hideMark/>
          </w:tcPr>
          <w:p w14:paraId="0986987C"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proofErr w:type="gramStart"/>
            <w:r w:rsidRPr="00C82E23">
              <w:rPr>
                <w:rFonts w:ascii="Times New Roman" w:eastAsia="Times New Roman" w:hAnsi="Times New Roman" w:cs="Times New Roman"/>
                <w:kern w:val="0"/>
                <w14:ligatures w14:val="none"/>
              </w:rPr>
              <w:t>t(</w:t>
            </w:r>
            <w:proofErr w:type="gramEnd"/>
            <w:r w:rsidRPr="00C82E23">
              <w:rPr>
                <w:rFonts w:ascii="Times New Roman" w:eastAsia="Times New Roman" w:hAnsi="Times New Roman" w:cs="Times New Roman"/>
                <w:kern w:val="0"/>
                <w14:ligatures w14:val="none"/>
              </w:rPr>
              <w:t>49) = -6.28, p &lt; 0.001***</w:t>
            </w:r>
          </w:p>
        </w:tc>
        <w:tc>
          <w:tcPr>
            <w:tcW w:w="0" w:type="auto"/>
            <w:vAlign w:val="center"/>
            <w:hideMark/>
          </w:tcPr>
          <w:p w14:paraId="0B9481BA"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-1.15</w:t>
            </w:r>
          </w:p>
        </w:tc>
        <w:tc>
          <w:tcPr>
            <w:tcW w:w="0" w:type="auto"/>
            <w:vAlign w:val="center"/>
            <w:hideMark/>
          </w:tcPr>
          <w:p w14:paraId="5B416448" w14:textId="77777777" w:rsidR="00C82E23" w:rsidRPr="00C82E23" w:rsidRDefault="00C82E23" w:rsidP="00C82E23">
            <w:pPr>
              <w:spacing w:after="0"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Large</w:t>
            </w:r>
          </w:p>
        </w:tc>
      </w:tr>
    </w:tbl>
    <w:p w14:paraId="7FB37175"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***p &lt; 0.001; *</w:t>
      </w:r>
      <w:r w:rsidRPr="00C82E23">
        <w:rPr>
          <w:rFonts w:ascii="Times New Roman" w:eastAsia="Times New Roman" w:hAnsi="Times New Roman" w:cs="Times New Roman"/>
          <w:i/>
          <w:iCs/>
          <w:kern w:val="0"/>
          <w14:ligatures w14:val="none"/>
        </w:rPr>
        <w:t>p &lt; 0.01; p &lt; 0.05. Effect size interpretation: Small (0.2), Medium (0.5), Large (0.8), Very Large (&gt;1.2). Values presented as Mean ± Standard Deviation.</w:t>
      </w:r>
    </w:p>
    <w:p w14:paraId="22149C01"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The comprehensive comparison reveals that the emotion-responsive system achieved significant improvements across 13 of 14 measured outcomes, with only task completion time showing equivalent performance between conditions. Effect sizes ranged from medium to very large across significant measures, with perceived personalization showing the largest effect (d = -3.81) and frustration reduction demonstrating substantial practical benefit (d = 1.89).</w:t>
      </w:r>
    </w:p>
    <w:p w14:paraId="0BB187A4" w14:textId="77777777" w:rsidR="00C82E23" w:rsidRPr="00C82E23" w:rsidRDefault="00C82E23" w:rsidP="00C82E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E23">
        <w:rPr>
          <w:rFonts w:ascii="Times New Roman" w:eastAsia="Times New Roman" w:hAnsi="Times New Roman" w:cs="Times New Roman"/>
          <w:b/>
          <w:bCs/>
          <w:kern w:val="0"/>
          <w:sz w:val="27"/>
          <w:szCs w:val="27"/>
          <w14:ligatures w14:val="none"/>
        </w:rPr>
        <w:t>3.7 Agent-Specific Performance Contributions</w:t>
      </w:r>
    </w:p>
    <w:p w14:paraId="34AD57AD"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Individual agent effectiveness analysis revealed distinct contributions to overall system performance and user experience. The Face Recognition Agent achieved 89.3% accuracy in emotion detection compared to participant self-reports, with 94% of participants rating emotion recognition as helpful or very helpful. Privacy concerns were minimal (12% of participants) and were successfully addressed through explanation and transparency measures.</w:t>
      </w:r>
    </w:p>
    <w:p w14:paraId="79094B0E"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The Health Recommender Agent showed particularly strong performance with health-conscious participants, achieving 87.2% acceptance rates for activity-matched suggestions and contributing to 23% higher satisfaction when health-focused recommendations were provided. The Weather Recommender Agent demonstrated 31% higher recommendation acceptance during extreme weather conditions and received consistently positive feedback for contextual relevance.</w:t>
      </w:r>
    </w:p>
    <w:p w14:paraId="749155AA"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 xml:space="preserve">The Learner Agent showed the most dramatic performance improvement over time, with recommendation accuracy increasing from initial 64.4% to final 87.0% across the trial sequence, </w:t>
      </w:r>
      <w:r w:rsidRPr="00C82E23">
        <w:rPr>
          <w:rFonts w:ascii="Times New Roman" w:eastAsia="Times New Roman" w:hAnsi="Times New Roman" w:cs="Times New Roman"/>
          <w:kern w:val="0"/>
          <w14:ligatures w14:val="none"/>
        </w:rPr>
        <w:lastRenderedPageBreak/>
        <w:t>representing 35.1% improvement. This substantial learning effect demonstrates the effectiveness of adaptive algorithms in personalizing system behavior based on user feedback and interaction patterns.</w:t>
      </w:r>
    </w:p>
    <w:p w14:paraId="06904516"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The Social/Trust Agent successfully maintained user engagement throughout the experimental sequence, with trust scores stabilizing at moderate to high levels (4.1/7.0 average) and minimal dropout or disengagement. The agent's real-time adjustment of recommendation assertiveness based on user feedback contributed to sustained positive user experience and system acceptance.</w:t>
      </w:r>
    </w:p>
    <w:p w14:paraId="67B706E0" w14:textId="77777777" w:rsidR="00C82E23" w:rsidRPr="00C82E23" w:rsidRDefault="00C82E23" w:rsidP="00C82E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E23">
        <w:rPr>
          <w:rFonts w:ascii="Times New Roman" w:eastAsia="Times New Roman" w:hAnsi="Times New Roman" w:cs="Times New Roman"/>
          <w:b/>
          <w:bCs/>
          <w:kern w:val="0"/>
          <w:sz w:val="36"/>
          <w:szCs w:val="36"/>
          <w14:ligatures w14:val="none"/>
        </w:rPr>
        <w:t>4. Discussion</w:t>
      </w:r>
    </w:p>
    <w:p w14:paraId="738FADD1" w14:textId="77777777" w:rsidR="00C82E23" w:rsidRPr="00C82E23" w:rsidRDefault="00C82E23" w:rsidP="00C82E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E23">
        <w:rPr>
          <w:rFonts w:ascii="Times New Roman" w:eastAsia="Times New Roman" w:hAnsi="Times New Roman" w:cs="Times New Roman"/>
          <w:b/>
          <w:bCs/>
          <w:kern w:val="0"/>
          <w:sz w:val="27"/>
          <w:szCs w:val="27"/>
          <w14:ligatures w14:val="none"/>
        </w:rPr>
        <w:t>4.1 Empirical Validation of Emotion-Responsive Design</w:t>
      </w:r>
    </w:p>
    <w:p w14:paraId="6A0C2116"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This controlled experimental study provides comprehensive empirical validation for the effectiveness of emotion-responsive interfaces in practical food ordering applications. The substantial improvements observed across multiple dimensions demonstrate that adaptive systems can significantly enhance human-computer interaction without compromising efficiency or usability standards required for commercial deployment.</w:t>
      </w:r>
    </w:p>
    <w:p w14:paraId="6E5E3410"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The 31% reduction in cognitive workload measured through NASA-TLX represents one of the most significant findings, indicating that emotion-responsive features can effectively reduce mental effort during complex decision-making tasks. The maintenance of equivalent task completion times between conditions demonstrates that these cognitive benefits can be achieved without performance trade-offs. The substantial improvement in user satisfaction (23% increase) and system usability (SUS score improvement from 72.4 to 88.2) provides strong evidence for commercial viability.</w:t>
      </w:r>
    </w:p>
    <w:p w14:paraId="2F00394F" w14:textId="77777777" w:rsidR="00C82E23" w:rsidRPr="00C82E23" w:rsidRDefault="00C82E23" w:rsidP="00C82E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E23">
        <w:rPr>
          <w:rFonts w:ascii="Times New Roman" w:eastAsia="Times New Roman" w:hAnsi="Times New Roman" w:cs="Times New Roman"/>
          <w:b/>
          <w:bCs/>
          <w:kern w:val="0"/>
          <w:sz w:val="27"/>
          <w:szCs w:val="27"/>
          <w14:ligatures w14:val="none"/>
        </w:rPr>
        <w:t>4.2 Multi-Agent Architecture Effectiveness</w:t>
      </w:r>
    </w:p>
    <w:p w14:paraId="36A349F7"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The successful implementation of the seven-agent architecture demonstrates that complex adaptive functionality can be effectively managed through modular design approaches while maintaining interface coherence and usability. The Face Recognition Agent's achievement of 89.3% emotion detection accuracy with high user acceptance (94% rated as helpful) addresses critical concerns about user comfort with emotion recognition technology.</w:t>
      </w:r>
    </w:p>
    <w:p w14:paraId="31596066"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The Health and Weather Recommender Agents demonstrated the value of contextual adaptation, with health-aligned recommendations achieving 87.2% acceptance rates and weather-adaptive suggestions showing 31% higher acceptance during extreme conditions. The Learner Agent's dramatic improvement in recommendation accuracy (35.1% increase from early to late trials) provides strong evidence for the effectiveness of adaptive learning algorithms.</w:t>
      </w:r>
    </w:p>
    <w:p w14:paraId="4CD3F076" w14:textId="77777777" w:rsidR="00C82E23" w:rsidRPr="00C82E23" w:rsidRDefault="00C82E23" w:rsidP="00C82E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E23">
        <w:rPr>
          <w:rFonts w:ascii="Times New Roman" w:eastAsia="Times New Roman" w:hAnsi="Times New Roman" w:cs="Times New Roman"/>
          <w:b/>
          <w:bCs/>
          <w:kern w:val="0"/>
          <w:sz w:val="27"/>
          <w:szCs w:val="27"/>
          <w14:ligatures w14:val="none"/>
        </w:rPr>
        <w:t>4.3 Cognitive Ergonomics and Individual Differences</w:t>
      </w:r>
    </w:p>
    <w:p w14:paraId="79BCBCAD"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 xml:space="preserve">The detailed NASA-TLX subscale analysis reveals that adaptive interfaces can address multiple dimensions of cognitive burden simultaneously. The substantial reductions in mental demand, </w:t>
      </w:r>
      <w:r w:rsidRPr="00C82E23">
        <w:rPr>
          <w:rFonts w:ascii="Times New Roman" w:eastAsia="Times New Roman" w:hAnsi="Times New Roman" w:cs="Times New Roman"/>
          <w:kern w:val="0"/>
          <w14:ligatures w14:val="none"/>
        </w:rPr>
        <w:lastRenderedPageBreak/>
        <w:t>temporal pressure, and particularly frustration levels demonstrate comprehensive cognitive ergonomics benefits. The significant reduction in navigation steps and error rates shows that emotion-responsive interfaces can guide users more effectively while maintaining autonomy.</w:t>
      </w:r>
    </w:p>
    <w:p w14:paraId="589F2292"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 xml:space="preserve">The finding that adaptive features provide </w:t>
      </w:r>
      <w:proofErr w:type="gramStart"/>
      <w:r w:rsidRPr="00C82E23">
        <w:rPr>
          <w:rFonts w:ascii="Times New Roman" w:eastAsia="Times New Roman" w:hAnsi="Times New Roman" w:cs="Times New Roman"/>
          <w:kern w:val="0"/>
          <w14:ligatures w14:val="none"/>
        </w:rPr>
        <w:t>particular benefits</w:t>
      </w:r>
      <w:proofErr w:type="gramEnd"/>
      <w:r w:rsidRPr="00C82E23">
        <w:rPr>
          <w:rFonts w:ascii="Times New Roman" w:eastAsia="Times New Roman" w:hAnsi="Times New Roman" w:cs="Times New Roman"/>
          <w:kern w:val="0"/>
          <w14:ligatures w14:val="none"/>
        </w:rPr>
        <w:t xml:space="preserve"> for users with lower technical proficiency and older adults suggests that emotion-responsive interfaces may help reduce digital divide effects. This differential benefit pattern supports inclusive design goals by providing enhanced support for users who might otherwise struggle with complex digital interfaces.</w:t>
      </w:r>
    </w:p>
    <w:p w14:paraId="6BFE2044" w14:textId="77777777" w:rsidR="00C82E23" w:rsidRPr="00C82E23" w:rsidRDefault="00C82E23" w:rsidP="00C82E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E23">
        <w:rPr>
          <w:rFonts w:ascii="Times New Roman" w:eastAsia="Times New Roman" w:hAnsi="Times New Roman" w:cs="Times New Roman"/>
          <w:b/>
          <w:bCs/>
          <w:kern w:val="0"/>
          <w:sz w:val="27"/>
          <w:szCs w:val="27"/>
          <w14:ligatures w14:val="none"/>
        </w:rPr>
        <w:t>4.4 Commercial Implementation and Broader Applications</w:t>
      </w:r>
    </w:p>
    <w:p w14:paraId="0F28B9C2"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The experimental results provide strong justification for commercial deployment of emotion-responsive food ordering systems. The combination of maintained task efficiency with substantial user experience improvements suggests clear competitive advantages. Privacy and transparency emerged as critical considerations, with 92% of participants emphasizing the importance of clear emotion recognition processes.</w:t>
      </w:r>
    </w:p>
    <w:p w14:paraId="286AEDEB"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While this study focused on food ordering, the principles have broader applicability across domains where emotional state influences decision-making, including e-commerce, healthcare interfaces, educational technology, and entertainment systems. The methodology provides a template for evaluating adaptive interface effectiveness across diverse application contexts.</w:t>
      </w:r>
    </w:p>
    <w:p w14:paraId="29360AD1" w14:textId="77777777" w:rsidR="00C82E23" w:rsidRPr="00C82E23" w:rsidRDefault="00C82E23" w:rsidP="00C82E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E23">
        <w:rPr>
          <w:rFonts w:ascii="Times New Roman" w:eastAsia="Times New Roman" w:hAnsi="Times New Roman" w:cs="Times New Roman"/>
          <w:b/>
          <w:bCs/>
          <w:kern w:val="0"/>
          <w:sz w:val="27"/>
          <w:szCs w:val="27"/>
          <w14:ligatures w14:val="none"/>
        </w:rPr>
        <w:t>4.5 Limitations and Future Research</w:t>
      </w:r>
    </w:p>
    <w:p w14:paraId="1949C17B"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Several limitations should be acknowledged. The controlled laboratory environment may not fully represent real-world deployment challenges. The participant population was drawn from a single cultural context, which may limit generalizability. The five-trial temporal scope provides evidence of short-term adaptation but does not address longer-term usage patterns.</w:t>
      </w:r>
    </w:p>
    <w:p w14:paraId="3D903F16"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Future research should examine longer-term usage patterns, cross-cultural validation, domain extension to other contexts, and development of sophisticated individual difference models for predicting user responses to adaptive features. The establishment of clear empirical evidence for emotion-responsive design effectiveness represents significant advancement toward more humanistic computing interfaces.</w:t>
      </w:r>
    </w:p>
    <w:p w14:paraId="61D0F9B2" w14:textId="77777777" w:rsidR="00C82E23" w:rsidRPr="00C82E23" w:rsidRDefault="00C82E23" w:rsidP="00C82E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E23">
        <w:rPr>
          <w:rFonts w:ascii="Times New Roman" w:eastAsia="Times New Roman" w:hAnsi="Times New Roman" w:cs="Times New Roman"/>
          <w:b/>
          <w:bCs/>
          <w:kern w:val="0"/>
          <w:sz w:val="36"/>
          <w:szCs w:val="36"/>
          <w14:ligatures w14:val="none"/>
        </w:rPr>
        <w:t>5. Conclusions</w:t>
      </w:r>
    </w:p>
    <w:p w14:paraId="2907FF2D"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This controlled experimental study provides compelling empirical evidence that emotion-responsive food ordering interfaces can significantly enhance user experience while maintaining task efficiency. The Curry Creations EYEAI system demonstrated substantial improvements across all measured dimensions through a comprehensive multi-agent architecture that successfully integrates cognitive ergonomics principles with affective computing technologies.</w:t>
      </w:r>
    </w:p>
    <w:p w14:paraId="32D52F33"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 xml:space="preserve">The 31% reduction in cognitive workload coupled with 23% improvement in user satisfaction, while maintaining equivalent task completion times, establishes that adaptive interfaces represent genuine enhancements rather than efficiency trade-offs. The achievement of excellent system </w:t>
      </w:r>
      <w:r w:rsidRPr="00C82E23">
        <w:rPr>
          <w:rFonts w:ascii="Times New Roman" w:eastAsia="Times New Roman" w:hAnsi="Times New Roman" w:cs="Times New Roman"/>
          <w:kern w:val="0"/>
          <w14:ligatures w14:val="none"/>
        </w:rPr>
        <w:lastRenderedPageBreak/>
        <w:t>usability ratings (88.2/100) and dramatic improvements in perceived personalization and user trust provides strong justification for commercial deployment of emotion-responsive ordering systems.</w:t>
      </w:r>
    </w:p>
    <w:p w14:paraId="378086CD"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The successful implementation of specialized agents for emotion recognition, health integration, weather adaptation, and personalized learning demonstrates that complex adaptive functionality can be managed effectively through modular architecture approaches. The substantial learning effects observed, with recommendation accuracy improving from 78.2% to 91.4% across trials, provide evidence for effective system-user co-adaptation.</w:t>
      </w:r>
    </w:p>
    <w:p w14:paraId="58C0470E"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 xml:space="preserve">Individual difference patterns revealing </w:t>
      </w:r>
      <w:proofErr w:type="gramStart"/>
      <w:r w:rsidRPr="00C82E23">
        <w:rPr>
          <w:rFonts w:ascii="Times New Roman" w:eastAsia="Times New Roman" w:hAnsi="Times New Roman" w:cs="Times New Roman"/>
          <w:kern w:val="0"/>
          <w14:ligatures w14:val="none"/>
        </w:rPr>
        <w:t>particular benefits</w:t>
      </w:r>
      <w:proofErr w:type="gramEnd"/>
      <w:r w:rsidRPr="00C82E23">
        <w:rPr>
          <w:rFonts w:ascii="Times New Roman" w:eastAsia="Times New Roman" w:hAnsi="Times New Roman" w:cs="Times New Roman"/>
          <w:kern w:val="0"/>
          <w14:ligatures w14:val="none"/>
        </w:rPr>
        <w:t xml:space="preserve"> for users with lower technical proficiency and older adults support the inclusive design potential of emotion-responsive interfaces in reducing digital divide effects. The minimal privacy concerns and high user acceptance of emotion detection technology, when appropriate transparency and user controls are provided, address critical deployment considerations for commercial applications.</w:t>
      </w:r>
    </w:p>
    <w:p w14:paraId="6372C318"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The principles validated in this study extend beyond food ordering to multiple domains where emotional state influences decision-making, including e-commerce, healthcare interfaces, educational technology, and entertainment systems. Future research should examine longer-term usage patterns, cross-cultural validation, and domain extension to other decision-making contexts.</w:t>
      </w:r>
    </w:p>
    <w:p w14:paraId="44B355D9"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The establishment of clear empirical evidence for emotion-responsive design effectiveness represents significant advancement toward more humanistic computing interfaces that recognize and respond appropriately to the full spectrum of human experience in digital interactions.</w:t>
      </w:r>
    </w:p>
    <w:p w14:paraId="2EF12F6A" w14:textId="77777777" w:rsidR="00C82E23" w:rsidRPr="00C82E23" w:rsidRDefault="00C82E23" w:rsidP="00C82E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E23">
        <w:rPr>
          <w:rFonts w:ascii="Times New Roman" w:eastAsia="Times New Roman" w:hAnsi="Times New Roman" w:cs="Times New Roman"/>
          <w:b/>
          <w:bCs/>
          <w:kern w:val="0"/>
          <w:sz w:val="36"/>
          <w:szCs w:val="36"/>
          <w14:ligatures w14:val="none"/>
        </w:rPr>
        <w:t>Acknowledgments</w:t>
      </w:r>
    </w:p>
    <w:p w14:paraId="75B4B738"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The authors thank all participants who volunteered their time for this research study. We acknowledge the collaborative effort of the Curry Creations development team: Saumil Patel for product design and user experience architecture, Rohith Naini for comprehensive app development and technical implementation, and Hur for human factors experiment design and methodology support. Special appreciation goes to the venue coordinators who facilitated participant recruitment across multiple locations. The EYEAI restaurant ordering system represents a successful interdisciplinary collaboration between design, development, and human factors research domains.</w:t>
      </w:r>
    </w:p>
    <w:p w14:paraId="30E5C4A6" w14:textId="77777777" w:rsidR="00C82E23" w:rsidRPr="00C82E23" w:rsidRDefault="00C82E23" w:rsidP="00C82E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E23">
        <w:rPr>
          <w:rFonts w:ascii="Times New Roman" w:eastAsia="Times New Roman" w:hAnsi="Times New Roman" w:cs="Times New Roman"/>
          <w:b/>
          <w:bCs/>
          <w:kern w:val="0"/>
          <w:sz w:val="36"/>
          <w:szCs w:val="36"/>
          <w14:ligatures w14:val="none"/>
        </w:rPr>
        <w:t>Author Contributions</w:t>
      </w:r>
    </w:p>
    <w:p w14:paraId="79B5DDF5"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Conceptualization and product design, S.P.; app development and system implementation, R.N.; human factors experiment design and methodology, Hur; data collection and validation, S.P. and Hur; formal analysis and statistical evaluation, Hur; investigation and user research, S.P., R.N., and Hur; writing—original draft preparation, S.P.; writing—review and editing, R.N. and Hur; visualization and data presentation, S.P.; supervision and project administration, S.P. All authors have read and agreed to the published version of the manuscript.</w:t>
      </w:r>
    </w:p>
    <w:p w14:paraId="5110EF0C" w14:textId="77777777" w:rsidR="00C82E23" w:rsidRPr="00C82E23" w:rsidRDefault="00C82E23" w:rsidP="00C82E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E23">
        <w:rPr>
          <w:rFonts w:ascii="Times New Roman" w:eastAsia="Times New Roman" w:hAnsi="Times New Roman" w:cs="Times New Roman"/>
          <w:b/>
          <w:bCs/>
          <w:kern w:val="0"/>
          <w:sz w:val="36"/>
          <w:szCs w:val="36"/>
          <w14:ligatures w14:val="none"/>
        </w:rPr>
        <w:lastRenderedPageBreak/>
        <w:t>Funding</w:t>
      </w:r>
    </w:p>
    <w:p w14:paraId="11AF808B"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This research received no external funding support.</w:t>
      </w:r>
    </w:p>
    <w:p w14:paraId="518A2577" w14:textId="77777777" w:rsidR="00C82E23" w:rsidRPr="00C82E23" w:rsidRDefault="00C82E23" w:rsidP="00C82E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E23">
        <w:rPr>
          <w:rFonts w:ascii="Times New Roman" w:eastAsia="Times New Roman" w:hAnsi="Times New Roman" w:cs="Times New Roman"/>
          <w:b/>
          <w:bCs/>
          <w:kern w:val="0"/>
          <w:sz w:val="36"/>
          <w:szCs w:val="36"/>
          <w14:ligatures w14:val="none"/>
        </w:rPr>
        <w:t>Informed Consent Statement</w:t>
      </w:r>
    </w:p>
    <w:p w14:paraId="3BCC387F"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Informed consent was obtained from all subjects involved in the study. Participants were fully informed about all data collection procedures, including facial recognition, emotion detection, behavioral monitoring, and comprehensive data logging. Explicit consent was provided for all data collection, analysis, and research publication procedures while maintaining participant confidentiality and privacy protections.</w:t>
      </w:r>
    </w:p>
    <w:p w14:paraId="24A03A0D" w14:textId="76DD5A38" w:rsidR="00C82E23" w:rsidRPr="00C82E23" w:rsidRDefault="00C82E23" w:rsidP="00C82E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E23">
        <w:rPr>
          <w:rFonts w:ascii="Times New Roman" w:eastAsia="Times New Roman" w:hAnsi="Times New Roman" w:cs="Times New Roman"/>
          <w:b/>
          <w:bCs/>
          <w:kern w:val="0"/>
          <w:sz w:val="36"/>
          <w:szCs w:val="36"/>
          <w14:ligatures w14:val="none"/>
        </w:rPr>
        <w:t>Data Availability Statement</w:t>
      </w:r>
    </w:p>
    <w:p w14:paraId="31DFDD5D"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The experimental data supporting the conclusions of this article are available upon reasonable request from the corresponding author. Data will be provided in accordance with privacy protection requirements and participant confidentiality agreements while maintaining research transparency standards. Aggregate data and statistical analyses are available to support research reproducibility and validation.</w:t>
      </w:r>
    </w:p>
    <w:p w14:paraId="743C0E0D" w14:textId="77777777" w:rsidR="00C82E23" w:rsidRPr="00C82E23" w:rsidRDefault="00C82E23" w:rsidP="00C82E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E23">
        <w:rPr>
          <w:rFonts w:ascii="Times New Roman" w:eastAsia="Times New Roman" w:hAnsi="Times New Roman" w:cs="Times New Roman"/>
          <w:b/>
          <w:bCs/>
          <w:kern w:val="0"/>
          <w:sz w:val="36"/>
          <w:szCs w:val="36"/>
          <w14:ligatures w14:val="none"/>
        </w:rPr>
        <w:t>Conflicts of Interest</w:t>
      </w:r>
    </w:p>
    <w:p w14:paraId="3EF3FDB0" w14:textId="77777777" w:rsidR="00C82E23" w:rsidRPr="00C82E23" w:rsidRDefault="00C82E23" w:rsidP="00C82E23">
      <w:pPr>
        <w:spacing w:before="100" w:beforeAutospacing="1" w:after="100" w:afterAutospacing="1" w:line="240" w:lineRule="auto"/>
        <w:rPr>
          <w:rFonts w:ascii="Times New Roman" w:eastAsia="Times New Roman" w:hAnsi="Times New Roman" w:cs="Times New Roman"/>
          <w:kern w:val="0"/>
          <w14:ligatures w14:val="none"/>
        </w:rPr>
      </w:pPr>
      <w:r w:rsidRPr="00C82E23">
        <w:rPr>
          <w:rFonts w:ascii="Times New Roman" w:eastAsia="Times New Roman" w:hAnsi="Times New Roman" w:cs="Times New Roman"/>
          <w:kern w:val="0"/>
          <w14:ligatures w14:val="none"/>
        </w:rPr>
        <w:t>The authors declare no conflicts of interest. The research was conducted in the absence of any commercial or financial relationships that could be construed as potential conflicts of interest. No funding sources influenced the study design, data collection, analysis, interpretation, or manuscript preparation.</w:t>
      </w:r>
    </w:p>
    <w:p w14:paraId="3158113F" w14:textId="77777777" w:rsidR="00C82E23" w:rsidRPr="00C82E23" w:rsidRDefault="00C82E23" w:rsidP="00C82E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E23">
        <w:rPr>
          <w:rFonts w:ascii="Times New Roman" w:eastAsia="Times New Roman" w:hAnsi="Times New Roman" w:cs="Times New Roman"/>
          <w:b/>
          <w:bCs/>
          <w:kern w:val="0"/>
          <w:sz w:val="36"/>
          <w:szCs w:val="36"/>
          <w14:ligatures w14:val="none"/>
        </w:rPr>
        <w:t>References</w:t>
      </w:r>
    </w:p>
    <w:sdt>
      <w:sdtPr>
        <w:rPr>
          <w:rFonts w:asciiTheme="minorHAnsi" w:eastAsiaTheme="minorHAnsi" w:hAnsiTheme="minorHAnsi" w:cstheme="minorBidi"/>
          <w:color w:val="auto"/>
          <w:sz w:val="24"/>
          <w:szCs w:val="24"/>
        </w:rPr>
        <w:id w:val="1106154061"/>
        <w:docPartObj>
          <w:docPartGallery w:val="Bibliographies"/>
          <w:docPartUnique/>
        </w:docPartObj>
      </w:sdtPr>
      <w:sdtContent>
        <w:p w14:paraId="585CE4F7" w14:textId="09489C57" w:rsidR="00C01277" w:rsidRDefault="00C01277">
          <w:pPr>
            <w:pStyle w:val="Heading1"/>
          </w:pPr>
          <w:r>
            <w:t>Bibliography</w:t>
          </w:r>
        </w:p>
        <w:sdt>
          <w:sdtPr>
            <w:id w:val="111145805"/>
            <w:bibliography/>
          </w:sdtPr>
          <w:sdtContent>
            <w:p w14:paraId="109B1D4F" w14:textId="77777777" w:rsidR="00C01277" w:rsidRDefault="00C01277" w:rsidP="00C01277">
              <w:pPr>
                <w:pStyle w:val="Bibliography"/>
                <w:numPr>
                  <w:ilvl w:val="0"/>
                  <w:numId w:val="93"/>
                </w:numPr>
                <w:rPr>
                  <w:noProof/>
                  <w:kern w:val="0"/>
                  <w14:ligatures w14:val="none"/>
                </w:rPr>
              </w:pPr>
              <w:r>
                <w:fldChar w:fldCharType="begin"/>
              </w:r>
              <w:r>
                <w:instrText xml:space="preserve"> BIBLIOGRAPHY </w:instrText>
              </w:r>
              <w:r>
                <w:fldChar w:fldCharType="separate"/>
              </w:r>
              <w:r>
                <w:rPr>
                  <w:noProof/>
                </w:rPr>
                <w:t xml:space="preserve">Brooke, J. (1996). SUS: A 'quick and dirty' usability scale. In J. Brooke, </w:t>
              </w:r>
              <w:r>
                <w:rPr>
                  <w:i/>
                  <w:iCs/>
                  <w:noProof/>
                </w:rPr>
                <w:t>In Usability Evaluation in Industry; Jordan, P.W., Thomas, B., Weerdmeester, B.A., McClelland, I.L., Eds.</w:t>
              </w:r>
              <w:r>
                <w:rPr>
                  <w:noProof/>
                </w:rPr>
                <w:t xml:space="preserve"> (pp. 189–194). London, UK: Taylor &amp; Francis.</w:t>
              </w:r>
            </w:p>
            <w:p w14:paraId="29C021B6" w14:textId="77777777" w:rsidR="00C01277" w:rsidRDefault="00C01277" w:rsidP="00C01277">
              <w:pPr>
                <w:pStyle w:val="Bibliography"/>
                <w:numPr>
                  <w:ilvl w:val="0"/>
                  <w:numId w:val="93"/>
                </w:numPr>
                <w:rPr>
                  <w:noProof/>
                </w:rPr>
              </w:pPr>
              <w:r>
                <w:rPr>
                  <w:noProof/>
                </w:rPr>
                <w:t xml:space="preserve">Cairns, P., &amp; Cox, A. ( 2008). </w:t>
              </w:r>
              <w:r>
                <w:rPr>
                  <w:i/>
                  <w:iCs/>
                  <w:noProof/>
                </w:rPr>
                <w:t>Research Methods for Human-Computer Interaction.</w:t>
              </w:r>
              <w:r>
                <w:rPr>
                  <w:noProof/>
                </w:rPr>
                <w:t xml:space="preserve"> Cambridge, UK,: Cambridge University Press:.</w:t>
              </w:r>
            </w:p>
            <w:p w14:paraId="4ADA1DEE" w14:textId="77777777" w:rsidR="00C01277" w:rsidRDefault="00C01277" w:rsidP="00C01277">
              <w:pPr>
                <w:pStyle w:val="Bibliography"/>
                <w:numPr>
                  <w:ilvl w:val="0"/>
                  <w:numId w:val="93"/>
                </w:numPr>
                <w:rPr>
                  <w:noProof/>
                </w:rPr>
              </w:pPr>
              <w:r>
                <w:rPr>
                  <w:noProof/>
                </w:rPr>
                <w:t xml:space="preserve">Calvo, R., D'Mello, S., Gratch, J., &amp; Kappas, A. (. (2015). </w:t>
              </w:r>
              <w:r>
                <w:rPr>
                  <w:i/>
                  <w:iCs/>
                  <w:noProof/>
                </w:rPr>
                <w:t>The Oxford Handbook of Affective Computing: Oxford.</w:t>
              </w:r>
              <w:r>
                <w:rPr>
                  <w:noProof/>
                </w:rPr>
                <w:t xml:space="preserve"> UK: ; Oxford University Press.</w:t>
              </w:r>
            </w:p>
            <w:p w14:paraId="2CBB12FF" w14:textId="77777777" w:rsidR="00C01277" w:rsidRDefault="00C01277" w:rsidP="00C01277">
              <w:pPr>
                <w:pStyle w:val="Bibliography"/>
                <w:numPr>
                  <w:ilvl w:val="0"/>
                  <w:numId w:val="93"/>
                </w:numPr>
                <w:rPr>
                  <w:noProof/>
                </w:rPr>
              </w:pPr>
              <w:r>
                <w:rPr>
                  <w:noProof/>
                </w:rPr>
                <w:lastRenderedPageBreak/>
                <w:t xml:space="preserve">Ekman, P., &amp; Friesen, W. (1978). </w:t>
              </w:r>
              <w:r>
                <w:rPr>
                  <w:i/>
                  <w:iCs/>
                  <w:noProof/>
                </w:rPr>
                <w:t>Facial Action Coding System: A Technique for the Measurement of Facial Movement.</w:t>
              </w:r>
              <w:r>
                <w:rPr>
                  <w:noProof/>
                </w:rPr>
                <w:t xml:space="preserve"> Palo Alto, CA, USA, : Consulting Psychologists Press:.</w:t>
              </w:r>
            </w:p>
            <w:p w14:paraId="1FD48AD1" w14:textId="77777777" w:rsidR="00C01277" w:rsidRDefault="00C01277" w:rsidP="00C01277">
              <w:pPr>
                <w:pStyle w:val="Bibliography"/>
                <w:numPr>
                  <w:ilvl w:val="0"/>
                  <w:numId w:val="93"/>
                </w:numPr>
                <w:rPr>
                  <w:noProof/>
                </w:rPr>
              </w:pPr>
              <w:r>
                <w:rPr>
                  <w:noProof/>
                </w:rPr>
                <w:t xml:space="preserve">Gibson, E. (2006,). Emotional influences on food choice: Sensory, physiological and psychological pathways. . </w:t>
              </w:r>
              <w:r>
                <w:rPr>
                  <w:i/>
                  <w:iCs/>
                  <w:noProof/>
                </w:rPr>
                <w:t xml:space="preserve">Physiol. Behav. </w:t>
              </w:r>
              <w:r>
                <w:rPr>
                  <w:noProof/>
                </w:rPr>
                <w:t>, 89, 53–61.</w:t>
              </w:r>
            </w:p>
            <w:p w14:paraId="37DE4706" w14:textId="77777777" w:rsidR="00C01277" w:rsidRDefault="00C01277" w:rsidP="00C01277">
              <w:pPr>
                <w:pStyle w:val="Bibliography"/>
                <w:numPr>
                  <w:ilvl w:val="0"/>
                  <w:numId w:val="93"/>
                </w:numPr>
                <w:rPr>
                  <w:noProof/>
                </w:rPr>
              </w:pPr>
              <w:r>
                <w:rPr>
                  <w:noProof/>
                </w:rPr>
                <w:t xml:space="preserve">Hart, S., &amp; Staveland, L. (1988). Development of NASA-TLX (Task Load Index): Results of empirical and theoretical research. Hum. Ment. Workload . </w:t>
              </w:r>
              <w:r>
                <w:rPr>
                  <w:i/>
                  <w:iCs/>
                  <w:noProof/>
                </w:rPr>
                <w:t>Advances in psychology</w:t>
              </w:r>
              <w:r>
                <w:rPr>
                  <w:noProof/>
                </w:rPr>
                <w:t>, 1, 139–183.</w:t>
              </w:r>
            </w:p>
            <w:p w14:paraId="65577583" w14:textId="77777777" w:rsidR="00C01277" w:rsidRDefault="00C01277" w:rsidP="00C01277">
              <w:pPr>
                <w:pStyle w:val="Bibliography"/>
                <w:numPr>
                  <w:ilvl w:val="0"/>
                  <w:numId w:val="93"/>
                </w:numPr>
                <w:rPr>
                  <w:noProof/>
                </w:rPr>
              </w:pPr>
              <w:r>
                <w:rPr>
                  <w:noProof/>
                </w:rPr>
                <w:t xml:space="preserve">Isen, A. (1987,). Positive affect, cognitive processes, and social behavior. . </w:t>
              </w:r>
              <w:r>
                <w:rPr>
                  <w:i/>
                  <w:iCs/>
                  <w:noProof/>
                </w:rPr>
                <w:t xml:space="preserve">Adv. Exp. Soc. Psychol. </w:t>
              </w:r>
              <w:r>
                <w:rPr>
                  <w:noProof/>
                </w:rPr>
                <w:t>, 20, 203–253.</w:t>
              </w:r>
            </w:p>
            <w:p w14:paraId="6744159A" w14:textId="77777777" w:rsidR="00C01277" w:rsidRDefault="00C01277" w:rsidP="00C01277">
              <w:pPr>
                <w:pStyle w:val="Bibliography"/>
                <w:numPr>
                  <w:ilvl w:val="0"/>
                  <w:numId w:val="93"/>
                </w:numPr>
                <w:rPr>
                  <w:noProof/>
                </w:rPr>
              </w:pPr>
              <w:r>
                <w:rPr>
                  <w:noProof/>
                </w:rPr>
                <w:t xml:space="preserve">Iyengar, S., &amp; Lepper, M. (2000). When choice is demotivating: Can one desire too much of a good thing? . </w:t>
              </w:r>
              <w:r>
                <w:rPr>
                  <w:i/>
                  <w:iCs/>
                  <w:noProof/>
                </w:rPr>
                <w:t xml:space="preserve">J. Pers. Soc. Psychol. </w:t>
              </w:r>
              <w:r>
                <w:rPr>
                  <w:noProof/>
                </w:rPr>
                <w:t>, 79, 995–1006.</w:t>
              </w:r>
            </w:p>
            <w:p w14:paraId="39FDAE2E" w14:textId="77777777" w:rsidR="00C01277" w:rsidRDefault="00C01277" w:rsidP="00C01277">
              <w:pPr>
                <w:pStyle w:val="Bibliography"/>
                <w:numPr>
                  <w:ilvl w:val="0"/>
                  <w:numId w:val="93"/>
                </w:numPr>
                <w:rPr>
                  <w:noProof/>
                </w:rPr>
              </w:pPr>
              <w:r>
                <w:rPr>
                  <w:noProof/>
                </w:rPr>
                <w:t xml:space="preserve">Köster, E. P., &amp; Mojet , J. (2015, October). From mood to food and from food to mood: A psychological perspective on the measurement of food-related emotions in consumer research. </w:t>
              </w:r>
              <w:r>
                <w:rPr>
                  <w:i/>
                  <w:iCs/>
                  <w:noProof/>
                </w:rPr>
                <w:t>Food Research International, 76</w:t>
              </w:r>
              <w:r>
                <w:rPr>
                  <w:noProof/>
                </w:rPr>
                <w:t>(2), 180-191.</w:t>
              </w:r>
            </w:p>
            <w:p w14:paraId="540FF081" w14:textId="77777777" w:rsidR="00C01277" w:rsidRDefault="00C01277" w:rsidP="00C01277">
              <w:pPr>
                <w:pStyle w:val="Bibliography"/>
                <w:numPr>
                  <w:ilvl w:val="0"/>
                  <w:numId w:val="93"/>
                </w:numPr>
                <w:rPr>
                  <w:noProof/>
                </w:rPr>
              </w:pPr>
              <w:r>
                <w:rPr>
                  <w:noProof/>
                </w:rPr>
                <w:t xml:space="preserve">Lazar, J., Feng, J., &amp; Hochheiser, H. R. ( 2017). </w:t>
              </w:r>
              <w:r>
                <w:rPr>
                  <w:i/>
                  <w:iCs/>
                  <w:noProof/>
                </w:rPr>
                <w:t>esearch Methods in Human-Computer Interaction, 2nd ed.</w:t>
              </w:r>
              <w:r>
                <w:rPr>
                  <w:noProof/>
                </w:rPr>
                <w:t xml:space="preserve"> Cambridge, MA, USA,: Morgan Kaufmann: .</w:t>
              </w:r>
            </w:p>
            <w:p w14:paraId="028A5DE2" w14:textId="77777777" w:rsidR="00C01277" w:rsidRDefault="00C01277" w:rsidP="00C01277">
              <w:pPr>
                <w:pStyle w:val="Bibliography"/>
                <w:numPr>
                  <w:ilvl w:val="0"/>
                  <w:numId w:val="93"/>
                </w:numPr>
                <w:rPr>
                  <w:noProof/>
                </w:rPr>
              </w:pPr>
              <w:r>
                <w:rPr>
                  <w:noProof/>
                </w:rPr>
                <w:t xml:space="preserve">Lee , J. D., Gordon-Becker, S., Liu, Y., &amp; Wickens , C. D. (2003). </w:t>
              </w:r>
              <w:r>
                <w:rPr>
                  <w:i/>
                  <w:iCs/>
                  <w:noProof/>
                </w:rPr>
                <w:t>Introduction to Human Factors Engineering (2nd Edition).</w:t>
              </w:r>
              <w:r>
                <w:rPr>
                  <w:noProof/>
                </w:rPr>
                <w:t xml:space="preserve"> Upper Saddle River, NJ, USA: Pearson.</w:t>
              </w:r>
            </w:p>
            <w:p w14:paraId="1140527D" w14:textId="77777777" w:rsidR="00C01277" w:rsidRDefault="00C01277" w:rsidP="00C01277">
              <w:pPr>
                <w:pStyle w:val="Bibliography"/>
                <w:numPr>
                  <w:ilvl w:val="0"/>
                  <w:numId w:val="93"/>
                </w:numPr>
                <w:rPr>
                  <w:noProof/>
                </w:rPr>
              </w:pPr>
              <w:r>
                <w:rPr>
                  <w:noProof/>
                </w:rPr>
                <w:t xml:space="preserve">Norman, D. ( 2004.). </w:t>
              </w:r>
              <w:r>
                <w:rPr>
                  <w:i/>
                  <w:iCs/>
                  <w:noProof/>
                </w:rPr>
                <w:t>Emotional Design: Why We Love (or Hate) Everyday Things; .</w:t>
              </w:r>
              <w:r>
                <w:rPr>
                  <w:noProof/>
                </w:rPr>
                <w:t xml:space="preserve"> New York, NY, USA,: Basic Books:.</w:t>
              </w:r>
            </w:p>
            <w:p w14:paraId="6BA93F68" w14:textId="77777777" w:rsidR="00C01277" w:rsidRDefault="00C01277" w:rsidP="00C01277">
              <w:pPr>
                <w:pStyle w:val="Bibliography"/>
                <w:numPr>
                  <w:ilvl w:val="0"/>
                  <w:numId w:val="93"/>
                </w:numPr>
                <w:rPr>
                  <w:noProof/>
                </w:rPr>
              </w:pPr>
              <w:r>
                <w:rPr>
                  <w:noProof/>
                </w:rPr>
                <w:t xml:space="preserve">Picard, R. W. (1997). </w:t>
              </w:r>
              <w:r>
                <w:rPr>
                  <w:i/>
                  <w:iCs/>
                  <w:noProof/>
                </w:rPr>
                <w:t>Affective Computing.</w:t>
              </w:r>
              <w:r>
                <w:rPr>
                  <w:noProof/>
                </w:rPr>
                <w:t xml:space="preserve"> The MIT Press .</w:t>
              </w:r>
            </w:p>
            <w:p w14:paraId="56F259E3" w14:textId="77777777" w:rsidR="00C01277" w:rsidRDefault="00C01277" w:rsidP="00C01277">
              <w:pPr>
                <w:pStyle w:val="Bibliography"/>
                <w:numPr>
                  <w:ilvl w:val="0"/>
                  <w:numId w:val="93"/>
                </w:numPr>
                <w:rPr>
                  <w:noProof/>
                </w:rPr>
              </w:pPr>
              <w:r>
                <w:rPr>
                  <w:noProof/>
                </w:rPr>
                <w:t xml:space="preserve">Russell, S., &amp; Norvig, P. (2020.). </w:t>
              </w:r>
              <w:r>
                <w:rPr>
                  <w:i/>
                  <w:iCs/>
                  <w:noProof/>
                </w:rPr>
                <w:t>Artificial Intelligence: A Modern Approach, 4th ed.</w:t>
              </w:r>
              <w:r>
                <w:rPr>
                  <w:noProof/>
                </w:rPr>
                <w:t xml:space="preserve"> Boston, MA, USA, : Pearson.</w:t>
              </w:r>
            </w:p>
            <w:p w14:paraId="2A6F42E4" w14:textId="77777777" w:rsidR="00C01277" w:rsidRDefault="00C01277" w:rsidP="00C01277">
              <w:pPr>
                <w:pStyle w:val="Bibliography"/>
                <w:numPr>
                  <w:ilvl w:val="0"/>
                  <w:numId w:val="93"/>
                </w:numPr>
                <w:rPr>
                  <w:noProof/>
                </w:rPr>
              </w:pPr>
              <w:r>
                <w:rPr>
                  <w:noProof/>
                </w:rPr>
                <w:t xml:space="preserve">Scheibehenne , B., Greifeneder , R., &amp; Todd, P. M. (2010, October 10). Can There Ever Be Too Many Options? A Meta-Analytic Review of Choice Overload. </w:t>
              </w:r>
              <w:r>
                <w:rPr>
                  <w:i/>
                  <w:iCs/>
                  <w:noProof/>
                </w:rPr>
                <w:t>Journal of Consumer Research, 37</w:t>
              </w:r>
              <w:r>
                <w:rPr>
                  <w:noProof/>
                </w:rPr>
                <w:t>(3), 409–425.</w:t>
              </w:r>
            </w:p>
            <w:p w14:paraId="0965EE1D" w14:textId="77777777" w:rsidR="00C01277" w:rsidRDefault="00C01277" w:rsidP="00C01277">
              <w:pPr>
                <w:pStyle w:val="Bibliography"/>
                <w:numPr>
                  <w:ilvl w:val="0"/>
                  <w:numId w:val="93"/>
                </w:numPr>
                <w:rPr>
                  <w:noProof/>
                </w:rPr>
              </w:pPr>
              <w:r>
                <w:rPr>
                  <w:noProof/>
                </w:rPr>
                <w:t xml:space="preserve">Schwartz, B. ( 2004). </w:t>
              </w:r>
              <w:r>
                <w:rPr>
                  <w:i/>
                  <w:iCs/>
                  <w:noProof/>
                </w:rPr>
                <w:t>The Paradox of Choice: Why More Is Less; Harper Perennial: .</w:t>
              </w:r>
              <w:r>
                <w:rPr>
                  <w:noProof/>
                </w:rPr>
                <w:t xml:space="preserve"> New York, NY, USA,: ECCO.</w:t>
              </w:r>
            </w:p>
            <w:p w14:paraId="266C7460" w14:textId="77777777" w:rsidR="00C01277" w:rsidRDefault="00C01277" w:rsidP="00C01277">
              <w:pPr>
                <w:pStyle w:val="Bibliography"/>
                <w:numPr>
                  <w:ilvl w:val="0"/>
                  <w:numId w:val="93"/>
                </w:numPr>
                <w:rPr>
                  <w:noProof/>
                </w:rPr>
              </w:pPr>
              <w:r>
                <w:rPr>
                  <w:noProof/>
                </w:rPr>
                <w:t xml:space="preserve">Wooldridge, M. (2009.). </w:t>
              </w:r>
              <w:r>
                <w:rPr>
                  <w:i/>
                  <w:iCs/>
                  <w:noProof/>
                </w:rPr>
                <w:t>An Introduction to MultiAgent Systems, 2nd ed.; .</w:t>
              </w:r>
              <w:r>
                <w:rPr>
                  <w:noProof/>
                </w:rPr>
                <w:t xml:space="preserve"> Chichester, UK, : John Wiley &amp; Sons:.</w:t>
              </w:r>
            </w:p>
            <w:p w14:paraId="1DFE2FD9" w14:textId="0CE43910" w:rsidR="00DB3260" w:rsidRPr="00C01277" w:rsidRDefault="00C01277" w:rsidP="00C01277">
              <w:r>
                <w:rPr>
                  <w:b/>
                  <w:bCs/>
                  <w:noProof/>
                </w:rPr>
                <w:lastRenderedPageBreak/>
                <w:fldChar w:fldCharType="end"/>
              </w:r>
            </w:p>
          </w:sdtContent>
        </w:sdt>
      </w:sdtContent>
    </w:sdt>
    <w:sectPr w:rsidR="00DB3260" w:rsidRPr="00C012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39E26" w14:textId="77777777" w:rsidR="005B1B2F" w:rsidRDefault="005B1B2F" w:rsidP="004E7796">
      <w:pPr>
        <w:spacing w:after="0" w:line="240" w:lineRule="auto"/>
      </w:pPr>
      <w:r>
        <w:separator/>
      </w:r>
    </w:p>
  </w:endnote>
  <w:endnote w:type="continuationSeparator" w:id="0">
    <w:p w14:paraId="6B40EF00" w14:textId="77777777" w:rsidR="005B1B2F" w:rsidRDefault="005B1B2F" w:rsidP="004E77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35222" w14:textId="77777777" w:rsidR="005B1B2F" w:rsidRDefault="005B1B2F" w:rsidP="004E7796">
      <w:pPr>
        <w:spacing w:after="0" w:line="240" w:lineRule="auto"/>
      </w:pPr>
      <w:r>
        <w:separator/>
      </w:r>
    </w:p>
  </w:footnote>
  <w:footnote w:type="continuationSeparator" w:id="0">
    <w:p w14:paraId="34893827" w14:textId="77777777" w:rsidR="005B1B2F" w:rsidRDefault="005B1B2F" w:rsidP="004E77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3985"/>
    <w:multiLevelType w:val="multilevel"/>
    <w:tmpl w:val="B1C2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8287D"/>
    <w:multiLevelType w:val="multilevel"/>
    <w:tmpl w:val="181A0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20715"/>
    <w:multiLevelType w:val="multilevel"/>
    <w:tmpl w:val="DD66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855AE"/>
    <w:multiLevelType w:val="multilevel"/>
    <w:tmpl w:val="73A88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BE3A75"/>
    <w:multiLevelType w:val="multilevel"/>
    <w:tmpl w:val="9668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77637"/>
    <w:multiLevelType w:val="multilevel"/>
    <w:tmpl w:val="EB52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47ABD"/>
    <w:multiLevelType w:val="multilevel"/>
    <w:tmpl w:val="1164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0392E"/>
    <w:multiLevelType w:val="multilevel"/>
    <w:tmpl w:val="95F09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0B39C6"/>
    <w:multiLevelType w:val="multilevel"/>
    <w:tmpl w:val="1DD0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E7158"/>
    <w:multiLevelType w:val="multilevel"/>
    <w:tmpl w:val="0A2C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E3590"/>
    <w:multiLevelType w:val="multilevel"/>
    <w:tmpl w:val="13C2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64815"/>
    <w:multiLevelType w:val="multilevel"/>
    <w:tmpl w:val="04A0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601F23"/>
    <w:multiLevelType w:val="multilevel"/>
    <w:tmpl w:val="5A18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27637"/>
    <w:multiLevelType w:val="multilevel"/>
    <w:tmpl w:val="CE563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FB0468"/>
    <w:multiLevelType w:val="multilevel"/>
    <w:tmpl w:val="72C4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AE6F56"/>
    <w:multiLevelType w:val="multilevel"/>
    <w:tmpl w:val="2E1C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B06846"/>
    <w:multiLevelType w:val="multilevel"/>
    <w:tmpl w:val="1E12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AE7039"/>
    <w:multiLevelType w:val="multilevel"/>
    <w:tmpl w:val="2DBA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447903"/>
    <w:multiLevelType w:val="multilevel"/>
    <w:tmpl w:val="52D0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9A5656"/>
    <w:multiLevelType w:val="multilevel"/>
    <w:tmpl w:val="B42A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2151EB"/>
    <w:multiLevelType w:val="multilevel"/>
    <w:tmpl w:val="BE507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93277F"/>
    <w:multiLevelType w:val="multilevel"/>
    <w:tmpl w:val="ED709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BB0D4C"/>
    <w:multiLevelType w:val="multilevel"/>
    <w:tmpl w:val="81923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CD2DC2"/>
    <w:multiLevelType w:val="multilevel"/>
    <w:tmpl w:val="4CC4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812954"/>
    <w:multiLevelType w:val="multilevel"/>
    <w:tmpl w:val="8ED87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212DB3"/>
    <w:multiLevelType w:val="multilevel"/>
    <w:tmpl w:val="B052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7D09B8"/>
    <w:multiLevelType w:val="multilevel"/>
    <w:tmpl w:val="EC7A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4D371D"/>
    <w:multiLevelType w:val="multilevel"/>
    <w:tmpl w:val="0DD4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EA06C7"/>
    <w:multiLevelType w:val="multilevel"/>
    <w:tmpl w:val="70F8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0B55F9"/>
    <w:multiLevelType w:val="hybridMultilevel"/>
    <w:tmpl w:val="FD7AB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E5E0802"/>
    <w:multiLevelType w:val="multilevel"/>
    <w:tmpl w:val="B3D0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8A0A24"/>
    <w:multiLevelType w:val="multilevel"/>
    <w:tmpl w:val="5EA6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5031A5"/>
    <w:multiLevelType w:val="multilevel"/>
    <w:tmpl w:val="7E0C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EF494C"/>
    <w:multiLevelType w:val="multilevel"/>
    <w:tmpl w:val="7B4C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940038"/>
    <w:multiLevelType w:val="multilevel"/>
    <w:tmpl w:val="3FF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432430"/>
    <w:multiLevelType w:val="multilevel"/>
    <w:tmpl w:val="DD50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67649F"/>
    <w:multiLevelType w:val="multilevel"/>
    <w:tmpl w:val="F6CC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832CCA"/>
    <w:multiLevelType w:val="multilevel"/>
    <w:tmpl w:val="E49C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CF0125"/>
    <w:multiLevelType w:val="multilevel"/>
    <w:tmpl w:val="20385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5EB30F3"/>
    <w:multiLevelType w:val="multilevel"/>
    <w:tmpl w:val="19821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385E28"/>
    <w:multiLevelType w:val="multilevel"/>
    <w:tmpl w:val="E24AB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C55BAF"/>
    <w:multiLevelType w:val="multilevel"/>
    <w:tmpl w:val="256A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E35830"/>
    <w:multiLevelType w:val="multilevel"/>
    <w:tmpl w:val="FB92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CF3932"/>
    <w:multiLevelType w:val="multilevel"/>
    <w:tmpl w:val="DA44E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1384F71"/>
    <w:multiLevelType w:val="multilevel"/>
    <w:tmpl w:val="E718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3A1758"/>
    <w:multiLevelType w:val="multilevel"/>
    <w:tmpl w:val="8E90C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E3374B"/>
    <w:multiLevelType w:val="multilevel"/>
    <w:tmpl w:val="EC12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DD26C0"/>
    <w:multiLevelType w:val="multilevel"/>
    <w:tmpl w:val="98B27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5451C99"/>
    <w:multiLevelType w:val="multilevel"/>
    <w:tmpl w:val="BEA6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B347CF"/>
    <w:multiLevelType w:val="multilevel"/>
    <w:tmpl w:val="19AE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BF150F"/>
    <w:multiLevelType w:val="hybridMultilevel"/>
    <w:tmpl w:val="3A7E5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C0061BA"/>
    <w:multiLevelType w:val="multilevel"/>
    <w:tmpl w:val="B9B8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0C79F7"/>
    <w:multiLevelType w:val="multilevel"/>
    <w:tmpl w:val="92F2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0D3CDF"/>
    <w:multiLevelType w:val="multilevel"/>
    <w:tmpl w:val="F958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1D34EE"/>
    <w:multiLevelType w:val="multilevel"/>
    <w:tmpl w:val="93C2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1010DF"/>
    <w:multiLevelType w:val="multilevel"/>
    <w:tmpl w:val="C6AA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2953AB"/>
    <w:multiLevelType w:val="multilevel"/>
    <w:tmpl w:val="2D1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18183C"/>
    <w:multiLevelType w:val="multilevel"/>
    <w:tmpl w:val="B0983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AD61970"/>
    <w:multiLevelType w:val="multilevel"/>
    <w:tmpl w:val="205A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645D3F"/>
    <w:multiLevelType w:val="multilevel"/>
    <w:tmpl w:val="01D6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F443F8"/>
    <w:multiLevelType w:val="multilevel"/>
    <w:tmpl w:val="6EDE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0D7462"/>
    <w:multiLevelType w:val="multilevel"/>
    <w:tmpl w:val="5030A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E41346F"/>
    <w:multiLevelType w:val="multilevel"/>
    <w:tmpl w:val="7652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3A0F3C"/>
    <w:multiLevelType w:val="multilevel"/>
    <w:tmpl w:val="4BB4A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F4D4F78"/>
    <w:multiLevelType w:val="multilevel"/>
    <w:tmpl w:val="0D085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F882CFF"/>
    <w:multiLevelType w:val="multilevel"/>
    <w:tmpl w:val="E12E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C303E1"/>
    <w:multiLevelType w:val="multilevel"/>
    <w:tmpl w:val="1700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D07C9F"/>
    <w:multiLevelType w:val="multilevel"/>
    <w:tmpl w:val="869C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793763"/>
    <w:multiLevelType w:val="multilevel"/>
    <w:tmpl w:val="3AF6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3C6F16"/>
    <w:multiLevelType w:val="multilevel"/>
    <w:tmpl w:val="CC36E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24A0984"/>
    <w:multiLevelType w:val="multilevel"/>
    <w:tmpl w:val="8568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524126"/>
    <w:multiLevelType w:val="multilevel"/>
    <w:tmpl w:val="414A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C9005F"/>
    <w:multiLevelType w:val="multilevel"/>
    <w:tmpl w:val="E9200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3C1233B"/>
    <w:multiLevelType w:val="multilevel"/>
    <w:tmpl w:val="931E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8A2C97"/>
    <w:multiLevelType w:val="multilevel"/>
    <w:tmpl w:val="9520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8F52E7"/>
    <w:multiLevelType w:val="multilevel"/>
    <w:tmpl w:val="7472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924BEC"/>
    <w:multiLevelType w:val="multilevel"/>
    <w:tmpl w:val="A096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C96E86"/>
    <w:multiLevelType w:val="multilevel"/>
    <w:tmpl w:val="D988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C059D0"/>
    <w:multiLevelType w:val="multilevel"/>
    <w:tmpl w:val="7106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0E0979"/>
    <w:multiLevelType w:val="multilevel"/>
    <w:tmpl w:val="0BBC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9A7D9E"/>
    <w:multiLevelType w:val="multilevel"/>
    <w:tmpl w:val="E56E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5D400E"/>
    <w:multiLevelType w:val="multilevel"/>
    <w:tmpl w:val="47B0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657C97"/>
    <w:multiLevelType w:val="multilevel"/>
    <w:tmpl w:val="1D8E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573E66"/>
    <w:multiLevelType w:val="multilevel"/>
    <w:tmpl w:val="3006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B370D6"/>
    <w:multiLevelType w:val="multilevel"/>
    <w:tmpl w:val="3DAC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5D4562"/>
    <w:multiLevelType w:val="multilevel"/>
    <w:tmpl w:val="172A0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F543EFB"/>
    <w:multiLevelType w:val="multilevel"/>
    <w:tmpl w:val="CEFE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666B01"/>
    <w:multiLevelType w:val="multilevel"/>
    <w:tmpl w:val="C206F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05670A4"/>
    <w:multiLevelType w:val="multilevel"/>
    <w:tmpl w:val="055C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1E5487"/>
    <w:multiLevelType w:val="multilevel"/>
    <w:tmpl w:val="2782F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A485EEE"/>
    <w:multiLevelType w:val="multilevel"/>
    <w:tmpl w:val="4D74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973EBC"/>
    <w:multiLevelType w:val="multilevel"/>
    <w:tmpl w:val="D8001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E8C0543"/>
    <w:multiLevelType w:val="multilevel"/>
    <w:tmpl w:val="2CF29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4129343">
    <w:abstractNumId w:val="1"/>
  </w:num>
  <w:num w:numId="2" w16cid:durableId="477919488">
    <w:abstractNumId w:val="87"/>
  </w:num>
  <w:num w:numId="3" w16cid:durableId="360984105">
    <w:abstractNumId w:val="39"/>
  </w:num>
  <w:num w:numId="4" w16cid:durableId="925843929">
    <w:abstractNumId w:val="9"/>
  </w:num>
  <w:num w:numId="5" w16cid:durableId="1956598336">
    <w:abstractNumId w:val="56"/>
  </w:num>
  <w:num w:numId="6" w16cid:durableId="1409692599">
    <w:abstractNumId w:val="22"/>
  </w:num>
  <w:num w:numId="7" w16cid:durableId="73170742">
    <w:abstractNumId w:val="18"/>
  </w:num>
  <w:num w:numId="8" w16cid:durableId="812600911">
    <w:abstractNumId w:val="92"/>
  </w:num>
  <w:num w:numId="9" w16cid:durableId="1039624359">
    <w:abstractNumId w:val="72"/>
  </w:num>
  <w:num w:numId="10" w16cid:durableId="713043373">
    <w:abstractNumId w:val="26"/>
  </w:num>
  <w:num w:numId="11" w16cid:durableId="626620790">
    <w:abstractNumId w:val="69"/>
  </w:num>
  <w:num w:numId="12" w16cid:durableId="1330905231">
    <w:abstractNumId w:val="89"/>
  </w:num>
  <w:num w:numId="13" w16cid:durableId="1434479080">
    <w:abstractNumId w:val="16"/>
  </w:num>
  <w:num w:numId="14" w16cid:durableId="1874612825">
    <w:abstractNumId w:val="45"/>
  </w:num>
  <w:num w:numId="15" w16cid:durableId="1714424705">
    <w:abstractNumId w:val="61"/>
  </w:num>
  <w:num w:numId="16" w16cid:durableId="1076198069">
    <w:abstractNumId w:val="20"/>
  </w:num>
  <w:num w:numId="17" w16cid:durableId="764688332">
    <w:abstractNumId w:val="40"/>
  </w:num>
  <w:num w:numId="18" w16cid:durableId="516312169">
    <w:abstractNumId w:val="57"/>
  </w:num>
  <w:num w:numId="19" w16cid:durableId="496968409">
    <w:abstractNumId w:val="10"/>
  </w:num>
  <w:num w:numId="20" w16cid:durableId="704670234">
    <w:abstractNumId w:val="11"/>
  </w:num>
  <w:num w:numId="21" w16cid:durableId="1862893175">
    <w:abstractNumId w:val="33"/>
  </w:num>
  <w:num w:numId="22" w16cid:durableId="340276257">
    <w:abstractNumId w:val="2"/>
  </w:num>
  <w:num w:numId="23" w16cid:durableId="1610815371">
    <w:abstractNumId w:val="12"/>
  </w:num>
  <w:num w:numId="24" w16cid:durableId="921447587">
    <w:abstractNumId w:val="62"/>
  </w:num>
  <w:num w:numId="25" w16cid:durableId="89785995">
    <w:abstractNumId w:val="31"/>
  </w:num>
  <w:num w:numId="26" w16cid:durableId="1358703654">
    <w:abstractNumId w:val="35"/>
  </w:num>
  <w:num w:numId="27" w16cid:durableId="1880360688">
    <w:abstractNumId w:val="74"/>
  </w:num>
  <w:num w:numId="28" w16cid:durableId="1108352137">
    <w:abstractNumId w:val="51"/>
  </w:num>
  <w:num w:numId="29" w16cid:durableId="1457217337">
    <w:abstractNumId w:val="73"/>
  </w:num>
  <w:num w:numId="30" w16cid:durableId="1175998269">
    <w:abstractNumId w:val="67"/>
  </w:num>
  <w:num w:numId="31" w16cid:durableId="1355381787">
    <w:abstractNumId w:val="14"/>
  </w:num>
  <w:num w:numId="32" w16cid:durableId="767315920">
    <w:abstractNumId w:val="77"/>
  </w:num>
  <w:num w:numId="33" w16cid:durableId="75367054">
    <w:abstractNumId w:val="32"/>
  </w:num>
  <w:num w:numId="34" w16cid:durableId="1753353143">
    <w:abstractNumId w:val="25"/>
  </w:num>
  <w:num w:numId="35" w16cid:durableId="30106732">
    <w:abstractNumId w:val="13"/>
  </w:num>
  <w:num w:numId="36" w16cid:durableId="1134635081">
    <w:abstractNumId w:val="64"/>
  </w:num>
  <w:num w:numId="37" w16cid:durableId="2017028227">
    <w:abstractNumId w:val="38"/>
  </w:num>
  <w:num w:numId="38" w16cid:durableId="231550064">
    <w:abstractNumId w:val="7"/>
  </w:num>
  <w:num w:numId="39" w16cid:durableId="1237857016">
    <w:abstractNumId w:val="91"/>
  </w:num>
  <w:num w:numId="40" w16cid:durableId="1423452902">
    <w:abstractNumId w:val="17"/>
  </w:num>
  <w:num w:numId="41" w16cid:durableId="1670325119">
    <w:abstractNumId w:val="86"/>
  </w:num>
  <w:num w:numId="42" w16cid:durableId="2022311580">
    <w:abstractNumId w:val="75"/>
  </w:num>
  <w:num w:numId="43" w16cid:durableId="1377387115">
    <w:abstractNumId w:val="76"/>
  </w:num>
  <w:num w:numId="44" w16cid:durableId="539786519">
    <w:abstractNumId w:val="49"/>
  </w:num>
  <w:num w:numId="45" w16cid:durableId="509612404">
    <w:abstractNumId w:val="19"/>
  </w:num>
  <w:num w:numId="46" w16cid:durableId="22639464">
    <w:abstractNumId w:val="46"/>
  </w:num>
  <w:num w:numId="47" w16cid:durableId="617300381">
    <w:abstractNumId w:val="37"/>
  </w:num>
  <w:num w:numId="48" w16cid:durableId="635918094">
    <w:abstractNumId w:val="68"/>
  </w:num>
  <w:num w:numId="49" w16cid:durableId="1272980236">
    <w:abstractNumId w:val="84"/>
  </w:num>
  <w:num w:numId="50" w16cid:durableId="1887444221">
    <w:abstractNumId w:val="27"/>
  </w:num>
  <w:num w:numId="51" w16cid:durableId="935091440">
    <w:abstractNumId w:val="60"/>
  </w:num>
  <w:num w:numId="52" w16cid:durableId="1519392274">
    <w:abstractNumId w:val="36"/>
  </w:num>
  <w:num w:numId="53" w16cid:durableId="443693691">
    <w:abstractNumId w:val="88"/>
  </w:num>
  <w:num w:numId="54" w16cid:durableId="2119063333">
    <w:abstractNumId w:val="30"/>
  </w:num>
  <w:num w:numId="55" w16cid:durableId="53355209">
    <w:abstractNumId w:val="65"/>
  </w:num>
  <w:num w:numId="56" w16cid:durableId="568418653">
    <w:abstractNumId w:val="43"/>
  </w:num>
  <w:num w:numId="57" w16cid:durableId="1532568680">
    <w:abstractNumId w:val="3"/>
  </w:num>
  <w:num w:numId="58" w16cid:durableId="1154031168">
    <w:abstractNumId w:val="63"/>
  </w:num>
  <w:num w:numId="59" w16cid:durableId="1617828233">
    <w:abstractNumId w:val="47"/>
  </w:num>
  <w:num w:numId="60" w16cid:durableId="678042171">
    <w:abstractNumId w:val="70"/>
  </w:num>
  <w:num w:numId="61" w16cid:durableId="1670520834">
    <w:abstractNumId w:val="0"/>
  </w:num>
  <w:num w:numId="62" w16cid:durableId="313025191">
    <w:abstractNumId w:val="34"/>
  </w:num>
  <w:num w:numId="63" w16cid:durableId="1565095667">
    <w:abstractNumId w:val="85"/>
  </w:num>
  <w:num w:numId="64" w16cid:durableId="1369261488">
    <w:abstractNumId w:val="21"/>
  </w:num>
  <w:num w:numId="65" w16cid:durableId="1009023280">
    <w:abstractNumId w:val="23"/>
  </w:num>
  <w:num w:numId="66" w16cid:durableId="1550721371">
    <w:abstractNumId w:val="4"/>
  </w:num>
  <w:num w:numId="67" w16cid:durableId="271478739">
    <w:abstractNumId w:val="78"/>
  </w:num>
  <w:num w:numId="68" w16cid:durableId="1485392137">
    <w:abstractNumId w:val="41"/>
  </w:num>
  <w:num w:numId="69" w16cid:durableId="1286958993">
    <w:abstractNumId w:val="15"/>
  </w:num>
  <w:num w:numId="70" w16cid:durableId="318579910">
    <w:abstractNumId w:val="83"/>
  </w:num>
  <w:num w:numId="71" w16cid:durableId="739404214">
    <w:abstractNumId w:val="82"/>
  </w:num>
  <w:num w:numId="72" w16cid:durableId="396365259">
    <w:abstractNumId w:val="48"/>
  </w:num>
  <w:num w:numId="73" w16cid:durableId="289366153">
    <w:abstractNumId w:val="79"/>
  </w:num>
  <w:num w:numId="74" w16cid:durableId="638847398">
    <w:abstractNumId w:val="28"/>
  </w:num>
  <w:num w:numId="75" w16cid:durableId="1090200205">
    <w:abstractNumId w:val="52"/>
  </w:num>
  <w:num w:numId="76" w16cid:durableId="2035577055">
    <w:abstractNumId w:val="42"/>
  </w:num>
  <w:num w:numId="77" w16cid:durableId="2134208517">
    <w:abstractNumId w:val="90"/>
  </w:num>
  <w:num w:numId="78" w16cid:durableId="1465922462">
    <w:abstractNumId w:val="53"/>
  </w:num>
  <w:num w:numId="79" w16cid:durableId="102072273">
    <w:abstractNumId w:val="80"/>
  </w:num>
  <w:num w:numId="80" w16cid:durableId="449474720">
    <w:abstractNumId w:val="44"/>
  </w:num>
  <w:num w:numId="81" w16cid:durableId="1334652172">
    <w:abstractNumId w:val="6"/>
  </w:num>
  <w:num w:numId="82" w16cid:durableId="357857580">
    <w:abstractNumId w:val="81"/>
  </w:num>
  <w:num w:numId="83" w16cid:durableId="1658419988">
    <w:abstractNumId w:val="71"/>
  </w:num>
  <w:num w:numId="84" w16cid:durableId="751853632">
    <w:abstractNumId w:val="8"/>
  </w:num>
  <w:num w:numId="85" w16cid:durableId="2010669925">
    <w:abstractNumId w:val="55"/>
  </w:num>
  <w:num w:numId="86" w16cid:durableId="161705349">
    <w:abstractNumId w:val="59"/>
  </w:num>
  <w:num w:numId="87" w16cid:durableId="298533830">
    <w:abstractNumId w:val="58"/>
  </w:num>
  <w:num w:numId="88" w16cid:durableId="1164127311">
    <w:abstractNumId w:val="54"/>
  </w:num>
  <w:num w:numId="89" w16cid:durableId="1839036466">
    <w:abstractNumId w:val="5"/>
  </w:num>
  <w:num w:numId="90" w16cid:durableId="894849421">
    <w:abstractNumId w:val="66"/>
  </w:num>
  <w:num w:numId="91" w16cid:durableId="331295126">
    <w:abstractNumId w:val="24"/>
  </w:num>
  <w:num w:numId="92" w16cid:durableId="999507760">
    <w:abstractNumId w:val="50"/>
  </w:num>
  <w:num w:numId="93" w16cid:durableId="110823490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CB2"/>
    <w:rsid w:val="000A0B7C"/>
    <w:rsid w:val="000B4F13"/>
    <w:rsid w:val="001211FE"/>
    <w:rsid w:val="00247861"/>
    <w:rsid w:val="00277A15"/>
    <w:rsid w:val="00293490"/>
    <w:rsid w:val="002B2FF7"/>
    <w:rsid w:val="00330D59"/>
    <w:rsid w:val="004B01C4"/>
    <w:rsid w:val="004E7796"/>
    <w:rsid w:val="0054306E"/>
    <w:rsid w:val="00575F4D"/>
    <w:rsid w:val="005B1B2F"/>
    <w:rsid w:val="005E4505"/>
    <w:rsid w:val="005E5CB2"/>
    <w:rsid w:val="00616A34"/>
    <w:rsid w:val="00683416"/>
    <w:rsid w:val="006F5A32"/>
    <w:rsid w:val="00737D28"/>
    <w:rsid w:val="00746FC6"/>
    <w:rsid w:val="007F5751"/>
    <w:rsid w:val="008048D8"/>
    <w:rsid w:val="00846C28"/>
    <w:rsid w:val="008E50A8"/>
    <w:rsid w:val="00910ED7"/>
    <w:rsid w:val="00987743"/>
    <w:rsid w:val="009B4211"/>
    <w:rsid w:val="00A039A6"/>
    <w:rsid w:val="00A24B7C"/>
    <w:rsid w:val="00AE3BAB"/>
    <w:rsid w:val="00B4251A"/>
    <w:rsid w:val="00C01277"/>
    <w:rsid w:val="00C27810"/>
    <w:rsid w:val="00C44673"/>
    <w:rsid w:val="00C82E23"/>
    <w:rsid w:val="00D75571"/>
    <w:rsid w:val="00DB3260"/>
    <w:rsid w:val="00E85799"/>
    <w:rsid w:val="00F11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61E285"/>
  <w15:chartTrackingRefBased/>
  <w15:docId w15:val="{EF9F6301-66DA-9E43-93A8-CBDCC0C09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5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5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E5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5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5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E5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CB2"/>
    <w:rPr>
      <w:rFonts w:eastAsiaTheme="majorEastAsia" w:cstheme="majorBidi"/>
      <w:color w:val="272727" w:themeColor="text1" w:themeTint="D8"/>
    </w:rPr>
  </w:style>
  <w:style w:type="paragraph" w:styleId="Title">
    <w:name w:val="Title"/>
    <w:basedOn w:val="Normal"/>
    <w:next w:val="Normal"/>
    <w:link w:val="TitleChar"/>
    <w:uiPriority w:val="10"/>
    <w:qFormat/>
    <w:rsid w:val="005E5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CB2"/>
    <w:pPr>
      <w:spacing w:before="160"/>
      <w:jc w:val="center"/>
    </w:pPr>
    <w:rPr>
      <w:i/>
      <w:iCs/>
      <w:color w:val="404040" w:themeColor="text1" w:themeTint="BF"/>
    </w:rPr>
  </w:style>
  <w:style w:type="character" w:customStyle="1" w:styleId="QuoteChar">
    <w:name w:val="Quote Char"/>
    <w:basedOn w:val="DefaultParagraphFont"/>
    <w:link w:val="Quote"/>
    <w:uiPriority w:val="29"/>
    <w:rsid w:val="005E5CB2"/>
    <w:rPr>
      <w:i/>
      <w:iCs/>
      <w:color w:val="404040" w:themeColor="text1" w:themeTint="BF"/>
    </w:rPr>
  </w:style>
  <w:style w:type="paragraph" w:styleId="ListParagraph">
    <w:name w:val="List Paragraph"/>
    <w:basedOn w:val="Normal"/>
    <w:uiPriority w:val="34"/>
    <w:qFormat/>
    <w:rsid w:val="005E5CB2"/>
    <w:pPr>
      <w:ind w:left="720"/>
      <w:contextualSpacing/>
    </w:pPr>
  </w:style>
  <w:style w:type="character" w:styleId="IntenseEmphasis">
    <w:name w:val="Intense Emphasis"/>
    <w:basedOn w:val="DefaultParagraphFont"/>
    <w:uiPriority w:val="21"/>
    <w:qFormat/>
    <w:rsid w:val="005E5CB2"/>
    <w:rPr>
      <w:i/>
      <w:iCs/>
      <w:color w:val="0F4761" w:themeColor="accent1" w:themeShade="BF"/>
    </w:rPr>
  </w:style>
  <w:style w:type="paragraph" w:styleId="IntenseQuote">
    <w:name w:val="Intense Quote"/>
    <w:basedOn w:val="Normal"/>
    <w:next w:val="Normal"/>
    <w:link w:val="IntenseQuoteChar"/>
    <w:uiPriority w:val="30"/>
    <w:qFormat/>
    <w:rsid w:val="005E5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CB2"/>
    <w:rPr>
      <w:i/>
      <w:iCs/>
      <w:color w:val="0F4761" w:themeColor="accent1" w:themeShade="BF"/>
    </w:rPr>
  </w:style>
  <w:style w:type="character" w:styleId="IntenseReference">
    <w:name w:val="Intense Reference"/>
    <w:basedOn w:val="DefaultParagraphFont"/>
    <w:uiPriority w:val="32"/>
    <w:qFormat/>
    <w:rsid w:val="005E5CB2"/>
    <w:rPr>
      <w:b/>
      <w:bCs/>
      <w:smallCaps/>
      <w:color w:val="0F4761" w:themeColor="accent1" w:themeShade="BF"/>
      <w:spacing w:val="5"/>
    </w:rPr>
  </w:style>
  <w:style w:type="paragraph" w:customStyle="1" w:styleId="whitespace-normal">
    <w:name w:val="whitespace-normal"/>
    <w:basedOn w:val="Normal"/>
    <w:rsid w:val="005E5CB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E5CB2"/>
    <w:rPr>
      <w:b/>
      <w:bCs/>
    </w:rPr>
  </w:style>
  <w:style w:type="paragraph" w:styleId="NormalWeb">
    <w:name w:val="Normal (Web)"/>
    <w:basedOn w:val="Normal"/>
    <w:uiPriority w:val="99"/>
    <w:semiHidden/>
    <w:unhideWhenUsed/>
    <w:rsid w:val="001211F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121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211F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211FE"/>
    <w:rPr>
      <w:rFonts w:ascii="Courier New" w:eastAsia="Times New Roman" w:hAnsi="Courier New" w:cs="Courier New"/>
      <w:sz w:val="20"/>
      <w:szCs w:val="20"/>
    </w:rPr>
  </w:style>
  <w:style w:type="character" w:styleId="Emphasis">
    <w:name w:val="Emphasis"/>
    <w:basedOn w:val="DefaultParagraphFont"/>
    <w:uiPriority w:val="20"/>
    <w:qFormat/>
    <w:rsid w:val="00277A15"/>
    <w:rPr>
      <w:i/>
      <w:iCs/>
    </w:rPr>
  </w:style>
  <w:style w:type="paragraph" w:styleId="FootnoteText">
    <w:name w:val="footnote text"/>
    <w:basedOn w:val="Normal"/>
    <w:link w:val="FootnoteTextChar"/>
    <w:uiPriority w:val="99"/>
    <w:semiHidden/>
    <w:unhideWhenUsed/>
    <w:rsid w:val="004E779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7796"/>
    <w:rPr>
      <w:sz w:val="20"/>
      <w:szCs w:val="20"/>
    </w:rPr>
  </w:style>
  <w:style w:type="character" w:styleId="FootnoteReference">
    <w:name w:val="footnote reference"/>
    <w:basedOn w:val="DefaultParagraphFont"/>
    <w:uiPriority w:val="99"/>
    <w:semiHidden/>
    <w:unhideWhenUsed/>
    <w:rsid w:val="004E7796"/>
    <w:rPr>
      <w:vertAlign w:val="superscript"/>
    </w:rPr>
  </w:style>
  <w:style w:type="paragraph" w:styleId="Bibliography">
    <w:name w:val="Bibliography"/>
    <w:basedOn w:val="Normal"/>
    <w:next w:val="Normal"/>
    <w:uiPriority w:val="37"/>
    <w:unhideWhenUsed/>
    <w:rsid w:val="00C012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52596">
      <w:bodyDiv w:val="1"/>
      <w:marLeft w:val="0"/>
      <w:marRight w:val="0"/>
      <w:marTop w:val="0"/>
      <w:marBottom w:val="0"/>
      <w:divBdr>
        <w:top w:val="none" w:sz="0" w:space="0" w:color="auto"/>
        <w:left w:val="none" w:sz="0" w:space="0" w:color="auto"/>
        <w:bottom w:val="none" w:sz="0" w:space="0" w:color="auto"/>
        <w:right w:val="none" w:sz="0" w:space="0" w:color="auto"/>
      </w:divBdr>
    </w:div>
    <w:div w:id="80222036">
      <w:bodyDiv w:val="1"/>
      <w:marLeft w:val="0"/>
      <w:marRight w:val="0"/>
      <w:marTop w:val="0"/>
      <w:marBottom w:val="0"/>
      <w:divBdr>
        <w:top w:val="none" w:sz="0" w:space="0" w:color="auto"/>
        <w:left w:val="none" w:sz="0" w:space="0" w:color="auto"/>
        <w:bottom w:val="none" w:sz="0" w:space="0" w:color="auto"/>
        <w:right w:val="none" w:sz="0" w:space="0" w:color="auto"/>
      </w:divBdr>
    </w:div>
    <w:div w:id="127747433">
      <w:bodyDiv w:val="1"/>
      <w:marLeft w:val="0"/>
      <w:marRight w:val="0"/>
      <w:marTop w:val="0"/>
      <w:marBottom w:val="0"/>
      <w:divBdr>
        <w:top w:val="none" w:sz="0" w:space="0" w:color="auto"/>
        <w:left w:val="none" w:sz="0" w:space="0" w:color="auto"/>
        <w:bottom w:val="none" w:sz="0" w:space="0" w:color="auto"/>
        <w:right w:val="none" w:sz="0" w:space="0" w:color="auto"/>
      </w:divBdr>
    </w:div>
    <w:div w:id="150101180">
      <w:bodyDiv w:val="1"/>
      <w:marLeft w:val="0"/>
      <w:marRight w:val="0"/>
      <w:marTop w:val="0"/>
      <w:marBottom w:val="0"/>
      <w:divBdr>
        <w:top w:val="none" w:sz="0" w:space="0" w:color="auto"/>
        <w:left w:val="none" w:sz="0" w:space="0" w:color="auto"/>
        <w:bottom w:val="none" w:sz="0" w:space="0" w:color="auto"/>
        <w:right w:val="none" w:sz="0" w:space="0" w:color="auto"/>
      </w:divBdr>
    </w:div>
    <w:div w:id="180897587">
      <w:bodyDiv w:val="1"/>
      <w:marLeft w:val="0"/>
      <w:marRight w:val="0"/>
      <w:marTop w:val="0"/>
      <w:marBottom w:val="0"/>
      <w:divBdr>
        <w:top w:val="none" w:sz="0" w:space="0" w:color="auto"/>
        <w:left w:val="none" w:sz="0" w:space="0" w:color="auto"/>
        <w:bottom w:val="none" w:sz="0" w:space="0" w:color="auto"/>
        <w:right w:val="none" w:sz="0" w:space="0" w:color="auto"/>
      </w:divBdr>
    </w:div>
    <w:div w:id="201207518">
      <w:bodyDiv w:val="1"/>
      <w:marLeft w:val="0"/>
      <w:marRight w:val="0"/>
      <w:marTop w:val="0"/>
      <w:marBottom w:val="0"/>
      <w:divBdr>
        <w:top w:val="none" w:sz="0" w:space="0" w:color="auto"/>
        <w:left w:val="none" w:sz="0" w:space="0" w:color="auto"/>
        <w:bottom w:val="none" w:sz="0" w:space="0" w:color="auto"/>
        <w:right w:val="none" w:sz="0" w:space="0" w:color="auto"/>
      </w:divBdr>
    </w:div>
    <w:div w:id="284695821">
      <w:bodyDiv w:val="1"/>
      <w:marLeft w:val="0"/>
      <w:marRight w:val="0"/>
      <w:marTop w:val="0"/>
      <w:marBottom w:val="0"/>
      <w:divBdr>
        <w:top w:val="none" w:sz="0" w:space="0" w:color="auto"/>
        <w:left w:val="none" w:sz="0" w:space="0" w:color="auto"/>
        <w:bottom w:val="none" w:sz="0" w:space="0" w:color="auto"/>
        <w:right w:val="none" w:sz="0" w:space="0" w:color="auto"/>
      </w:divBdr>
    </w:div>
    <w:div w:id="344331246">
      <w:bodyDiv w:val="1"/>
      <w:marLeft w:val="0"/>
      <w:marRight w:val="0"/>
      <w:marTop w:val="0"/>
      <w:marBottom w:val="0"/>
      <w:divBdr>
        <w:top w:val="none" w:sz="0" w:space="0" w:color="auto"/>
        <w:left w:val="none" w:sz="0" w:space="0" w:color="auto"/>
        <w:bottom w:val="none" w:sz="0" w:space="0" w:color="auto"/>
        <w:right w:val="none" w:sz="0" w:space="0" w:color="auto"/>
      </w:divBdr>
    </w:div>
    <w:div w:id="344945205">
      <w:bodyDiv w:val="1"/>
      <w:marLeft w:val="0"/>
      <w:marRight w:val="0"/>
      <w:marTop w:val="0"/>
      <w:marBottom w:val="0"/>
      <w:divBdr>
        <w:top w:val="none" w:sz="0" w:space="0" w:color="auto"/>
        <w:left w:val="none" w:sz="0" w:space="0" w:color="auto"/>
        <w:bottom w:val="none" w:sz="0" w:space="0" w:color="auto"/>
        <w:right w:val="none" w:sz="0" w:space="0" w:color="auto"/>
      </w:divBdr>
    </w:div>
    <w:div w:id="381370678">
      <w:bodyDiv w:val="1"/>
      <w:marLeft w:val="0"/>
      <w:marRight w:val="0"/>
      <w:marTop w:val="0"/>
      <w:marBottom w:val="0"/>
      <w:divBdr>
        <w:top w:val="none" w:sz="0" w:space="0" w:color="auto"/>
        <w:left w:val="none" w:sz="0" w:space="0" w:color="auto"/>
        <w:bottom w:val="none" w:sz="0" w:space="0" w:color="auto"/>
        <w:right w:val="none" w:sz="0" w:space="0" w:color="auto"/>
      </w:divBdr>
    </w:div>
    <w:div w:id="391122126">
      <w:bodyDiv w:val="1"/>
      <w:marLeft w:val="0"/>
      <w:marRight w:val="0"/>
      <w:marTop w:val="0"/>
      <w:marBottom w:val="0"/>
      <w:divBdr>
        <w:top w:val="none" w:sz="0" w:space="0" w:color="auto"/>
        <w:left w:val="none" w:sz="0" w:space="0" w:color="auto"/>
        <w:bottom w:val="none" w:sz="0" w:space="0" w:color="auto"/>
        <w:right w:val="none" w:sz="0" w:space="0" w:color="auto"/>
      </w:divBdr>
    </w:div>
    <w:div w:id="392511281">
      <w:bodyDiv w:val="1"/>
      <w:marLeft w:val="0"/>
      <w:marRight w:val="0"/>
      <w:marTop w:val="0"/>
      <w:marBottom w:val="0"/>
      <w:divBdr>
        <w:top w:val="none" w:sz="0" w:space="0" w:color="auto"/>
        <w:left w:val="none" w:sz="0" w:space="0" w:color="auto"/>
        <w:bottom w:val="none" w:sz="0" w:space="0" w:color="auto"/>
        <w:right w:val="none" w:sz="0" w:space="0" w:color="auto"/>
      </w:divBdr>
      <w:divsChild>
        <w:div w:id="21255357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019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390483">
          <w:blockQuote w:val="1"/>
          <w:marLeft w:val="720"/>
          <w:marRight w:val="720"/>
          <w:marTop w:val="100"/>
          <w:marBottom w:val="100"/>
          <w:divBdr>
            <w:top w:val="none" w:sz="0" w:space="0" w:color="auto"/>
            <w:left w:val="none" w:sz="0" w:space="0" w:color="auto"/>
            <w:bottom w:val="none" w:sz="0" w:space="0" w:color="auto"/>
            <w:right w:val="none" w:sz="0" w:space="0" w:color="auto"/>
          </w:divBdr>
        </w:div>
        <w:div w:id="833301902">
          <w:blockQuote w:val="1"/>
          <w:marLeft w:val="720"/>
          <w:marRight w:val="720"/>
          <w:marTop w:val="100"/>
          <w:marBottom w:val="100"/>
          <w:divBdr>
            <w:top w:val="none" w:sz="0" w:space="0" w:color="auto"/>
            <w:left w:val="none" w:sz="0" w:space="0" w:color="auto"/>
            <w:bottom w:val="none" w:sz="0" w:space="0" w:color="auto"/>
            <w:right w:val="none" w:sz="0" w:space="0" w:color="auto"/>
          </w:divBdr>
        </w:div>
        <w:div w:id="814032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796893">
      <w:bodyDiv w:val="1"/>
      <w:marLeft w:val="0"/>
      <w:marRight w:val="0"/>
      <w:marTop w:val="0"/>
      <w:marBottom w:val="0"/>
      <w:divBdr>
        <w:top w:val="none" w:sz="0" w:space="0" w:color="auto"/>
        <w:left w:val="none" w:sz="0" w:space="0" w:color="auto"/>
        <w:bottom w:val="none" w:sz="0" w:space="0" w:color="auto"/>
        <w:right w:val="none" w:sz="0" w:space="0" w:color="auto"/>
      </w:divBdr>
    </w:div>
    <w:div w:id="453788469">
      <w:bodyDiv w:val="1"/>
      <w:marLeft w:val="0"/>
      <w:marRight w:val="0"/>
      <w:marTop w:val="0"/>
      <w:marBottom w:val="0"/>
      <w:divBdr>
        <w:top w:val="none" w:sz="0" w:space="0" w:color="auto"/>
        <w:left w:val="none" w:sz="0" w:space="0" w:color="auto"/>
        <w:bottom w:val="none" w:sz="0" w:space="0" w:color="auto"/>
        <w:right w:val="none" w:sz="0" w:space="0" w:color="auto"/>
      </w:divBdr>
    </w:div>
    <w:div w:id="466821568">
      <w:bodyDiv w:val="1"/>
      <w:marLeft w:val="0"/>
      <w:marRight w:val="0"/>
      <w:marTop w:val="0"/>
      <w:marBottom w:val="0"/>
      <w:divBdr>
        <w:top w:val="none" w:sz="0" w:space="0" w:color="auto"/>
        <w:left w:val="none" w:sz="0" w:space="0" w:color="auto"/>
        <w:bottom w:val="none" w:sz="0" w:space="0" w:color="auto"/>
        <w:right w:val="none" w:sz="0" w:space="0" w:color="auto"/>
      </w:divBdr>
    </w:div>
    <w:div w:id="534275917">
      <w:bodyDiv w:val="1"/>
      <w:marLeft w:val="0"/>
      <w:marRight w:val="0"/>
      <w:marTop w:val="0"/>
      <w:marBottom w:val="0"/>
      <w:divBdr>
        <w:top w:val="none" w:sz="0" w:space="0" w:color="auto"/>
        <w:left w:val="none" w:sz="0" w:space="0" w:color="auto"/>
        <w:bottom w:val="none" w:sz="0" w:space="0" w:color="auto"/>
        <w:right w:val="none" w:sz="0" w:space="0" w:color="auto"/>
      </w:divBdr>
    </w:div>
    <w:div w:id="584650296">
      <w:bodyDiv w:val="1"/>
      <w:marLeft w:val="0"/>
      <w:marRight w:val="0"/>
      <w:marTop w:val="0"/>
      <w:marBottom w:val="0"/>
      <w:divBdr>
        <w:top w:val="none" w:sz="0" w:space="0" w:color="auto"/>
        <w:left w:val="none" w:sz="0" w:space="0" w:color="auto"/>
        <w:bottom w:val="none" w:sz="0" w:space="0" w:color="auto"/>
        <w:right w:val="none" w:sz="0" w:space="0" w:color="auto"/>
      </w:divBdr>
    </w:div>
    <w:div w:id="678849440">
      <w:bodyDiv w:val="1"/>
      <w:marLeft w:val="0"/>
      <w:marRight w:val="0"/>
      <w:marTop w:val="0"/>
      <w:marBottom w:val="0"/>
      <w:divBdr>
        <w:top w:val="none" w:sz="0" w:space="0" w:color="auto"/>
        <w:left w:val="none" w:sz="0" w:space="0" w:color="auto"/>
        <w:bottom w:val="none" w:sz="0" w:space="0" w:color="auto"/>
        <w:right w:val="none" w:sz="0" w:space="0" w:color="auto"/>
      </w:divBdr>
    </w:div>
    <w:div w:id="682365322">
      <w:bodyDiv w:val="1"/>
      <w:marLeft w:val="0"/>
      <w:marRight w:val="0"/>
      <w:marTop w:val="0"/>
      <w:marBottom w:val="0"/>
      <w:divBdr>
        <w:top w:val="none" w:sz="0" w:space="0" w:color="auto"/>
        <w:left w:val="none" w:sz="0" w:space="0" w:color="auto"/>
        <w:bottom w:val="none" w:sz="0" w:space="0" w:color="auto"/>
        <w:right w:val="none" w:sz="0" w:space="0" w:color="auto"/>
      </w:divBdr>
    </w:div>
    <w:div w:id="707026692">
      <w:bodyDiv w:val="1"/>
      <w:marLeft w:val="0"/>
      <w:marRight w:val="0"/>
      <w:marTop w:val="0"/>
      <w:marBottom w:val="0"/>
      <w:divBdr>
        <w:top w:val="none" w:sz="0" w:space="0" w:color="auto"/>
        <w:left w:val="none" w:sz="0" w:space="0" w:color="auto"/>
        <w:bottom w:val="none" w:sz="0" w:space="0" w:color="auto"/>
        <w:right w:val="none" w:sz="0" w:space="0" w:color="auto"/>
      </w:divBdr>
    </w:div>
    <w:div w:id="776750221">
      <w:bodyDiv w:val="1"/>
      <w:marLeft w:val="0"/>
      <w:marRight w:val="0"/>
      <w:marTop w:val="0"/>
      <w:marBottom w:val="0"/>
      <w:divBdr>
        <w:top w:val="none" w:sz="0" w:space="0" w:color="auto"/>
        <w:left w:val="none" w:sz="0" w:space="0" w:color="auto"/>
        <w:bottom w:val="none" w:sz="0" w:space="0" w:color="auto"/>
        <w:right w:val="none" w:sz="0" w:space="0" w:color="auto"/>
      </w:divBdr>
    </w:div>
    <w:div w:id="794757563">
      <w:bodyDiv w:val="1"/>
      <w:marLeft w:val="0"/>
      <w:marRight w:val="0"/>
      <w:marTop w:val="0"/>
      <w:marBottom w:val="0"/>
      <w:divBdr>
        <w:top w:val="none" w:sz="0" w:space="0" w:color="auto"/>
        <w:left w:val="none" w:sz="0" w:space="0" w:color="auto"/>
        <w:bottom w:val="none" w:sz="0" w:space="0" w:color="auto"/>
        <w:right w:val="none" w:sz="0" w:space="0" w:color="auto"/>
      </w:divBdr>
    </w:div>
    <w:div w:id="852451838">
      <w:bodyDiv w:val="1"/>
      <w:marLeft w:val="0"/>
      <w:marRight w:val="0"/>
      <w:marTop w:val="0"/>
      <w:marBottom w:val="0"/>
      <w:divBdr>
        <w:top w:val="none" w:sz="0" w:space="0" w:color="auto"/>
        <w:left w:val="none" w:sz="0" w:space="0" w:color="auto"/>
        <w:bottom w:val="none" w:sz="0" w:space="0" w:color="auto"/>
        <w:right w:val="none" w:sz="0" w:space="0" w:color="auto"/>
      </w:divBdr>
    </w:div>
    <w:div w:id="966473474">
      <w:bodyDiv w:val="1"/>
      <w:marLeft w:val="0"/>
      <w:marRight w:val="0"/>
      <w:marTop w:val="0"/>
      <w:marBottom w:val="0"/>
      <w:divBdr>
        <w:top w:val="none" w:sz="0" w:space="0" w:color="auto"/>
        <w:left w:val="none" w:sz="0" w:space="0" w:color="auto"/>
        <w:bottom w:val="none" w:sz="0" w:space="0" w:color="auto"/>
        <w:right w:val="none" w:sz="0" w:space="0" w:color="auto"/>
      </w:divBdr>
    </w:div>
    <w:div w:id="1053699465">
      <w:bodyDiv w:val="1"/>
      <w:marLeft w:val="0"/>
      <w:marRight w:val="0"/>
      <w:marTop w:val="0"/>
      <w:marBottom w:val="0"/>
      <w:divBdr>
        <w:top w:val="none" w:sz="0" w:space="0" w:color="auto"/>
        <w:left w:val="none" w:sz="0" w:space="0" w:color="auto"/>
        <w:bottom w:val="none" w:sz="0" w:space="0" w:color="auto"/>
        <w:right w:val="none" w:sz="0" w:space="0" w:color="auto"/>
      </w:divBdr>
    </w:div>
    <w:div w:id="1079061289">
      <w:bodyDiv w:val="1"/>
      <w:marLeft w:val="0"/>
      <w:marRight w:val="0"/>
      <w:marTop w:val="0"/>
      <w:marBottom w:val="0"/>
      <w:divBdr>
        <w:top w:val="none" w:sz="0" w:space="0" w:color="auto"/>
        <w:left w:val="none" w:sz="0" w:space="0" w:color="auto"/>
        <w:bottom w:val="none" w:sz="0" w:space="0" w:color="auto"/>
        <w:right w:val="none" w:sz="0" w:space="0" w:color="auto"/>
      </w:divBdr>
    </w:div>
    <w:div w:id="1090546579">
      <w:bodyDiv w:val="1"/>
      <w:marLeft w:val="0"/>
      <w:marRight w:val="0"/>
      <w:marTop w:val="0"/>
      <w:marBottom w:val="0"/>
      <w:divBdr>
        <w:top w:val="none" w:sz="0" w:space="0" w:color="auto"/>
        <w:left w:val="none" w:sz="0" w:space="0" w:color="auto"/>
        <w:bottom w:val="none" w:sz="0" w:space="0" w:color="auto"/>
        <w:right w:val="none" w:sz="0" w:space="0" w:color="auto"/>
      </w:divBdr>
    </w:div>
    <w:div w:id="1117678480">
      <w:bodyDiv w:val="1"/>
      <w:marLeft w:val="0"/>
      <w:marRight w:val="0"/>
      <w:marTop w:val="0"/>
      <w:marBottom w:val="0"/>
      <w:divBdr>
        <w:top w:val="none" w:sz="0" w:space="0" w:color="auto"/>
        <w:left w:val="none" w:sz="0" w:space="0" w:color="auto"/>
        <w:bottom w:val="none" w:sz="0" w:space="0" w:color="auto"/>
        <w:right w:val="none" w:sz="0" w:space="0" w:color="auto"/>
      </w:divBdr>
    </w:div>
    <w:div w:id="1118332055">
      <w:bodyDiv w:val="1"/>
      <w:marLeft w:val="0"/>
      <w:marRight w:val="0"/>
      <w:marTop w:val="0"/>
      <w:marBottom w:val="0"/>
      <w:divBdr>
        <w:top w:val="none" w:sz="0" w:space="0" w:color="auto"/>
        <w:left w:val="none" w:sz="0" w:space="0" w:color="auto"/>
        <w:bottom w:val="none" w:sz="0" w:space="0" w:color="auto"/>
        <w:right w:val="none" w:sz="0" w:space="0" w:color="auto"/>
      </w:divBdr>
    </w:div>
    <w:div w:id="1148935544">
      <w:bodyDiv w:val="1"/>
      <w:marLeft w:val="0"/>
      <w:marRight w:val="0"/>
      <w:marTop w:val="0"/>
      <w:marBottom w:val="0"/>
      <w:divBdr>
        <w:top w:val="none" w:sz="0" w:space="0" w:color="auto"/>
        <w:left w:val="none" w:sz="0" w:space="0" w:color="auto"/>
        <w:bottom w:val="none" w:sz="0" w:space="0" w:color="auto"/>
        <w:right w:val="none" w:sz="0" w:space="0" w:color="auto"/>
      </w:divBdr>
    </w:div>
    <w:div w:id="1151217734">
      <w:bodyDiv w:val="1"/>
      <w:marLeft w:val="0"/>
      <w:marRight w:val="0"/>
      <w:marTop w:val="0"/>
      <w:marBottom w:val="0"/>
      <w:divBdr>
        <w:top w:val="none" w:sz="0" w:space="0" w:color="auto"/>
        <w:left w:val="none" w:sz="0" w:space="0" w:color="auto"/>
        <w:bottom w:val="none" w:sz="0" w:space="0" w:color="auto"/>
        <w:right w:val="none" w:sz="0" w:space="0" w:color="auto"/>
      </w:divBdr>
    </w:div>
    <w:div w:id="1162892300">
      <w:bodyDiv w:val="1"/>
      <w:marLeft w:val="0"/>
      <w:marRight w:val="0"/>
      <w:marTop w:val="0"/>
      <w:marBottom w:val="0"/>
      <w:divBdr>
        <w:top w:val="none" w:sz="0" w:space="0" w:color="auto"/>
        <w:left w:val="none" w:sz="0" w:space="0" w:color="auto"/>
        <w:bottom w:val="none" w:sz="0" w:space="0" w:color="auto"/>
        <w:right w:val="none" w:sz="0" w:space="0" w:color="auto"/>
      </w:divBdr>
    </w:div>
    <w:div w:id="1174346866">
      <w:bodyDiv w:val="1"/>
      <w:marLeft w:val="0"/>
      <w:marRight w:val="0"/>
      <w:marTop w:val="0"/>
      <w:marBottom w:val="0"/>
      <w:divBdr>
        <w:top w:val="none" w:sz="0" w:space="0" w:color="auto"/>
        <w:left w:val="none" w:sz="0" w:space="0" w:color="auto"/>
        <w:bottom w:val="none" w:sz="0" w:space="0" w:color="auto"/>
        <w:right w:val="none" w:sz="0" w:space="0" w:color="auto"/>
      </w:divBdr>
    </w:div>
    <w:div w:id="1216621854">
      <w:bodyDiv w:val="1"/>
      <w:marLeft w:val="0"/>
      <w:marRight w:val="0"/>
      <w:marTop w:val="0"/>
      <w:marBottom w:val="0"/>
      <w:divBdr>
        <w:top w:val="none" w:sz="0" w:space="0" w:color="auto"/>
        <w:left w:val="none" w:sz="0" w:space="0" w:color="auto"/>
        <w:bottom w:val="none" w:sz="0" w:space="0" w:color="auto"/>
        <w:right w:val="none" w:sz="0" w:space="0" w:color="auto"/>
      </w:divBdr>
    </w:div>
    <w:div w:id="1289971277">
      <w:bodyDiv w:val="1"/>
      <w:marLeft w:val="0"/>
      <w:marRight w:val="0"/>
      <w:marTop w:val="0"/>
      <w:marBottom w:val="0"/>
      <w:divBdr>
        <w:top w:val="none" w:sz="0" w:space="0" w:color="auto"/>
        <w:left w:val="none" w:sz="0" w:space="0" w:color="auto"/>
        <w:bottom w:val="none" w:sz="0" w:space="0" w:color="auto"/>
        <w:right w:val="none" w:sz="0" w:space="0" w:color="auto"/>
      </w:divBdr>
    </w:div>
    <w:div w:id="1334450748">
      <w:bodyDiv w:val="1"/>
      <w:marLeft w:val="0"/>
      <w:marRight w:val="0"/>
      <w:marTop w:val="0"/>
      <w:marBottom w:val="0"/>
      <w:divBdr>
        <w:top w:val="none" w:sz="0" w:space="0" w:color="auto"/>
        <w:left w:val="none" w:sz="0" w:space="0" w:color="auto"/>
        <w:bottom w:val="none" w:sz="0" w:space="0" w:color="auto"/>
        <w:right w:val="none" w:sz="0" w:space="0" w:color="auto"/>
      </w:divBdr>
    </w:div>
    <w:div w:id="1392000253">
      <w:bodyDiv w:val="1"/>
      <w:marLeft w:val="0"/>
      <w:marRight w:val="0"/>
      <w:marTop w:val="0"/>
      <w:marBottom w:val="0"/>
      <w:divBdr>
        <w:top w:val="none" w:sz="0" w:space="0" w:color="auto"/>
        <w:left w:val="none" w:sz="0" w:space="0" w:color="auto"/>
        <w:bottom w:val="none" w:sz="0" w:space="0" w:color="auto"/>
        <w:right w:val="none" w:sz="0" w:space="0" w:color="auto"/>
      </w:divBdr>
    </w:div>
    <w:div w:id="1467116522">
      <w:bodyDiv w:val="1"/>
      <w:marLeft w:val="0"/>
      <w:marRight w:val="0"/>
      <w:marTop w:val="0"/>
      <w:marBottom w:val="0"/>
      <w:divBdr>
        <w:top w:val="none" w:sz="0" w:space="0" w:color="auto"/>
        <w:left w:val="none" w:sz="0" w:space="0" w:color="auto"/>
        <w:bottom w:val="none" w:sz="0" w:space="0" w:color="auto"/>
        <w:right w:val="none" w:sz="0" w:space="0" w:color="auto"/>
      </w:divBdr>
    </w:div>
    <w:div w:id="1478064861">
      <w:bodyDiv w:val="1"/>
      <w:marLeft w:val="0"/>
      <w:marRight w:val="0"/>
      <w:marTop w:val="0"/>
      <w:marBottom w:val="0"/>
      <w:divBdr>
        <w:top w:val="none" w:sz="0" w:space="0" w:color="auto"/>
        <w:left w:val="none" w:sz="0" w:space="0" w:color="auto"/>
        <w:bottom w:val="none" w:sz="0" w:space="0" w:color="auto"/>
        <w:right w:val="none" w:sz="0" w:space="0" w:color="auto"/>
      </w:divBdr>
    </w:div>
    <w:div w:id="1484545709">
      <w:bodyDiv w:val="1"/>
      <w:marLeft w:val="0"/>
      <w:marRight w:val="0"/>
      <w:marTop w:val="0"/>
      <w:marBottom w:val="0"/>
      <w:divBdr>
        <w:top w:val="none" w:sz="0" w:space="0" w:color="auto"/>
        <w:left w:val="none" w:sz="0" w:space="0" w:color="auto"/>
        <w:bottom w:val="none" w:sz="0" w:space="0" w:color="auto"/>
        <w:right w:val="none" w:sz="0" w:space="0" w:color="auto"/>
      </w:divBdr>
    </w:div>
    <w:div w:id="1541476900">
      <w:bodyDiv w:val="1"/>
      <w:marLeft w:val="0"/>
      <w:marRight w:val="0"/>
      <w:marTop w:val="0"/>
      <w:marBottom w:val="0"/>
      <w:divBdr>
        <w:top w:val="none" w:sz="0" w:space="0" w:color="auto"/>
        <w:left w:val="none" w:sz="0" w:space="0" w:color="auto"/>
        <w:bottom w:val="none" w:sz="0" w:space="0" w:color="auto"/>
        <w:right w:val="none" w:sz="0" w:space="0" w:color="auto"/>
      </w:divBdr>
    </w:div>
    <w:div w:id="1563827447">
      <w:bodyDiv w:val="1"/>
      <w:marLeft w:val="0"/>
      <w:marRight w:val="0"/>
      <w:marTop w:val="0"/>
      <w:marBottom w:val="0"/>
      <w:divBdr>
        <w:top w:val="none" w:sz="0" w:space="0" w:color="auto"/>
        <w:left w:val="none" w:sz="0" w:space="0" w:color="auto"/>
        <w:bottom w:val="none" w:sz="0" w:space="0" w:color="auto"/>
        <w:right w:val="none" w:sz="0" w:space="0" w:color="auto"/>
      </w:divBdr>
    </w:div>
    <w:div w:id="1601449942">
      <w:bodyDiv w:val="1"/>
      <w:marLeft w:val="0"/>
      <w:marRight w:val="0"/>
      <w:marTop w:val="0"/>
      <w:marBottom w:val="0"/>
      <w:divBdr>
        <w:top w:val="none" w:sz="0" w:space="0" w:color="auto"/>
        <w:left w:val="none" w:sz="0" w:space="0" w:color="auto"/>
        <w:bottom w:val="none" w:sz="0" w:space="0" w:color="auto"/>
        <w:right w:val="none" w:sz="0" w:space="0" w:color="auto"/>
      </w:divBdr>
    </w:div>
    <w:div w:id="1602837851">
      <w:bodyDiv w:val="1"/>
      <w:marLeft w:val="0"/>
      <w:marRight w:val="0"/>
      <w:marTop w:val="0"/>
      <w:marBottom w:val="0"/>
      <w:divBdr>
        <w:top w:val="none" w:sz="0" w:space="0" w:color="auto"/>
        <w:left w:val="none" w:sz="0" w:space="0" w:color="auto"/>
        <w:bottom w:val="none" w:sz="0" w:space="0" w:color="auto"/>
        <w:right w:val="none" w:sz="0" w:space="0" w:color="auto"/>
      </w:divBdr>
    </w:div>
    <w:div w:id="1630211318">
      <w:bodyDiv w:val="1"/>
      <w:marLeft w:val="0"/>
      <w:marRight w:val="0"/>
      <w:marTop w:val="0"/>
      <w:marBottom w:val="0"/>
      <w:divBdr>
        <w:top w:val="none" w:sz="0" w:space="0" w:color="auto"/>
        <w:left w:val="none" w:sz="0" w:space="0" w:color="auto"/>
        <w:bottom w:val="none" w:sz="0" w:space="0" w:color="auto"/>
        <w:right w:val="none" w:sz="0" w:space="0" w:color="auto"/>
      </w:divBdr>
    </w:div>
    <w:div w:id="1633828522">
      <w:bodyDiv w:val="1"/>
      <w:marLeft w:val="0"/>
      <w:marRight w:val="0"/>
      <w:marTop w:val="0"/>
      <w:marBottom w:val="0"/>
      <w:divBdr>
        <w:top w:val="none" w:sz="0" w:space="0" w:color="auto"/>
        <w:left w:val="none" w:sz="0" w:space="0" w:color="auto"/>
        <w:bottom w:val="none" w:sz="0" w:space="0" w:color="auto"/>
        <w:right w:val="none" w:sz="0" w:space="0" w:color="auto"/>
      </w:divBdr>
    </w:div>
    <w:div w:id="1637834512">
      <w:bodyDiv w:val="1"/>
      <w:marLeft w:val="0"/>
      <w:marRight w:val="0"/>
      <w:marTop w:val="0"/>
      <w:marBottom w:val="0"/>
      <w:divBdr>
        <w:top w:val="none" w:sz="0" w:space="0" w:color="auto"/>
        <w:left w:val="none" w:sz="0" w:space="0" w:color="auto"/>
        <w:bottom w:val="none" w:sz="0" w:space="0" w:color="auto"/>
        <w:right w:val="none" w:sz="0" w:space="0" w:color="auto"/>
      </w:divBdr>
    </w:div>
    <w:div w:id="1647200985">
      <w:bodyDiv w:val="1"/>
      <w:marLeft w:val="0"/>
      <w:marRight w:val="0"/>
      <w:marTop w:val="0"/>
      <w:marBottom w:val="0"/>
      <w:divBdr>
        <w:top w:val="none" w:sz="0" w:space="0" w:color="auto"/>
        <w:left w:val="none" w:sz="0" w:space="0" w:color="auto"/>
        <w:bottom w:val="none" w:sz="0" w:space="0" w:color="auto"/>
        <w:right w:val="none" w:sz="0" w:space="0" w:color="auto"/>
      </w:divBdr>
    </w:div>
    <w:div w:id="1713113287">
      <w:bodyDiv w:val="1"/>
      <w:marLeft w:val="0"/>
      <w:marRight w:val="0"/>
      <w:marTop w:val="0"/>
      <w:marBottom w:val="0"/>
      <w:divBdr>
        <w:top w:val="none" w:sz="0" w:space="0" w:color="auto"/>
        <w:left w:val="none" w:sz="0" w:space="0" w:color="auto"/>
        <w:bottom w:val="none" w:sz="0" w:space="0" w:color="auto"/>
        <w:right w:val="none" w:sz="0" w:space="0" w:color="auto"/>
      </w:divBdr>
    </w:div>
    <w:div w:id="1713573969">
      <w:bodyDiv w:val="1"/>
      <w:marLeft w:val="0"/>
      <w:marRight w:val="0"/>
      <w:marTop w:val="0"/>
      <w:marBottom w:val="0"/>
      <w:divBdr>
        <w:top w:val="none" w:sz="0" w:space="0" w:color="auto"/>
        <w:left w:val="none" w:sz="0" w:space="0" w:color="auto"/>
        <w:bottom w:val="none" w:sz="0" w:space="0" w:color="auto"/>
        <w:right w:val="none" w:sz="0" w:space="0" w:color="auto"/>
      </w:divBdr>
      <w:divsChild>
        <w:div w:id="1667630203">
          <w:marLeft w:val="0"/>
          <w:marRight w:val="0"/>
          <w:marTop w:val="0"/>
          <w:marBottom w:val="0"/>
          <w:divBdr>
            <w:top w:val="none" w:sz="0" w:space="0" w:color="auto"/>
            <w:left w:val="none" w:sz="0" w:space="0" w:color="auto"/>
            <w:bottom w:val="none" w:sz="0" w:space="0" w:color="auto"/>
            <w:right w:val="none" w:sz="0" w:space="0" w:color="auto"/>
          </w:divBdr>
          <w:divsChild>
            <w:div w:id="98889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80167">
      <w:bodyDiv w:val="1"/>
      <w:marLeft w:val="0"/>
      <w:marRight w:val="0"/>
      <w:marTop w:val="0"/>
      <w:marBottom w:val="0"/>
      <w:divBdr>
        <w:top w:val="none" w:sz="0" w:space="0" w:color="auto"/>
        <w:left w:val="none" w:sz="0" w:space="0" w:color="auto"/>
        <w:bottom w:val="none" w:sz="0" w:space="0" w:color="auto"/>
        <w:right w:val="none" w:sz="0" w:space="0" w:color="auto"/>
      </w:divBdr>
    </w:div>
    <w:div w:id="1790660638">
      <w:bodyDiv w:val="1"/>
      <w:marLeft w:val="0"/>
      <w:marRight w:val="0"/>
      <w:marTop w:val="0"/>
      <w:marBottom w:val="0"/>
      <w:divBdr>
        <w:top w:val="none" w:sz="0" w:space="0" w:color="auto"/>
        <w:left w:val="none" w:sz="0" w:space="0" w:color="auto"/>
        <w:bottom w:val="none" w:sz="0" w:space="0" w:color="auto"/>
        <w:right w:val="none" w:sz="0" w:space="0" w:color="auto"/>
      </w:divBdr>
    </w:div>
    <w:div w:id="1796830264">
      <w:bodyDiv w:val="1"/>
      <w:marLeft w:val="0"/>
      <w:marRight w:val="0"/>
      <w:marTop w:val="0"/>
      <w:marBottom w:val="0"/>
      <w:divBdr>
        <w:top w:val="none" w:sz="0" w:space="0" w:color="auto"/>
        <w:left w:val="none" w:sz="0" w:space="0" w:color="auto"/>
        <w:bottom w:val="none" w:sz="0" w:space="0" w:color="auto"/>
        <w:right w:val="none" w:sz="0" w:space="0" w:color="auto"/>
      </w:divBdr>
    </w:div>
    <w:div w:id="1820731077">
      <w:bodyDiv w:val="1"/>
      <w:marLeft w:val="0"/>
      <w:marRight w:val="0"/>
      <w:marTop w:val="0"/>
      <w:marBottom w:val="0"/>
      <w:divBdr>
        <w:top w:val="none" w:sz="0" w:space="0" w:color="auto"/>
        <w:left w:val="none" w:sz="0" w:space="0" w:color="auto"/>
        <w:bottom w:val="none" w:sz="0" w:space="0" w:color="auto"/>
        <w:right w:val="none" w:sz="0" w:space="0" w:color="auto"/>
      </w:divBdr>
    </w:div>
    <w:div w:id="1828203167">
      <w:bodyDiv w:val="1"/>
      <w:marLeft w:val="0"/>
      <w:marRight w:val="0"/>
      <w:marTop w:val="0"/>
      <w:marBottom w:val="0"/>
      <w:divBdr>
        <w:top w:val="none" w:sz="0" w:space="0" w:color="auto"/>
        <w:left w:val="none" w:sz="0" w:space="0" w:color="auto"/>
        <w:bottom w:val="none" w:sz="0" w:space="0" w:color="auto"/>
        <w:right w:val="none" w:sz="0" w:space="0" w:color="auto"/>
      </w:divBdr>
    </w:div>
    <w:div w:id="1841845750">
      <w:bodyDiv w:val="1"/>
      <w:marLeft w:val="0"/>
      <w:marRight w:val="0"/>
      <w:marTop w:val="0"/>
      <w:marBottom w:val="0"/>
      <w:divBdr>
        <w:top w:val="none" w:sz="0" w:space="0" w:color="auto"/>
        <w:left w:val="none" w:sz="0" w:space="0" w:color="auto"/>
        <w:bottom w:val="none" w:sz="0" w:space="0" w:color="auto"/>
        <w:right w:val="none" w:sz="0" w:space="0" w:color="auto"/>
      </w:divBdr>
    </w:div>
    <w:div w:id="1896119751">
      <w:bodyDiv w:val="1"/>
      <w:marLeft w:val="0"/>
      <w:marRight w:val="0"/>
      <w:marTop w:val="0"/>
      <w:marBottom w:val="0"/>
      <w:divBdr>
        <w:top w:val="none" w:sz="0" w:space="0" w:color="auto"/>
        <w:left w:val="none" w:sz="0" w:space="0" w:color="auto"/>
        <w:bottom w:val="none" w:sz="0" w:space="0" w:color="auto"/>
        <w:right w:val="none" w:sz="0" w:space="0" w:color="auto"/>
      </w:divBdr>
    </w:div>
    <w:div w:id="1903560262">
      <w:bodyDiv w:val="1"/>
      <w:marLeft w:val="0"/>
      <w:marRight w:val="0"/>
      <w:marTop w:val="0"/>
      <w:marBottom w:val="0"/>
      <w:divBdr>
        <w:top w:val="none" w:sz="0" w:space="0" w:color="auto"/>
        <w:left w:val="none" w:sz="0" w:space="0" w:color="auto"/>
        <w:bottom w:val="none" w:sz="0" w:space="0" w:color="auto"/>
        <w:right w:val="none" w:sz="0" w:space="0" w:color="auto"/>
      </w:divBdr>
    </w:div>
    <w:div w:id="2071880685">
      <w:bodyDiv w:val="1"/>
      <w:marLeft w:val="0"/>
      <w:marRight w:val="0"/>
      <w:marTop w:val="0"/>
      <w:marBottom w:val="0"/>
      <w:divBdr>
        <w:top w:val="none" w:sz="0" w:space="0" w:color="auto"/>
        <w:left w:val="none" w:sz="0" w:space="0" w:color="auto"/>
        <w:bottom w:val="none" w:sz="0" w:space="0" w:color="auto"/>
        <w:right w:val="none" w:sz="0" w:space="0" w:color="auto"/>
      </w:divBdr>
    </w:div>
    <w:div w:id="2145466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Sch10</b:Tag>
    <b:SourceType>JournalArticle</b:SourceType>
    <b:Guid>{66638ABF-D3F7-1140-97B2-E9A65D9FB08B}</b:Guid>
    <b:Title>Can There Ever Be Too Many Options? A Meta-Analytic Review of Choice Overload</b:Title>
    <b:Year>2010</b:Year>
    <b:Month>October</b:Month>
    <b:Day>10</b:Day>
    <b:JournalName>Journal of Consumer Research</b:JournalName>
    <b:Pages>409–425</b:Pages>
    <b:Author>
      <b:Author>
        <b:NameList>
          <b:Person>
            <b:Last>Scheibehenne </b:Last>
            <b:First>Benjamin</b:First>
          </b:Person>
          <b:Person>
            <b:Last>Greifeneder </b:Last>
            <b:First>Rainer</b:First>
          </b:Person>
          <b:Person>
            <b:Last>Todd</b:Last>
            <b:Middle>M. </b:Middle>
            <b:First>Peter</b:First>
          </b:Person>
        </b:NameList>
      </b:Author>
    </b:Author>
    <b:Volume>37</b:Volume>
    <b:Issue>3</b:Issue>
    <b:RefOrder>1</b:RefOrder>
  </b:Source>
  <b:Source>
    <b:Tag>Kös15</b:Tag>
    <b:SourceType>JournalArticle</b:SourceType>
    <b:Guid>{1445B4E2-5C4D-EE42-9293-909399EEC1EC}</b:Guid>
    <b:Title>From mood to food and from food to mood: A psychological perspective on the measurement of food-related emotions in consumer research</b:Title>
    <b:JournalName>Food Research International</b:JournalName>
    <b:Year>2015</b:Year>
    <b:Pages>180-191</b:Pages>
    <b:Publisher>Elsvier</b:Publisher>
    <b:Month>October</b:Month>
    <b:Volume>76</b:Volume>
    <b:Issue>2</b:Issue>
    <b:Author>
      <b:Author>
        <b:NameList>
          <b:Person>
            <b:Last>Köster</b:Last>
            <b:Middle>P</b:Middle>
            <b:First>Egon</b:First>
          </b:Person>
          <b:Person>
            <b:Last>Mojet </b:Last>
            <b:First>Jozina</b:First>
          </b:Person>
        </b:NameList>
      </b:Author>
    </b:Author>
    <b:RefOrder>2</b:RefOrder>
  </b:Source>
  <b:Source>
    <b:Tag>Lee03</b:Tag>
    <b:SourceType>Book</b:SourceType>
    <b:Guid>{9BFD3775-FD28-6748-B342-D71E226EC4F9}</b:Guid>
    <b:Title>Introduction to Human Factors Engineering (2nd Edition)</b:Title>
    <b:Year>2003</b:Year>
    <b:City>Upper Saddle River</b:City>
    <b:Publisher>Pearson</b:Publisher>
    <b:StateProvince>NJ</b:StateProvince>
    <b:CountryRegion>USA</b:CountryRegion>
    <b:Author>
      <b:Author>
        <b:NameList>
          <b:Person>
            <b:Last>Lee  </b:Last>
            <b:Middle>D</b:Middle>
            <b:First>John</b:First>
          </b:Person>
          <b:Person>
            <b:Last>Gordon-Becker</b:Last>
            <b:First>Sallie</b:First>
          </b:Person>
          <b:Person>
            <b:Last>Liu</b:Last>
            <b:First>Yili</b:First>
          </b:Person>
          <b:Person>
            <b:Last>Wickens </b:Last>
            <b:Middle>D</b:Middle>
            <b:First>Christopher</b:First>
          </b:Person>
        </b:NameList>
      </b:Author>
    </b:Author>
    <b:RefOrder>3</b:RefOrder>
  </b:Source>
  <b:Source>
    <b:Tag>Pic97</b:Tag>
    <b:SourceType>Book</b:SourceType>
    <b:Guid>{B5CA236E-DE96-1444-9E16-90F527054B42}</b:Guid>
    <b:Title>Affective Computing</b:Title>
    <b:Publisher>The MIT Press </b:Publisher>
    <b:Year>1997</b:Year>
    <b:Author>
      <b:Author>
        <b:NameList>
          <b:Person>
            <b:Last>Picard</b:Last>
            <b:Middle>W</b:Middle>
            <b:First>Rosalind</b:First>
          </b:Person>
        </b:NameList>
      </b:Author>
    </b:Author>
    <b:RefOrder>4</b:RefOrder>
  </b:Source>
  <b:Source>
    <b:Tag>Cal15</b:Tag>
    <b:SourceType>Book</b:SourceType>
    <b:Guid>{6FC764A4-5D85-4CC0-B319-45043D6FA844}</b:Guid>
    <b:Author>
      <b:Author>
        <b:NameList>
          <b:Person>
            <b:Last>Calvo</b:Last>
            <b:First>R.A.</b:First>
          </b:Person>
          <b:Person>
            <b:Last>D'Mello</b:Last>
            <b:First>S.</b:First>
          </b:Person>
          <b:Person>
            <b:Last>Gratch</b:Last>
            <b:First>J.</b:First>
          </b:Person>
          <b:Person>
            <b:Last>Kappas</b:Last>
            <b:First>A.</b:First>
            <b:Middle>(Eds.)</b:Middle>
          </b:Person>
        </b:NameList>
      </b:Author>
    </b:Author>
    <b:Title> The Oxford Handbook of Affective Computing: Oxford</b:Title>
    <b:Year>2015</b:Year>
    <b:City>UK</b:City>
    <b:Publisher>; Oxford University Press</b:Publisher>
    <b:RefOrder>5</b:RefOrder>
  </b:Source>
  <b:Source>
    <b:Tag>Iye00</b:Tag>
    <b:SourceType>JournalArticle</b:SourceType>
    <b:Guid>{C2338836-D4AB-4EE1-BF1C-32301643C1BB}</b:Guid>
    <b:Title>When choice is demotivating: Can one desire too much of a good thing? </b:Title>
    <b:Year>2000</b:Year>
    <b:Author>
      <b:Author>
        <b:NameList>
          <b:Person>
            <b:Last>Iyengar</b:Last>
            <b:First>S.S.</b:First>
          </b:Person>
          <b:Person>
            <b:Last>Lepper</b:Last>
            <b:First>M.R.</b:First>
          </b:Person>
        </b:NameList>
      </b:Author>
    </b:Author>
    <b:JournalName>J. Pers. Soc. Psychol. </b:JournalName>
    <b:Pages>79, 995–1006</b:Pages>
    <b:RefOrder>6</b:RefOrder>
  </b:Source>
  <b:Source>
    <b:Tag>Sch04</b:Tag>
    <b:SourceType>Book</b:SourceType>
    <b:Guid>{E5D383C2-EE86-41AA-B54D-04E23EAF4537}</b:Guid>
    <b:Title> The Paradox of Choice: Why More Is Less; Harper Perennial: </b:Title>
    <b:Year> 2004</b:Year>
    <b:Author>
      <b:Author>
        <b:NameList>
          <b:Person>
            <b:Last>Schwartz</b:Last>
            <b:First>B.</b:First>
          </b:Person>
        </b:NameList>
      </b:Author>
    </b:Author>
    <b:City>New York, NY, USA,</b:City>
    <b:Publisher>ECCO</b:Publisher>
    <b:RefOrder>7</b:RefOrder>
  </b:Source>
  <b:Source>
    <b:Tag>Gib061</b:Tag>
    <b:SourceType>JournalArticle</b:SourceType>
    <b:Guid>{C31494AF-6A73-47A9-81D1-B89F50C58EEF}</b:Guid>
    <b:Author>
      <b:Author>
        <b:NameList>
          <b:Person>
            <b:Last>Gibson</b:Last>
            <b:First>E.L.</b:First>
          </b:Person>
        </b:NameList>
      </b:Author>
    </b:Author>
    <b:Title>Emotional influences on food choice: Sensory, physiological and psychological pathways. </b:Title>
    <b:JournalName>Physiol. Behav. </b:JournalName>
    <b:Year>2006,</b:Year>
    <b:Pages> 89, 53–61</b:Pages>
    <b:RefOrder>8</b:RefOrder>
  </b:Source>
  <b:Source>
    <b:Tag>Nor04</b:Tag>
    <b:SourceType>Book</b:SourceType>
    <b:Guid>{BAE65C42-D870-4FD8-B15D-4E9C57EBF008}</b:Guid>
    <b:Author>
      <b:Author>
        <b:NameList>
          <b:Person>
            <b:Last>Norman</b:Last>
            <b:First>D.A.</b:First>
          </b:Person>
        </b:NameList>
      </b:Author>
    </b:Author>
    <b:Title>Emotional Design: Why We Love (or Hate) Everyday Things; </b:Title>
    <b:Year> 2004.</b:Year>
    <b:City> New York, NY, USA,</b:City>
    <b:Publisher>Basic Books:</b:Publisher>
    <b:RefOrder>9</b:RefOrder>
  </b:Source>
  <b:Source>
    <b:Tag>Ise87</b:Tag>
    <b:SourceType>JournalArticle</b:SourceType>
    <b:Guid>{451505C7-7AE9-4F43-B2DC-022621F861DB}</b:Guid>
    <b:Title>Positive affect, cognitive processes, and social behavior. </b:Title>
    <b:Year>1987,</b:Year>
    <b:Author>
      <b:Author>
        <b:NameList>
          <b:Person>
            <b:Last>Isen</b:Last>
            <b:First>A.M.</b:First>
          </b:Person>
        </b:NameList>
      </b:Author>
    </b:Author>
    <b:JournalName>Adv. Exp. Soc. Psychol.  </b:JournalName>
    <b:Pages>20, 203–253</b:Pages>
    <b:RefOrder>10</b:RefOrder>
  </b:Source>
  <b:Source>
    <b:Tag>Woo09</b:Tag>
    <b:SourceType>Book</b:SourceType>
    <b:Guid>{8AAAEBF4-7762-419B-A26C-198976168493}</b:Guid>
    <b:Title>An Introduction to MultiAgent Systems, 2nd ed.;  </b:Title>
    <b:Year>2009.</b:Year>
    <b:Author>
      <b:Author>
        <b:NameList>
          <b:Person>
            <b:Last>Wooldridge</b:Last>
            <b:First>M.</b:First>
          </b:Person>
        </b:NameList>
      </b:Author>
    </b:Author>
    <b:City>Chichester, UK, </b:City>
    <b:Publisher>John Wiley &amp; Sons:</b:Publisher>
    <b:RefOrder>11</b:RefOrder>
  </b:Source>
  <b:Source>
    <b:Tag>Laz17</b:Tag>
    <b:SourceType>Book</b:SourceType>
    <b:Guid>{5A8D771A-FE08-43A7-B329-F75FCF833CF3}</b:Guid>
    <b:Author>
      <b:Author>
        <b:NameList>
          <b:Person>
            <b:Last>Lazar</b:Last>
            <b:First>J.</b:First>
          </b:Person>
          <b:Person>
            <b:Last>Feng</b:Last>
            <b:First>J.H.</b:First>
          </b:Person>
          <b:Person>
            <b:Last>Hochheiser</b:Last>
            <b:First>H.</b:First>
            <b:Middle>R</b:Middle>
          </b:Person>
        </b:NameList>
      </b:Author>
    </b:Author>
    <b:Title>esearch Methods in Human-Computer Interaction, 2nd ed.</b:Title>
    <b:Year> 2017</b:Year>
    <b:City>Cambridge, MA, USA,</b:City>
    <b:Publisher> Morgan Kaufmann: </b:Publisher>
    <b:RefOrder>12</b:RefOrder>
  </b:Source>
  <b:Source>
    <b:Tag>Cai08</b:Tag>
    <b:SourceType>Book</b:SourceType>
    <b:Guid>{E02EFCF8-34F8-470A-B4D3-7218ADB58538}</b:Guid>
    <b:Author>
      <b:Author>
        <b:NameList>
          <b:Person>
            <b:Last>Cairns</b:Last>
            <b:First>P.</b:First>
          </b:Person>
          <b:Person>
            <b:Last>Cox</b:Last>
            <b:First>A.L.</b:First>
          </b:Person>
        </b:NameList>
      </b:Author>
    </b:Author>
    <b:Title>Research Methods for Human-Computer Interaction</b:Title>
    <b:Year> 2008</b:Year>
    <b:City> Cambridge, UK,</b:City>
    <b:Publisher>Cambridge University Press:</b:Publisher>
    <b:RefOrder>13</b:RefOrder>
  </b:Source>
  <b:Source>
    <b:Tag>Rus20</b:Tag>
    <b:SourceType>Book</b:SourceType>
    <b:Guid>{69799ECB-827F-43E3-B8D6-2B7D8D115F96}</b:Guid>
    <b:Author>
      <b:Author>
        <b:NameList>
          <b:Person>
            <b:Last>Russell</b:Last>
            <b:First>S.</b:First>
          </b:Person>
          <b:Person>
            <b:Last>Norvig</b:Last>
            <b:First>P.</b:First>
          </b:Person>
        </b:NameList>
      </b:Author>
    </b:Author>
    <b:Title>Artificial Intelligence: A Modern Approach, 4th ed.</b:Title>
    <b:Year>2020.</b:Year>
    <b:City> Boston, MA, USA, </b:City>
    <b:Publisher>Pearson</b:Publisher>
    <b:RefOrder>17</b:RefOrder>
  </b:Source>
  <b:Source>
    <b:Tag>Ekm78</b:Tag>
    <b:SourceType>Book</b:SourceType>
    <b:Guid>{9FC64D1B-5821-49DF-AC18-B0E5D4FACFD4}</b:Guid>
    <b:Author>
      <b:Author>
        <b:NameList>
          <b:Person>
            <b:Last>Ekman</b:Last>
            <b:First>P.</b:First>
          </b:Person>
          <b:Person>
            <b:Last>Friesen</b:Last>
            <b:First>W.V.</b:First>
          </b:Person>
        </b:NameList>
      </b:Author>
    </b:Author>
    <b:Title>Facial Action Coding System: A Technique for the Measurement of Facial Movement</b:Title>
    <b:Year>1978</b:Year>
    <b:City> Palo Alto, CA, USA, </b:City>
    <b:Publisher>Consulting Psychologists Press:</b:Publisher>
    <b:RefOrder>14</b:RefOrder>
  </b:Source>
  <b:Source>
    <b:Tag>Har88</b:Tag>
    <b:SourceType>JournalArticle</b:SourceType>
    <b:Guid>{C41BD0F1-E352-47CD-8591-8926E0EC32A1}</b:Guid>
    <b:Title>Development of NASA-TLX (Task Load Index): Results of empirical and theoretical research. Hum. Ment. Workload </b:Title>
    <b:Year>1988</b:Year>
    <b:Author>
      <b:Author>
        <b:NameList>
          <b:Person>
            <b:Last>Hart</b:Last>
            <b:First>S.G.</b:First>
          </b:Person>
          <b:Person>
            <b:Last>Staveland</b:Last>
            <b:First>L.E.</b:First>
          </b:Person>
        </b:NameList>
      </b:Author>
    </b:Author>
    <b:JournalName>Advances in psychology</b:JournalName>
    <b:Pages>1, 139–183</b:Pages>
    <b:RefOrder>15</b:RefOrder>
  </b:Source>
  <b:Source>
    <b:Tag>Bro96</b:Tag>
    <b:SourceType>BookSection</b:SourceType>
    <b:Guid>{6AF18B8A-5D40-4094-85FF-84CF84BF75E0}</b:Guid>
    <b:Title> SUS: A 'quick and dirty' usability scale.</b:Title>
    <b:BookTitle> In Usability Evaluation in Industry; Jordan, P.W., Thomas, B., Weerdmeester, B.A., McClelland, I.L., Eds.</b:BookTitle>
    <b:Year>1996</b:Year>
    <b:Pages>189–194</b:Pages>
    <b:City> London, UK</b:City>
    <b:Publisher>Taylor &amp; Francis</b:Publisher>
    <b:Author>
      <b:Author>
        <b:NameList>
          <b:Person>
            <b:Last>Brooke</b:Last>
            <b:First>J.</b:First>
          </b:Person>
        </b:NameList>
      </b:Author>
      <b:BookAuthor>
        <b:NameList>
          <b:Person>
            <b:Last>Brooke</b:Last>
            <b:First>J.</b:First>
          </b:Person>
        </b:NameList>
      </b:BookAuthor>
    </b:Author>
    <b:RefOrder>16</b:RefOrder>
  </b:Source>
</b:Sources>
</file>

<file path=customXml/itemProps1.xml><?xml version="1.0" encoding="utf-8"?>
<ds:datastoreItem xmlns:ds="http://schemas.openxmlformats.org/officeDocument/2006/customXml" ds:itemID="{AE7508D5-1668-6245-98E2-1D3DF6411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16</Pages>
  <Words>6137</Words>
  <Characters>34983</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Saumil R Patel</dc:creator>
  <cp:keywords/>
  <dc:description/>
  <cp:lastModifiedBy>Saumil R Patel</cp:lastModifiedBy>
  <cp:revision>9</cp:revision>
  <dcterms:created xsi:type="dcterms:W3CDTF">2025-06-23T11:02:00Z</dcterms:created>
  <dcterms:modified xsi:type="dcterms:W3CDTF">2025-07-06T19:05:00Z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fd11563c-762a-465f-b0d0-13082d3132d9</vt:lpwstr>
  </property>
  <property fmtid="{D5CDD505-2E9C-101B-9397-08002B2CF9AE}" pid="3" name="ZOTERO_PREF_1">
    <vt:lpwstr>&lt;data data-version="3" zotero-version="7.0.15"&gt;&lt;session id="O5EDnkqd"/&gt;&lt;style id="http://www.zotero.org/styles/apa" locale="en-US" hasBibliography="1" bibliographyStyleHasBeenSet="0"/&gt;&lt;prefs&gt;&lt;pref name="fieldType" value="Field"/&gt;&lt;pref name="automaticJourn</vt:lpwstr>
  </property>
  <property fmtid="{D5CDD505-2E9C-101B-9397-08002B2CF9AE}" pid="4" name="ZOTERO_PREF_2">
    <vt:lpwstr>alAbbreviations" value="true"/&gt;&lt;/prefs&gt;&lt;/data&gt;</vt:lpwstr>
  </property>
</Properties>
</file>