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C9F" w:rsidRDefault="00C02649" w:rsidP="006026AC">
      <w:pPr>
        <w:rPr>
          <w:rFonts w:ascii="Times New Roman" w:hAnsi="Times New Roman" w:cs="Times New Roman"/>
          <w:sz w:val="24"/>
          <w:szCs w:val="24"/>
        </w:rPr>
      </w:pPr>
      <w:r>
        <w:rPr>
          <w:rFonts w:ascii="Times New Roman" w:hAnsi="Times New Roman" w:cs="Times New Roman"/>
          <w:sz w:val="24"/>
          <w:szCs w:val="24"/>
        </w:rPr>
        <w:tab/>
        <w:t>STEM degrees (Science, Technology, Engineering, and Math) are notorious for their difficulty.  In the attempt to encourage more students to try for these programs, it is important to identify what features of the academic environment discourage aspiring students to eventually switch out.  Calculus I and II are fundamental math courses that are required in almost every STEM discipline.  To achieve our goal to identify what causes people to switch majors, we will look to see how often students entering Calculus I and aspiring to take Calculus II and beyond switch out of the Calculus track and why.</w:t>
      </w:r>
    </w:p>
    <w:p w:rsidR="006026AC" w:rsidRPr="008A3692" w:rsidRDefault="00316795" w:rsidP="00B7282C">
      <w:pPr>
        <w:ind w:firstLine="720"/>
        <w:rPr>
          <w:rFonts w:ascii="Times New Roman" w:hAnsi="Times New Roman" w:cs="Times New Roman"/>
          <w:sz w:val="24"/>
          <w:szCs w:val="24"/>
        </w:rPr>
      </w:pPr>
      <w:r w:rsidRPr="008A3692">
        <w:rPr>
          <w:rFonts w:ascii="Times New Roman" w:hAnsi="Times New Roman" w:cs="Times New Roman"/>
          <w:sz w:val="24"/>
          <w:szCs w:val="24"/>
        </w:rPr>
        <w:t xml:space="preserve">The response variable is </w:t>
      </w:r>
      <w:r w:rsidR="00580202" w:rsidRPr="008A3692">
        <w:rPr>
          <w:rFonts w:ascii="Times New Roman" w:hAnsi="Times New Roman" w:cs="Times New Roman"/>
          <w:sz w:val="24"/>
          <w:szCs w:val="24"/>
        </w:rPr>
        <w:t xml:space="preserve">whether a student is a switcher from calculus or a </w:t>
      </w:r>
      <w:proofErr w:type="spellStart"/>
      <w:r w:rsidR="00580202" w:rsidRPr="008A3692">
        <w:rPr>
          <w:rFonts w:ascii="Times New Roman" w:hAnsi="Times New Roman" w:cs="Times New Roman"/>
          <w:sz w:val="24"/>
          <w:szCs w:val="24"/>
        </w:rPr>
        <w:t>persist</w:t>
      </w:r>
      <w:r w:rsidR="00AB5EE3">
        <w:rPr>
          <w:rFonts w:ascii="Times New Roman" w:hAnsi="Times New Roman" w:cs="Times New Roman"/>
          <w:sz w:val="24"/>
          <w:szCs w:val="24"/>
        </w:rPr>
        <w:t>e</w:t>
      </w:r>
      <w:r w:rsidR="00580202" w:rsidRPr="008A3692">
        <w:rPr>
          <w:rFonts w:ascii="Times New Roman" w:hAnsi="Times New Roman" w:cs="Times New Roman"/>
          <w:sz w:val="24"/>
          <w:szCs w:val="24"/>
        </w:rPr>
        <w:t>r</w:t>
      </w:r>
      <w:proofErr w:type="spellEnd"/>
      <w:r w:rsidR="00580202" w:rsidRPr="008A3692">
        <w:rPr>
          <w:rFonts w:ascii="Times New Roman" w:hAnsi="Times New Roman" w:cs="Times New Roman"/>
          <w:sz w:val="24"/>
          <w:szCs w:val="24"/>
        </w:rPr>
        <w:t xml:space="preserve"> in calculus</w:t>
      </w:r>
      <w:r w:rsidR="00986B1B" w:rsidRPr="008A3692">
        <w:rPr>
          <w:rFonts w:ascii="Times New Roman" w:hAnsi="Times New Roman" w:cs="Times New Roman"/>
          <w:sz w:val="24"/>
          <w:szCs w:val="24"/>
        </w:rPr>
        <w:t xml:space="preserve"> (</w:t>
      </w:r>
      <w:r w:rsidR="00986B1B" w:rsidRPr="008A3692">
        <w:rPr>
          <w:rFonts w:ascii="Times New Roman" w:hAnsi="Times New Roman" w:cs="Times New Roman"/>
          <w:i/>
          <w:sz w:val="24"/>
          <w:szCs w:val="24"/>
        </w:rPr>
        <w:t>Switcher)</w:t>
      </w:r>
      <w:r w:rsidR="00580202" w:rsidRPr="008A3692">
        <w:rPr>
          <w:rFonts w:ascii="Times New Roman" w:hAnsi="Times New Roman" w:cs="Times New Roman"/>
          <w:sz w:val="24"/>
          <w:szCs w:val="24"/>
        </w:rPr>
        <w:t xml:space="preserve">, which is a qualitative variable.  The quantitative explanatory variables are </w:t>
      </w:r>
      <w:r w:rsidR="00986B1B" w:rsidRPr="008A3692">
        <w:rPr>
          <w:rFonts w:ascii="Times New Roman" w:hAnsi="Times New Roman" w:cs="Times New Roman"/>
          <w:sz w:val="24"/>
          <w:szCs w:val="24"/>
        </w:rPr>
        <w:t>standardized test scores (</w:t>
      </w:r>
      <w:proofErr w:type="spellStart"/>
      <w:r w:rsidR="00986B1B" w:rsidRPr="008A3692">
        <w:rPr>
          <w:rFonts w:ascii="Times New Roman" w:hAnsi="Times New Roman" w:cs="Times New Roman"/>
          <w:i/>
          <w:sz w:val="24"/>
          <w:szCs w:val="24"/>
        </w:rPr>
        <w:t>StandardizedTest</w:t>
      </w:r>
      <w:proofErr w:type="spellEnd"/>
      <w:r w:rsidR="00986B1B" w:rsidRPr="008A3692">
        <w:rPr>
          <w:rFonts w:ascii="Times New Roman" w:hAnsi="Times New Roman" w:cs="Times New Roman"/>
          <w:i/>
          <w:sz w:val="24"/>
          <w:szCs w:val="24"/>
        </w:rPr>
        <w:t>)</w:t>
      </w:r>
      <w:r w:rsidR="00986B1B" w:rsidRPr="008A3692">
        <w:rPr>
          <w:rFonts w:ascii="Times New Roman" w:hAnsi="Times New Roman" w:cs="Times New Roman"/>
          <w:sz w:val="24"/>
          <w:szCs w:val="24"/>
        </w:rPr>
        <w:t>, instructor quality on a scale from 1 to 6 (</w:t>
      </w:r>
      <w:r w:rsidR="00986B1B" w:rsidRPr="008A3692">
        <w:rPr>
          <w:rFonts w:ascii="Times New Roman" w:hAnsi="Times New Roman" w:cs="Times New Roman"/>
          <w:i/>
          <w:sz w:val="24"/>
          <w:szCs w:val="24"/>
        </w:rPr>
        <w:t xml:space="preserve">Teacher), </w:t>
      </w:r>
      <w:r w:rsidR="00986B1B" w:rsidRPr="008A3692">
        <w:rPr>
          <w:rFonts w:ascii="Times New Roman" w:hAnsi="Times New Roman" w:cs="Times New Roman"/>
          <w:sz w:val="24"/>
          <w:szCs w:val="24"/>
        </w:rPr>
        <w:t>and student-centered practices (</w:t>
      </w:r>
      <w:proofErr w:type="spellStart"/>
      <w:r w:rsidR="00986B1B" w:rsidRPr="008A3692">
        <w:rPr>
          <w:rFonts w:ascii="Times New Roman" w:hAnsi="Times New Roman" w:cs="Times New Roman"/>
          <w:i/>
          <w:sz w:val="24"/>
          <w:szCs w:val="24"/>
        </w:rPr>
        <w:t>ClassPractice</w:t>
      </w:r>
      <w:proofErr w:type="spellEnd"/>
      <w:r w:rsidR="00986B1B" w:rsidRPr="008A3692">
        <w:rPr>
          <w:rFonts w:ascii="Times New Roman" w:hAnsi="Times New Roman" w:cs="Times New Roman"/>
          <w:i/>
          <w:sz w:val="24"/>
          <w:szCs w:val="24"/>
        </w:rPr>
        <w:t>)</w:t>
      </w:r>
      <w:r w:rsidR="00986B1B" w:rsidRPr="008A3692">
        <w:rPr>
          <w:rFonts w:ascii="Times New Roman" w:hAnsi="Times New Roman" w:cs="Times New Roman"/>
          <w:sz w:val="24"/>
          <w:szCs w:val="24"/>
        </w:rPr>
        <w:t xml:space="preserve">.  The qualitative explanatory variables are a student’s previous calculus </w:t>
      </w:r>
      <w:r w:rsidR="004A3E74" w:rsidRPr="008A3692">
        <w:rPr>
          <w:rFonts w:ascii="Times New Roman" w:hAnsi="Times New Roman" w:cs="Times New Roman"/>
          <w:sz w:val="24"/>
          <w:szCs w:val="24"/>
        </w:rPr>
        <w:t xml:space="preserve">experience (High School, College, None), major (STEM field, Engineering, Pre-Med, non-STEM, undecided), and Gender (Male, Female).  </w:t>
      </w:r>
    </w:p>
    <w:p w:rsidR="004A3E74" w:rsidRDefault="004A3E74" w:rsidP="004A3E74">
      <w:pPr>
        <w:keepNext/>
      </w:pPr>
      <w:r>
        <w:rPr>
          <w:noProof/>
        </w:rPr>
        <w:drawing>
          <wp:inline distT="0" distB="0" distL="0" distR="0" wp14:anchorId="66897E21" wp14:editId="7A9B1BD8">
            <wp:extent cx="5943600" cy="447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9290"/>
                    </a:xfrm>
                    <a:prstGeom prst="rect">
                      <a:avLst/>
                    </a:prstGeom>
                  </pic:spPr>
                </pic:pic>
              </a:graphicData>
            </a:graphic>
          </wp:inline>
        </w:drawing>
      </w:r>
    </w:p>
    <w:p w:rsidR="004A3E74" w:rsidRDefault="004A3E74" w:rsidP="004A3E74">
      <w:pPr>
        <w:pStyle w:val="Caption"/>
      </w:pPr>
      <w:r>
        <w:t xml:space="preserve">Figure </w:t>
      </w:r>
      <w:r w:rsidR="00C8233C">
        <w:rPr>
          <w:noProof/>
        </w:rPr>
        <w:fldChar w:fldCharType="begin"/>
      </w:r>
      <w:r w:rsidR="00C8233C">
        <w:rPr>
          <w:noProof/>
        </w:rPr>
        <w:instrText xml:space="preserve"> SEQ Figure \* ARABIC </w:instrText>
      </w:r>
      <w:r w:rsidR="00C8233C">
        <w:rPr>
          <w:noProof/>
        </w:rPr>
        <w:fldChar w:fldCharType="separate"/>
      </w:r>
      <w:r>
        <w:rPr>
          <w:noProof/>
        </w:rPr>
        <w:t>1</w:t>
      </w:r>
      <w:r w:rsidR="00C8233C">
        <w:rPr>
          <w:noProof/>
        </w:rPr>
        <w:fldChar w:fldCharType="end"/>
      </w:r>
      <w:r>
        <w:t xml:space="preserve">: Boxplots of Standardized Test Scores, Teacher Scores and Class Practice Scores </w:t>
      </w:r>
      <w:proofErr w:type="gramStart"/>
      <w:r>
        <w:t>in regard to</w:t>
      </w:r>
      <w:proofErr w:type="gramEnd"/>
      <w:r>
        <w:t xml:space="preserve"> the </w:t>
      </w:r>
      <w:proofErr w:type="spellStart"/>
      <w:r w:rsidR="009A5687">
        <w:t>persisters</w:t>
      </w:r>
      <w:proofErr w:type="spellEnd"/>
      <w:r>
        <w:t xml:space="preserve"> and switchers</w:t>
      </w:r>
    </w:p>
    <w:p w:rsidR="000A3B08" w:rsidRDefault="000A3B08">
      <w:r>
        <w:br w:type="page"/>
      </w:r>
    </w:p>
    <w:tbl>
      <w:tblPr>
        <w:tblStyle w:val="TableGrid"/>
        <w:tblpPr w:leftFromText="180" w:rightFromText="180" w:vertAnchor="text" w:horzAnchor="margin" w:tblpXSpec="center" w:tblpY="2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7"/>
        <w:gridCol w:w="1713"/>
        <w:gridCol w:w="1440"/>
        <w:gridCol w:w="900"/>
      </w:tblGrid>
      <w:tr w:rsidR="000A3B08" w:rsidTr="008353CF">
        <w:trPr>
          <w:trHeight w:val="540"/>
        </w:trPr>
        <w:tc>
          <w:tcPr>
            <w:tcW w:w="6390" w:type="dxa"/>
            <w:gridSpan w:val="4"/>
            <w:tcBorders>
              <w:bottom w:val="single" w:sz="4" w:space="0" w:color="auto"/>
            </w:tcBorders>
          </w:tcPr>
          <w:p w:rsidR="00967C74" w:rsidRDefault="000A3B08" w:rsidP="000A3B08">
            <w:pPr>
              <w:jc w:val="center"/>
              <w:rPr>
                <w:rFonts w:ascii="Times New Roman" w:hAnsi="Times New Roman" w:cs="Times New Roman"/>
                <w:sz w:val="24"/>
              </w:rPr>
            </w:pPr>
            <w:r>
              <w:rPr>
                <w:rFonts w:ascii="Times New Roman" w:hAnsi="Times New Roman" w:cs="Times New Roman"/>
                <w:sz w:val="24"/>
              </w:rPr>
              <w:lastRenderedPageBreak/>
              <w:t>Table 1: Previous Calculus Experience</w:t>
            </w:r>
            <w:r w:rsidR="008B7B25">
              <w:rPr>
                <w:rFonts w:ascii="Times New Roman" w:hAnsi="Times New Roman" w:cs="Times New Roman"/>
                <w:sz w:val="24"/>
              </w:rPr>
              <w:t xml:space="preserve"> for </w:t>
            </w:r>
          </w:p>
          <w:p w:rsidR="000A3B08" w:rsidRDefault="009A5687" w:rsidP="000A3B08">
            <w:pPr>
              <w:jc w:val="center"/>
              <w:rPr>
                <w:rFonts w:ascii="Times New Roman" w:hAnsi="Times New Roman" w:cs="Times New Roman"/>
                <w:sz w:val="24"/>
              </w:rPr>
            </w:pPr>
            <w:proofErr w:type="spellStart"/>
            <w:r>
              <w:rPr>
                <w:rFonts w:ascii="Times New Roman" w:hAnsi="Times New Roman" w:cs="Times New Roman"/>
                <w:sz w:val="24"/>
              </w:rPr>
              <w:t>Persisters</w:t>
            </w:r>
            <w:proofErr w:type="spellEnd"/>
            <w:r w:rsidR="008B7B25">
              <w:rPr>
                <w:rFonts w:ascii="Times New Roman" w:hAnsi="Times New Roman" w:cs="Times New Roman"/>
                <w:sz w:val="24"/>
              </w:rPr>
              <w:t xml:space="preserve"> and Switchers</w:t>
            </w:r>
          </w:p>
          <w:p w:rsidR="008353CF" w:rsidRDefault="008353CF" w:rsidP="000A3B08">
            <w:pPr>
              <w:jc w:val="center"/>
              <w:rPr>
                <w:rFonts w:ascii="Times New Roman" w:hAnsi="Times New Roman" w:cs="Times New Roman"/>
                <w:sz w:val="24"/>
              </w:rPr>
            </w:pPr>
          </w:p>
        </w:tc>
      </w:tr>
      <w:tr w:rsidR="00C84B5F" w:rsidTr="008353CF">
        <w:trPr>
          <w:trHeight w:val="440"/>
        </w:trPr>
        <w:tc>
          <w:tcPr>
            <w:tcW w:w="2337" w:type="dxa"/>
            <w:tcBorders>
              <w:top w:val="single" w:sz="4" w:space="0" w:color="auto"/>
              <w:bottom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Calculus Experience</w:t>
            </w:r>
          </w:p>
        </w:tc>
        <w:tc>
          <w:tcPr>
            <w:tcW w:w="1713" w:type="dxa"/>
            <w:tcBorders>
              <w:top w:val="single" w:sz="4" w:space="0" w:color="auto"/>
              <w:bottom w:val="single" w:sz="4" w:space="0" w:color="auto"/>
            </w:tcBorders>
          </w:tcPr>
          <w:p w:rsidR="000A3B08" w:rsidRDefault="00AB5EE3" w:rsidP="000A3B08">
            <w:pPr>
              <w:rPr>
                <w:rFonts w:ascii="Times New Roman" w:hAnsi="Times New Roman" w:cs="Times New Roman"/>
                <w:sz w:val="24"/>
              </w:rPr>
            </w:pPr>
            <w:proofErr w:type="spellStart"/>
            <w:r>
              <w:rPr>
                <w:rFonts w:ascii="Times New Roman" w:hAnsi="Times New Roman" w:cs="Times New Roman"/>
                <w:sz w:val="24"/>
              </w:rPr>
              <w:t>Persister</w:t>
            </w:r>
            <w:proofErr w:type="spellEnd"/>
          </w:p>
        </w:tc>
        <w:tc>
          <w:tcPr>
            <w:tcW w:w="1440" w:type="dxa"/>
            <w:tcBorders>
              <w:top w:val="single" w:sz="4" w:space="0" w:color="auto"/>
              <w:bottom w:val="single" w:sz="4" w:space="0" w:color="auto"/>
              <w:right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Switcher</w:t>
            </w:r>
          </w:p>
        </w:tc>
        <w:tc>
          <w:tcPr>
            <w:tcW w:w="900" w:type="dxa"/>
            <w:tcBorders>
              <w:top w:val="single" w:sz="4" w:space="0" w:color="auto"/>
              <w:left w:val="single" w:sz="4" w:space="0" w:color="auto"/>
              <w:bottom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Total</w:t>
            </w:r>
          </w:p>
        </w:tc>
      </w:tr>
      <w:tr w:rsidR="008B7B25" w:rsidTr="008353CF">
        <w:trPr>
          <w:trHeight w:val="443"/>
        </w:trPr>
        <w:tc>
          <w:tcPr>
            <w:tcW w:w="2337" w:type="dxa"/>
            <w:tcBorders>
              <w:top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High School</w:t>
            </w:r>
          </w:p>
        </w:tc>
        <w:tc>
          <w:tcPr>
            <w:tcW w:w="1713" w:type="dxa"/>
            <w:tcBorders>
              <w:top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 xml:space="preserve">1058 </w:t>
            </w:r>
            <w:r w:rsidR="00651189">
              <w:rPr>
                <w:rFonts w:ascii="Times New Roman" w:hAnsi="Times New Roman" w:cs="Times New Roman"/>
                <w:sz w:val="24"/>
              </w:rPr>
              <w:t>(83.4%)</w:t>
            </w:r>
          </w:p>
        </w:tc>
        <w:tc>
          <w:tcPr>
            <w:tcW w:w="1440" w:type="dxa"/>
            <w:tcBorders>
              <w:top w:val="single" w:sz="4" w:space="0" w:color="auto"/>
              <w:right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210</w:t>
            </w:r>
            <w:r w:rsidR="00651189">
              <w:rPr>
                <w:rFonts w:ascii="Times New Roman" w:hAnsi="Times New Roman" w:cs="Times New Roman"/>
                <w:sz w:val="24"/>
              </w:rPr>
              <w:t xml:space="preserve"> (16.6%)</w:t>
            </w:r>
            <w:r>
              <w:rPr>
                <w:rFonts w:ascii="Times New Roman" w:hAnsi="Times New Roman" w:cs="Times New Roman"/>
                <w:sz w:val="24"/>
              </w:rPr>
              <w:t xml:space="preserve"> </w:t>
            </w:r>
          </w:p>
        </w:tc>
        <w:tc>
          <w:tcPr>
            <w:tcW w:w="900" w:type="dxa"/>
            <w:tcBorders>
              <w:top w:val="single" w:sz="4" w:space="0" w:color="auto"/>
              <w:left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1268</w:t>
            </w:r>
          </w:p>
        </w:tc>
      </w:tr>
      <w:tr w:rsidR="008353CF" w:rsidTr="008353CF">
        <w:trPr>
          <w:trHeight w:val="453"/>
        </w:trPr>
        <w:tc>
          <w:tcPr>
            <w:tcW w:w="2337" w:type="dxa"/>
          </w:tcPr>
          <w:p w:rsidR="000A3B08" w:rsidRDefault="000A3B08" w:rsidP="000A3B08">
            <w:pPr>
              <w:rPr>
                <w:rFonts w:ascii="Times New Roman" w:hAnsi="Times New Roman" w:cs="Times New Roman"/>
                <w:sz w:val="24"/>
              </w:rPr>
            </w:pPr>
            <w:r>
              <w:rPr>
                <w:rFonts w:ascii="Times New Roman" w:hAnsi="Times New Roman" w:cs="Times New Roman"/>
                <w:sz w:val="24"/>
              </w:rPr>
              <w:t>College</w:t>
            </w:r>
          </w:p>
        </w:tc>
        <w:tc>
          <w:tcPr>
            <w:tcW w:w="1713" w:type="dxa"/>
          </w:tcPr>
          <w:p w:rsidR="000A3B08" w:rsidRDefault="000A3B08" w:rsidP="000A3B08">
            <w:pPr>
              <w:rPr>
                <w:rFonts w:ascii="Times New Roman" w:hAnsi="Times New Roman" w:cs="Times New Roman"/>
                <w:sz w:val="24"/>
              </w:rPr>
            </w:pPr>
            <w:r>
              <w:rPr>
                <w:rFonts w:ascii="Times New Roman" w:hAnsi="Times New Roman" w:cs="Times New Roman"/>
                <w:sz w:val="24"/>
              </w:rPr>
              <w:t>123</w:t>
            </w:r>
            <w:r w:rsidR="00651189">
              <w:rPr>
                <w:rFonts w:ascii="Times New Roman" w:hAnsi="Times New Roman" w:cs="Times New Roman"/>
                <w:sz w:val="24"/>
              </w:rPr>
              <w:t xml:space="preserve"> (84.2%)</w:t>
            </w:r>
            <w:r>
              <w:rPr>
                <w:rFonts w:ascii="Times New Roman" w:hAnsi="Times New Roman" w:cs="Times New Roman"/>
                <w:sz w:val="24"/>
              </w:rPr>
              <w:t xml:space="preserve"> </w:t>
            </w:r>
          </w:p>
        </w:tc>
        <w:tc>
          <w:tcPr>
            <w:tcW w:w="1440" w:type="dxa"/>
            <w:tcBorders>
              <w:right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 xml:space="preserve">23 </w:t>
            </w:r>
            <w:r w:rsidR="00651189">
              <w:rPr>
                <w:rFonts w:ascii="Times New Roman" w:hAnsi="Times New Roman" w:cs="Times New Roman"/>
                <w:sz w:val="24"/>
              </w:rPr>
              <w:t>(15.8%)</w:t>
            </w:r>
          </w:p>
        </w:tc>
        <w:tc>
          <w:tcPr>
            <w:tcW w:w="900" w:type="dxa"/>
            <w:tcBorders>
              <w:left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146</w:t>
            </w:r>
          </w:p>
        </w:tc>
      </w:tr>
      <w:tr w:rsidR="008B7B25" w:rsidTr="008353CF">
        <w:trPr>
          <w:trHeight w:val="462"/>
        </w:trPr>
        <w:tc>
          <w:tcPr>
            <w:tcW w:w="2337" w:type="dxa"/>
            <w:tcBorders>
              <w:bottom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None</w:t>
            </w:r>
          </w:p>
        </w:tc>
        <w:tc>
          <w:tcPr>
            <w:tcW w:w="1713" w:type="dxa"/>
            <w:tcBorders>
              <w:bottom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472</w:t>
            </w:r>
            <w:r w:rsidR="00651189">
              <w:rPr>
                <w:rFonts w:ascii="Times New Roman" w:hAnsi="Times New Roman" w:cs="Times New Roman"/>
                <w:sz w:val="24"/>
              </w:rPr>
              <w:t xml:space="preserve"> (80.5 %)</w:t>
            </w:r>
            <w:r>
              <w:rPr>
                <w:rFonts w:ascii="Times New Roman" w:hAnsi="Times New Roman" w:cs="Times New Roman"/>
                <w:sz w:val="24"/>
              </w:rPr>
              <w:t xml:space="preserve"> </w:t>
            </w:r>
          </w:p>
        </w:tc>
        <w:tc>
          <w:tcPr>
            <w:tcW w:w="1440" w:type="dxa"/>
            <w:tcBorders>
              <w:bottom w:val="single" w:sz="4" w:space="0" w:color="auto"/>
              <w:right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114</w:t>
            </w:r>
            <w:r w:rsidR="00651189">
              <w:rPr>
                <w:rFonts w:ascii="Times New Roman" w:hAnsi="Times New Roman" w:cs="Times New Roman"/>
                <w:sz w:val="24"/>
              </w:rPr>
              <w:t xml:space="preserve"> (19.5%)</w:t>
            </w:r>
          </w:p>
        </w:tc>
        <w:tc>
          <w:tcPr>
            <w:tcW w:w="900" w:type="dxa"/>
            <w:tcBorders>
              <w:left w:val="single" w:sz="4" w:space="0" w:color="auto"/>
              <w:bottom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586</w:t>
            </w:r>
          </w:p>
        </w:tc>
      </w:tr>
      <w:tr w:rsidR="008B7B25" w:rsidTr="008353CF">
        <w:trPr>
          <w:trHeight w:val="350"/>
        </w:trPr>
        <w:tc>
          <w:tcPr>
            <w:tcW w:w="2337" w:type="dxa"/>
            <w:tcBorders>
              <w:top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Total</w:t>
            </w:r>
          </w:p>
        </w:tc>
        <w:tc>
          <w:tcPr>
            <w:tcW w:w="1713" w:type="dxa"/>
            <w:tcBorders>
              <w:top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 xml:space="preserve">1653 </w:t>
            </w:r>
          </w:p>
        </w:tc>
        <w:tc>
          <w:tcPr>
            <w:tcW w:w="1440" w:type="dxa"/>
            <w:tcBorders>
              <w:top w:val="single" w:sz="4" w:space="0" w:color="auto"/>
              <w:right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347</w:t>
            </w:r>
          </w:p>
        </w:tc>
        <w:tc>
          <w:tcPr>
            <w:tcW w:w="900" w:type="dxa"/>
            <w:tcBorders>
              <w:top w:val="single" w:sz="4" w:space="0" w:color="auto"/>
              <w:left w:val="single" w:sz="4" w:space="0" w:color="auto"/>
            </w:tcBorders>
          </w:tcPr>
          <w:p w:rsidR="000A3B08" w:rsidRDefault="000A3B08" w:rsidP="000A3B08">
            <w:pPr>
              <w:rPr>
                <w:rFonts w:ascii="Times New Roman" w:hAnsi="Times New Roman" w:cs="Times New Roman"/>
                <w:sz w:val="24"/>
              </w:rPr>
            </w:pPr>
            <w:r>
              <w:rPr>
                <w:rFonts w:ascii="Times New Roman" w:hAnsi="Times New Roman" w:cs="Times New Roman"/>
                <w:sz w:val="24"/>
              </w:rPr>
              <w:t>2000</w:t>
            </w:r>
          </w:p>
        </w:tc>
      </w:tr>
    </w:tbl>
    <w:p w:rsidR="000A3B08" w:rsidRPr="000A3B08" w:rsidRDefault="000A3B08" w:rsidP="000A3B08"/>
    <w:p w:rsidR="004A3E74" w:rsidRDefault="004A3E74" w:rsidP="006026AC">
      <w:pPr>
        <w:rPr>
          <w:rFonts w:ascii="Times New Roman" w:hAnsi="Times New Roman" w:cs="Times New Roman"/>
          <w:sz w:val="24"/>
        </w:rPr>
      </w:pPr>
    </w:p>
    <w:p w:rsidR="008B7B25" w:rsidRDefault="008B7B25" w:rsidP="006026AC">
      <w:pPr>
        <w:rPr>
          <w:rFonts w:ascii="Times New Roman" w:hAnsi="Times New Roman" w:cs="Times New Roman"/>
          <w:sz w:val="24"/>
        </w:rPr>
      </w:pPr>
    </w:p>
    <w:p w:rsidR="008B7B25" w:rsidRDefault="008B7B25" w:rsidP="006026AC">
      <w:pPr>
        <w:rPr>
          <w:rFonts w:ascii="Times New Roman" w:hAnsi="Times New Roman" w:cs="Times New Roman"/>
          <w:sz w:val="24"/>
        </w:rPr>
      </w:pPr>
    </w:p>
    <w:p w:rsidR="008B7B25" w:rsidRDefault="008B7B25" w:rsidP="006026AC">
      <w:pPr>
        <w:rPr>
          <w:rFonts w:ascii="Times New Roman" w:hAnsi="Times New Roman" w:cs="Times New Roman"/>
          <w:sz w:val="24"/>
        </w:rPr>
      </w:pPr>
    </w:p>
    <w:p w:rsidR="008B7B25" w:rsidRDefault="008B7B25" w:rsidP="006026AC">
      <w:pPr>
        <w:rPr>
          <w:rFonts w:ascii="Times New Roman" w:hAnsi="Times New Roman" w:cs="Times New Roman"/>
          <w:sz w:val="24"/>
        </w:rPr>
      </w:pPr>
    </w:p>
    <w:p w:rsidR="008B7B25" w:rsidRDefault="008B7B25" w:rsidP="006026AC">
      <w:pPr>
        <w:rPr>
          <w:rFonts w:ascii="Times New Roman" w:hAnsi="Times New Roman" w:cs="Times New Roman"/>
          <w:sz w:val="24"/>
        </w:rPr>
      </w:pPr>
    </w:p>
    <w:p w:rsidR="008B7B25" w:rsidRDefault="008B7B25" w:rsidP="006026AC">
      <w:pPr>
        <w:rPr>
          <w:rFonts w:ascii="Times New Roman" w:hAnsi="Times New Roman" w:cs="Times New Roman"/>
          <w:sz w:val="24"/>
        </w:rPr>
      </w:pPr>
    </w:p>
    <w:tbl>
      <w:tblPr>
        <w:tblStyle w:val="TableGrid"/>
        <w:tblpPr w:leftFromText="180" w:rightFromText="180" w:vertAnchor="text" w:horzAnchor="margin" w:tblpXSpec="center" w:tblpY="2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620"/>
        <w:gridCol w:w="1530"/>
        <w:gridCol w:w="810"/>
      </w:tblGrid>
      <w:tr w:rsidR="008B7B25" w:rsidTr="003F19BC">
        <w:trPr>
          <w:trHeight w:val="540"/>
        </w:trPr>
        <w:tc>
          <w:tcPr>
            <w:tcW w:w="5760" w:type="dxa"/>
            <w:gridSpan w:val="4"/>
            <w:tcBorders>
              <w:bottom w:val="single" w:sz="4" w:space="0" w:color="auto"/>
            </w:tcBorders>
          </w:tcPr>
          <w:p w:rsidR="008B7B25" w:rsidRDefault="008B7B25" w:rsidP="00916D81">
            <w:pPr>
              <w:jc w:val="center"/>
              <w:rPr>
                <w:rFonts w:ascii="Times New Roman" w:hAnsi="Times New Roman" w:cs="Times New Roman"/>
                <w:sz w:val="24"/>
              </w:rPr>
            </w:pPr>
            <w:r>
              <w:rPr>
                <w:rFonts w:ascii="Times New Roman" w:hAnsi="Times New Roman" w:cs="Times New Roman"/>
                <w:sz w:val="24"/>
              </w:rPr>
              <w:t xml:space="preserve">Table 2: Majors of </w:t>
            </w:r>
            <w:proofErr w:type="spellStart"/>
            <w:r w:rsidR="009A5687">
              <w:rPr>
                <w:rFonts w:ascii="Times New Roman" w:hAnsi="Times New Roman" w:cs="Times New Roman"/>
                <w:sz w:val="24"/>
              </w:rPr>
              <w:t>Persisters</w:t>
            </w:r>
            <w:proofErr w:type="spellEnd"/>
            <w:r>
              <w:rPr>
                <w:rFonts w:ascii="Times New Roman" w:hAnsi="Times New Roman" w:cs="Times New Roman"/>
                <w:sz w:val="24"/>
              </w:rPr>
              <w:t xml:space="preserve"> and Switchers</w:t>
            </w:r>
          </w:p>
        </w:tc>
      </w:tr>
      <w:tr w:rsidR="008B7B25" w:rsidTr="003F19BC">
        <w:trPr>
          <w:trHeight w:val="440"/>
        </w:trPr>
        <w:tc>
          <w:tcPr>
            <w:tcW w:w="1800" w:type="dxa"/>
            <w:tcBorders>
              <w:top w:val="single" w:sz="4" w:space="0" w:color="auto"/>
              <w:bottom w:val="single" w:sz="4" w:space="0" w:color="auto"/>
            </w:tcBorders>
          </w:tcPr>
          <w:p w:rsidR="008B7B25" w:rsidRDefault="008353CF" w:rsidP="00916D81">
            <w:pPr>
              <w:rPr>
                <w:rFonts w:ascii="Times New Roman" w:hAnsi="Times New Roman" w:cs="Times New Roman"/>
                <w:sz w:val="24"/>
              </w:rPr>
            </w:pPr>
            <w:r>
              <w:rPr>
                <w:rFonts w:ascii="Times New Roman" w:hAnsi="Times New Roman" w:cs="Times New Roman"/>
                <w:sz w:val="24"/>
              </w:rPr>
              <w:t>Major</w:t>
            </w:r>
          </w:p>
        </w:tc>
        <w:tc>
          <w:tcPr>
            <w:tcW w:w="1620" w:type="dxa"/>
            <w:tcBorders>
              <w:top w:val="single" w:sz="4" w:space="0" w:color="auto"/>
              <w:bottom w:val="single" w:sz="4" w:space="0" w:color="auto"/>
            </w:tcBorders>
          </w:tcPr>
          <w:p w:rsidR="008B7B25" w:rsidRDefault="00AB5EE3" w:rsidP="00916D81">
            <w:pPr>
              <w:rPr>
                <w:rFonts w:ascii="Times New Roman" w:hAnsi="Times New Roman" w:cs="Times New Roman"/>
                <w:sz w:val="24"/>
              </w:rPr>
            </w:pPr>
            <w:proofErr w:type="spellStart"/>
            <w:r>
              <w:rPr>
                <w:rFonts w:ascii="Times New Roman" w:hAnsi="Times New Roman" w:cs="Times New Roman"/>
                <w:sz w:val="24"/>
              </w:rPr>
              <w:t>Persister</w:t>
            </w:r>
            <w:proofErr w:type="spellEnd"/>
          </w:p>
        </w:tc>
        <w:tc>
          <w:tcPr>
            <w:tcW w:w="1530" w:type="dxa"/>
            <w:tcBorders>
              <w:top w:val="single" w:sz="4" w:space="0" w:color="auto"/>
              <w:bottom w:val="single" w:sz="4" w:space="0" w:color="auto"/>
              <w:right w:val="single" w:sz="4" w:space="0" w:color="auto"/>
            </w:tcBorders>
          </w:tcPr>
          <w:p w:rsidR="008B7B25" w:rsidRDefault="008B7B25" w:rsidP="00916D81">
            <w:pPr>
              <w:rPr>
                <w:rFonts w:ascii="Times New Roman" w:hAnsi="Times New Roman" w:cs="Times New Roman"/>
                <w:sz w:val="24"/>
              </w:rPr>
            </w:pPr>
            <w:r>
              <w:rPr>
                <w:rFonts w:ascii="Times New Roman" w:hAnsi="Times New Roman" w:cs="Times New Roman"/>
                <w:sz w:val="24"/>
              </w:rPr>
              <w:t>Switcher</w:t>
            </w:r>
          </w:p>
        </w:tc>
        <w:tc>
          <w:tcPr>
            <w:tcW w:w="810" w:type="dxa"/>
            <w:tcBorders>
              <w:top w:val="single" w:sz="4" w:space="0" w:color="auto"/>
              <w:left w:val="single" w:sz="4" w:space="0" w:color="auto"/>
              <w:bottom w:val="single" w:sz="4" w:space="0" w:color="auto"/>
            </w:tcBorders>
          </w:tcPr>
          <w:p w:rsidR="008B7B25" w:rsidRDefault="008B7B25" w:rsidP="00916D81">
            <w:pPr>
              <w:rPr>
                <w:rFonts w:ascii="Times New Roman" w:hAnsi="Times New Roman" w:cs="Times New Roman"/>
                <w:sz w:val="24"/>
              </w:rPr>
            </w:pPr>
            <w:r>
              <w:rPr>
                <w:rFonts w:ascii="Times New Roman" w:hAnsi="Times New Roman" w:cs="Times New Roman"/>
                <w:sz w:val="24"/>
              </w:rPr>
              <w:t>Total</w:t>
            </w:r>
          </w:p>
        </w:tc>
      </w:tr>
      <w:tr w:rsidR="008B7B25" w:rsidTr="003F19BC">
        <w:trPr>
          <w:trHeight w:val="443"/>
        </w:trPr>
        <w:tc>
          <w:tcPr>
            <w:tcW w:w="1800" w:type="dxa"/>
            <w:tcBorders>
              <w:top w:val="single" w:sz="4" w:space="0" w:color="auto"/>
            </w:tcBorders>
          </w:tcPr>
          <w:p w:rsidR="008B7B25" w:rsidRDefault="005942BA" w:rsidP="00916D81">
            <w:pPr>
              <w:rPr>
                <w:rFonts w:ascii="Times New Roman" w:hAnsi="Times New Roman" w:cs="Times New Roman"/>
                <w:sz w:val="24"/>
              </w:rPr>
            </w:pPr>
            <w:r>
              <w:rPr>
                <w:rFonts w:ascii="Times New Roman" w:hAnsi="Times New Roman" w:cs="Times New Roman"/>
                <w:sz w:val="24"/>
              </w:rPr>
              <w:t>STEM Field</w:t>
            </w:r>
          </w:p>
        </w:tc>
        <w:tc>
          <w:tcPr>
            <w:tcW w:w="1620" w:type="dxa"/>
            <w:tcBorders>
              <w:top w:val="single" w:sz="4" w:space="0" w:color="auto"/>
            </w:tcBorders>
          </w:tcPr>
          <w:p w:rsidR="008B7B25" w:rsidRDefault="00C57919" w:rsidP="00916D81">
            <w:pPr>
              <w:rPr>
                <w:rFonts w:ascii="Times New Roman" w:hAnsi="Times New Roman" w:cs="Times New Roman"/>
                <w:sz w:val="24"/>
              </w:rPr>
            </w:pPr>
            <w:r>
              <w:rPr>
                <w:rFonts w:ascii="Times New Roman" w:hAnsi="Times New Roman" w:cs="Times New Roman"/>
                <w:sz w:val="24"/>
              </w:rPr>
              <w:t>379</w:t>
            </w:r>
            <w:r w:rsidR="008B7B25">
              <w:rPr>
                <w:rFonts w:ascii="Times New Roman" w:hAnsi="Times New Roman" w:cs="Times New Roman"/>
                <w:sz w:val="24"/>
              </w:rPr>
              <w:t xml:space="preserve"> </w:t>
            </w:r>
            <w:r w:rsidR="003F19BC">
              <w:rPr>
                <w:rFonts w:ascii="Times New Roman" w:hAnsi="Times New Roman" w:cs="Times New Roman"/>
                <w:sz w:val="24"/>
              </w:rPr>
              <w:t>(88.1%)</w:t>
            </w:r>
          </w:p>
        </w:tc>
        <w:tc>
          <w:tcPr>
            <w:tcW w:w="1530" w:type="dxa"/>
            <w:tcBorders>
              <w:top w:val="single" w:sz="4" w:space="0" w:color="auto"/>
              <w:right w:val="single" w:sz="4" w:space="0" w:color="auto"/>
            </w:tcBorders>
          </w:tcPr>
          <w:p w:rsidR="008B7B25" w:rsidRDefault="00820618" w:rsidP="00916D81">
            <w:pPr>
              <w:rPr>
                <w:rFonts w:ascii="Times New Roman" w:hAnsi="Times New Roman" w:cs="Times New Roman"/>
                <w:sz w:val="24"/>
              </w:rPr>
            </w:pPr>
            <w:r>
              <w:rPr>
                <w:rFonts w:ascii="Times New Roman" w:hAnsi="Times New Roman" w:cs="Times New Roman"/>
                <w:sz w:val="24"/>
              </w:rPr>
              <w:t>51</w:t>
            </w:r>
            <w:r w:rsidR="003F19BC">
              <w:rPr>
                <w:rFonts w:ascii="Times New Roman" w:hAnsi="Times New Roman" w:cs="Times New Roman"/>
                <w:sz w:val="24"/>
              </w:rPr>
              <w:t xml:space="preserve"> (11.9%)</w:t>
            </w:r>
          </w:p>
        </w:tc>
        <w:tc>
          <w:tcPr>
            <w:tcW w:w="810" w:type="dxa"/>
            <w:tcBorders>
              <w:top w:val="single" w:sz="4" w:space="0" w:color="auto"/>
              <w:left w:val="single" w:sz="4" w:space="0" w:color="auto"/>
            </w:tcBorders>
          </w:tcPr>
          <w:p w:rsidR="008B7B25" w:rsidRDefault="00820618" w:rsidP="00916D81">
            <w:pPr>
              <w:rPr>
                <w:rFonts w:ascii="Times New Roman" w:hAnsi="Times New Roman" w:cs="Times New Roman"/>
                <w:sz w:val="24"/>
              </w:rPr>
            </w:pPr>
            <w:r>
              <w:rPr>
                <w:rFonts w:ascii="Times New Roman" w:hAnsi="Times New Roman" w:cs="Times New Roman"/>
                <w:sz w:val="24"/>
              </w:rPr>
              <w:t>430</w:t>
            </w:r>
          </w:p>
        </w:tc>
      </w:tr>
      <w:tr w:rsidR="008B7B25" w:rsidTr="003F19BC">
        <w:trPr>
          <w:trHeight w:val="453"/>
        </w:trPr>
        <w:tc>
          <w:tcPr>
            <w:tcW w:w="1800" w:type="dxa"/>
          </w:tcPr>
          <w:p w:rsidR="008B7B25" w:rsidRDefault="005942BA" w:rsidP="00916D81">
            <w:pPr>
              <w:rPr>
                <w:rFonts w:ascii="Times New Roman" w:hAnsi="Times New Roman" w:cs="Times New Roman"/>
                <w:sz w:val="24"/>
              </w:rPr>
            </w:pPr>
            <w:r>
              <w:rPr>
                <w:rFonts w:ascii="Times New Roman" w:hAnsi="Times New Roman" w:cs="Times New Roman"/>
                <w:sz w:val="24"/>
              </w:rPr>
              <w:t>Engineering</w:t>
            </w:r>
          </w:p>
        </w:tc>
        <w:tc>
          <w:tcPr>
            <w:tcW w:w="1620" w:type="dxa"/>
          </w:tcPr>
          <w:p w:rsidR="008B7B25" w:rsidRDefault="00C57919" w:rsidP="00916D81">
            <w:pPr>
              <w:rPr>
                <w:rFonts w:ascii="Times New Roman" w:hAnsi="Times New Roman" w:cs="Times New Roman"/>
                <w:sz w:val="24"/>
              </w:rPr>
            </w:pPr>
            <w:r>
              <w:rPr>
                <w:rFonts w:ascii="Times New Roman" w:hAnsi="Times New Roman" w:cs="Times New Roman"/>
                <w:sz w:val="24"/>
              </w:rPr>
              <w:t>671</w:t>
            </w:r>
            <w:r w:rsidR="008B7B25">
              <w:rPr>
                <w:rFonts w:ascii="Times New Roman" w:hAnsi="Times New Roman" w:cs="Times New Roman"/>
                <w:sz w:val="24"/>
              </w:rPr>
              <w:t xml:space="preserve"> </w:t>
            </w:r>
            <w:r w:rsidR="003F19BC">
              <w:rPr>
                <w:rFonts w:ascii="Times New Roman" w:hAnsi="Times New Roman" w:cs="Times New Roman"/>
                <w:sz w:val="24"/>
              </w:rPr>
              <w:t>(95.6%)</w:t>
            </w:r>
          </w:p>
        </w:tc>
        <w:tc>
          <w:tcPr>
            <w:tcW w:w="1530" w:type="dxa"/>
            <w:tcBorders>
              <w:right w:val="single" w:sz="4" w:space="0" w:color="auto"/>
            </w:tcBorders>
          </w:tcPr>
          <w:p w:rsidR="008B7B25" w:rsidRDefault="00820618" w:rsidP="00916D81">
            <w:pPr>
              <w:rPr>
                <w:rFonts w:ascii="Times New Roman" w:hAnsi="Times New Roman" w:cs="Times New Roman"/>
                <w:sz w:val="24"/>
              </w:rPr>
            </w:pPr>
            <w:r>
              <w:rPr>
                <w:rFonts w:ascii="Times New Roman" w:hAnsi="Times New Roman" w:cs="Times New Roman"/>
                <w:sz w:val="24"/>
              </w:rPr>
              <w:t>31</w:t>
            </w:r>
            <w:r w:rsidR="008B7B25">
              <w:rPr>
                <w:rFonts w:ascii="Times New Roman" w:hAnsi="Times New Roman" w:cs="Times New Roman"/>
                <w:sz w:val="24"/>
              </w:rPr>
              <w:t xml:space="preserve"> </w:t>
            </w:r>
            <w:r w:rsidR="003F19BC">
              <w:rPr>
                <w:rFonts w:ascii="Times New Roman" w:hAnsi="Times New Roman" w:cs="Times New Roman"/>
                <w:sz w:val="24"/>
              </w:rPr>
              <w:t>(4.4%)</w:t>
            </w:r>
          </w:p>
        </w:tc>
        <w:tc>
          <w:tcPr>
            <w:tcW w:w="810" w:type="dxa"/>
            <w:tcBorders>
              <w:left w:val="single" w:sz="4" w:space="0" w:color="auto"/>
            </w:tcBorders>
          </w:tcPr>
          <w:p w:rsidR="008B7B25" w:rsidRDefault="00820618" w:rsidP="00916D81">
            <w:pPr>
              <w:rPr>
                <w:rFonts w:ascii="Times New Roman" w:hAnsi="Times New Roman" w:cs="Times New Roman"/>
                <w:sz w:val="24"/>
              </w:rPr>
            </w:pPr>
            <w:r>
              <w:rPr>
                <w:rFonts w:ascii="Times New Roman" w:hAnsi="Times New Roman" w:cs="Times New Roman"/>
                <w:sz w:val="24"/>
              </w:rPr>
              <w:t>702</w:t>
            </w:r>
          </w:p>
        </w:tc>
      </w:tr>
      <w:tr w:rsidR="005942BA" w:rsidTr="003F19BC">
        <w:trPr>
          <w:trHeight w:val="453"/>
        </w:trPr>
        <w:tc>
          <w:tcPr>
            <w:tcW w:w="1800" w:type="dxa"/>
          </w:tcPr>
          <w:p w:rsidR="005942BA" w:rsidRDefault="005942BA" w:rsidP="00916D81">
            <w:pPr>
              <w:rPr>
                <w:rFonts w:ascii="Times New Roman" w:hAnsi="Times New Roman" w:cs="Times New Roman"/>
                <w:sz w:val="24"/>
              </w:rPr>
            </w:pPr>
            <w:r>
              <w:rPr>
                <w:rFonts w:ascii="Times New Roman" w:hAnsi="Times New Roman" w:cs="Times New Roman"/>
                <w:sz w:val="24"/>
              </w:rPr>
              <w:t>Pre-Med</w:t>
            </w:r>
          </w:p>
        </w:tc>
        <w:tc>
          <w:tcPr>
            <w:tcW w:w="1620" w:type="dxa"/>
          </w:tcPr>
          <w:p w:rsidR="005942BA" w:rsidRDefault="00C57919" w:rsidP="00916D81">
            <w:pPr>
              <w:rPr>
                <w:rFonts w:ascii="Times New Roman" w:hAnsi="Times New Roman" w:cs="Times New Roman"/>
                <w:sz w:val="24"/>
              </w:rPr>
            </w:pPr>
            <w:r>
              <w:rPr>
                <w:rFonts w:ascii="Times New Roman" w:hAnsi="Times New Roman" w:cs="Times New Roman"/>
                <w:sz w:val="24"/>
              </w:rPr>
              <w:t>319</w:t>
            </w:r>
            <w:r w:rsidR="003F19BC">
              <w:rPr>
                <w:rFonts w:ascii="Times New Roman" w:hAnsi="Times New Roman" w:cs="Times New Roman"/>
                <w:sz w:val="24"/>
              </w:rPr>
              <w:t xml:space="preserve"> (71.7%)</w:t>
            </w:r>
          </w:p>
        </w:tc>
        <w:tc>
          <w:tcPr>
            <w:tcW w:w="1530" w:type="dxa"/>
            <w:tcBorders>
              <w:right w:val="single" w:sz="4" w:space="0" w:color="auto"/>
            </w:tcBorders>
          </w:tcPr>
          <w:p w:rsidR="005942BA" w:rsidRDefault="00820618" w:rsidP="00916D81">
            <w:pPr>
              <w:rPr>
                <w:rFonts w:ascii="Times New Roman" w:hAnsi="Times New Roman" w:cs="Times New Roman"/>
                <w:sz w:val="24"/>
              </w:rPr>
            </w:pPr>
            <w:r>
              <w:rPr>
                <w:rFonts w:ascii="Times New Roman" w:hAnsi="Times New Roman" w:cs="Times New Roman"/>
                <w:sz w:val="24"/>
              </w:rPr>
              <w:t>126</w:t>
            </w:r>
            <w:r w:rsidR="003F19BC">
              <w:rPr>
                <w:rFonts w:ascii="Times New Roman" w:hAnsi="Times New Roman" w:cs="Times New Roman"/>
                <w:sz w:val="24"/>
              </w:rPr>
              <w:t xml:space="preserve"> (28.3%)</w:t>
            </w:r>
          </w:p>
        </w:tc>
        <w:tc>
          <w:tcPr>
            <w:tcW w:w="810" w:type="dxa"/>
            <w:tcBorders>
              <w:left w:val="single" w:sz="4" w:space="0" w:color="auto"/>
            </w:tcBorders>
          </w:tcPr>
          <w:p w:rsidR="005942BA" w:rsidRDefault="00820618" w:rsidP="00916D81">
            <w:pPr>
              <w:rPr>
                <w:rFonts w:ascii="Times New Roman" w:hAnsi="Times New Roman" w:cs="Times New Roman"/>
                <w:sz w:val="24"/>
              </w:rPr>
            </w:pPr>
            <w:r>
              <w:rPr>
                <w:rFonts w:ascii="Times New Roman" w:hAnsi="Times New Roman" w:cs="Times New Roman"/>
                <w:sz w:val="24"/>
              </w:rPr>
              <w:t>445</w:t>
            </w:r>
          </w:p>
        </w:tc>
      </w:tr>
      <w:tr w:rsidR="005942BA" w:rsidTr="003F19BC">
        <w:trPr>
          <w:trHeight w:val="453"/>
        </w:trPr>
        <w:tc>
          <w:tcPr>
            <w:tcW w:w="1800" w:type="dxa"/>
          </w:tcPr>
          <w:p w:rsidR="005942BA" w:rsidRDefault="005942BA" w:rsidP="00916D81">
            <w:pPr>
              <w:rPr>
                <w:rFonts w:ascii="Times New Roman" w:hAnsi="Times New Roman" w:cs="Times New Roman"/>
                <w:sz w:val="24"/>
              </w:rPr>
            </w:pPr>
            <w:r>
              <w:rPr>
                <w:rFonts w:ascii="Times New Roman" w:hAnsi="Times New Roman" w:cs="Times New Roman"/>
                <w:sz w:val="24"/>
              </w:rPr>
              <w:t>non-STEM</w:t>
            </w:r>
          </w:p>
        </w:tc>
        <w:tc>
          <w:tcPr>
            <w:tcW w:w="1620" w:type="dxa"/>
          </w:tcPr>
          <w:p w:rsidR="005942BA" w:rsidRDefault="00C57919" w:rsidP="00916D81">
            <w:pPr>
              <w:rPr>
                <w:rFonts w:ascii="Times New Roman" w:hAnsi="Times New Roman" w:cs="Times New Roman"/>
                <w:sz w:val="24"/>
              </w:rPr>
            </w:pPr>
            <w:r>
              <w:rPr>
                <w:rFonts w:ascii="Times New Roman" w:hAnsi="Times New Roman" w:cs="Times New Roman"/>
                <w:sz w:val="24"/>
              </w:rPr>
              <w:t>145</w:t>
            </w:r>
            <w:r w:rsidR="003F19BC">
              <w:rPr>
                <w:rFonts w:ascii="Times New Roman" w:hAnsi="Times New Roman" w:cs="Times New Roman"/>
                <w:sz w:val="24"/>
              </w:rPr>
              <w:t xml:space="preserve"> (62.5%)</w:t>
            </w:r>
          </w:p>
        </w:tc>
        <w:tc>
          <w:tcPr>
            <w:tcW w:w="1530" w:type="dxa"/>
            <w:tcBorders>
              <w:right w:val="single" w:sz="4" w:space="0" w:color="auto"/>
            </w:tcBorders>
          </w:tcPr>
          <w:p w:rsidR="005942BA" w:rsidRDefault="00820618" w:rsidP="00916D81">
            <w:pPr>
              <w:rPr>
                <w:rFonts w:ascii="Times New Roman" w:hAnsi="Times New Roman" w:cs="Times New Roman"/>
                <w:sz w:val="24"/>
              </w:rPr>
            </w:pPr>
            <w:r>
              <w:rPr>
                <w:rFonts w:ascii="Times New Roman" w:hAnsi="Times New Roman" w:cs="Times New Roman"/>
                <w:sz w:val="24"/>
              </w:rPr>
              <w:t>87</w:t>
            </w:r>
            <w:r w:rsidR="003F19BC">
              <w:rPr>
                <w:rFonts w:ascii="Times New Roman" w:hAnsi="Times New Roman" w:cs="Times New Roman"/>
                <w:sz w:val="24"/>
              </w:rPr>
              <w:t xml:space="preserve"> (37.5%)</w:t>
            </w:r>
          </w:p>
        </w:tc>
        <w:tc>
          <w:tcPr>
            <w:tcW w:w="810" w:type="dxa"/>
            <w:tcBorders>
              <w:left w:val="single" w:sz="4" w:space="0" w:color="auto"/>
            </w:tcBorders>
          </w:tcPr>
          <w:p w:rsidR="005942BA" w:rsidRDefault="00820618" w:rsidP="00916D81">
            <w:pPr>
              <w:rPr>
                <w:rFonts w:ascii="Times New Roman" w:hAnsi="Times New Roman" w:cs="Times New Roman"/>
                <w:sz w:val="24"/>
              </w:rPr>
            </w:pPr>
            <w:r>
              <w:rPr>
                <w:rFonts w:ascii="Times New Roman" w:hAnsi="Times New Roman" w:cs="Times New Roman"/>
                <w:sz w:val="24"/>
              </w:rPr>
              <w:t>232</w:t>
            </w:r>
          </w:p>
        </w:tc>
      </w:tr>
      <w:tr w:rsidR="008B7B25" w:rsidTr="003F19BC">
        <w:trPr>
          <w:trHeight w:val="462"/>
        </w:trPr>
        <w:tc>
          <w:tcPr>
            <w:tcW w:w="1800" w:type="dxa"/>
            <w:tcBorders>
              <w:bottom w:val="single" w:sz="4" w:space="0" w:color="auto"/>
            </w:tcBorders>
          </w:tcPr>
          <w:p w:rsidR="008B7B25" w:rsidRDefault="005942BA" w:rsidP="00916D81">
            <w:pPr>
              <w:rPr>
                <w:rFonts w:ascii="Times New Roman" w:hAnsi="Times New Roman" w:cs="Times New Roman"/>
                <w:sz w:val="24"/>
              </w:rPr>
            </w:pPr>
            <w:r>
              <w:rPr>
                <w:rFonts w:ascii="Times New Roman" w:hAnsi="Times New Roman" w:cs="Times New Roman"/>
                <w:sz w:val="24"/>
              </w:rPr>
              <w:t>Undecided</w:t>
            </w:r>
          </w:p>
        </w:tc>
        <w:tc>
          <w:tcPr>
            <w:tcW w:w="1620" w:type="dxa"/>
            <w:tcBorders>
              <w:bottom w:val="single" w:sz="4" w:space="0" w:color="auto"/>
            </w:tcBorders>
          </w:tcPr>
          <w:p w:rsidR="008B7B25" w:rsidRDefault="00C57919" w:rsidP="00916D81">
            <w:pPr>
              <w:rPr>
                <w:rFonts w:ascii="Times New Roman" w:hAnsi="Times New Roman" w:cs="Times New Roman"/>
                <w:sz w:val="24"/>
              </w:rPr>
            </w:pPr>
            <w:r>
              <w:rPr>
                <w:rFonts w:ascii="Times New Roman" w:hAnsi="Times New Roman" w:cs="Times New Roman"/>
                <w:sz w:val="24"/>
              </w:rPr>
              <w:t>139</w:t>
            </w:r>
            <w:r w:rsidR="008B7B25">
              <w:rPr>
                <w:rFonts w:ascii="Times New Roman" w:hAnsi="Times New Roman" w:cs="Times New Roman"/>
                <w:sz w:val="24"/>
              </w:rPr>
              <w:t xml:space="preserve"> </w:t>
            </w:r>
            <w:r w:rsidR="003F19BC">
              <w:rPr>
                <w:rFonts w:ascii="Times New Roman" w:hAnsi="Times New Roman" w:cs="Times New Roman"/>
                <w:sz w:val="24"/>
              </w:rPr>
              <w:t>(72.8%)</w:t>
            </w:r>
          </w:p>
        </w:tc>
        <w:tc>
          <w:tcPr>
            <w:tcW w:w="1530" w:type="dxa"/>
            <w:tcBorders>
              <w:bottom w:val="single" w:sz="4" w:space="0" w:color="auto"/>
              <w:right w:val="single" w:sz="4" w:space="0" w:color="auto"/>
            </w:tcBorders>
          </w:tcPr>
          <w:p w:rsidR="008B7B25" w:rsidRDefault="00820618" w:rsidP="00916D81">
            <w:pPr>
              <w:rPr>
                <w:rFonts w:ascii="Times New Roman" w:hAnsi="Times New Roman" w:cs="Times New Roman"/>
                <w:sz w:val="24"/>
              </w:rPr>
            </w:pPr>
            <w:r>
              <w:rPr>
                <w:rFonts w:ascii="Times New Roman" w:hAnsi="Times New Roman" w:cs="Times New Roman"/>
                <w:sz w:val="24"/>
              </w:rPr>
              <w:t>52</w:t>
            </w:r>
            <w:r w:rsidR="008B7B25">
              <w:rPr>
                <w:rFonts w:ascii="Times New Roman" w:hAnsi="Times New Roman" w:cs="Times New Roman"/>
                <w:sz w:val="24"/>
              </w:rPr>
              <w:t xml:space="preserve"> </w:t>
            </w:r>
            <w:r w:rsidR="003F19BC">
              <w:rPr>
                <w:rFonts w:ascii="Times New Roman" w:hAnsi="Times New Roman" w:cs="Times New Roman"/>
                <w:sz w:val="24"/>
              </w:rPr>
              <w:t>(27.2%)</w:t>
            </w:r>
          </w:p>
        </w:tc>
        <w:tc>
          <w:tcPr>
            <w:tcW w:w="810" w:type="dxa"/>
            <w:tcBorders>
              <w:left w:val="single" w:sz="4" w:space="0" w:color="auto"/>
              <w:bottom w:val="single" w:sz="4" w:space="0" w:color="auto"/>
            </w:tcBorders>
          </w:tcPr>
          <w:p w:rsidR="008B7B25" w:rsidRDefault="00820618" w:rsidP="00916D81">
            <w:pPr>
              <w:rPr>
                <w:rFonts w:ascii="Times New Roman" w:hAnsi="Times New Roman" w:cs="Times New Roman"/>
                <w:sz w:val="24"/>
              </w:rPr>
            </w:pPr>
            <w:r>
              <w:rPr>
                <w:rFonts w:ascii="Times New Roman" w:hAnsi="Times New Roman" w:cs="Times New Roman"/>
                <w:sz w:val="24"/>
              </w:rPr>
              <w:t>191</w:t>
            </w:r>
          </w:p>
        </w:tc>
      </w:tr>
      <w:tr w:rsidR="008B7B25" w:rsidTr="003F19BC">
        <w:trPr>
          <w:trHeight w:val="350"/>
        </w:trPr>
        <w:tc>
          <w:tcPr>
            <w:tcW w:w="1800" w:type="dxa"/>
            <w:tcBorders>
              <w:top w:val="single" w:sz="4" w:space="0" w:color="auto"/>
            </w:tcBorders>
          </w:tcPr>
          <w:p w:rsidR="008B7B25" w:rsidRDefault="008B7B25" w:rsidP="00916D81">
            <w:pPr>
              <w:rPr>
                <w:rFonts w:ascii="Times New Roman" w:hAnsi="Times New Roman" w:cs="Times New Roman"/>
                <w:sz w:val="24"/>
              </w:rPr>
            </w:pPr>
            <w:r>
              <w:rPr>
                <w:rFonts w:ascii="Times New Roman" w:hAnsi="Times New Roman" w:cs="Times New Roman"/>
                <w:sz w:val="24"/>
              </w:rPr>
              <w:t>Total</w:t>
            </w:r>
          </w:p>
        </w:tc>
        <w:tc>
          <w:tcPr>
            <w:tcW w:w="1620" w:type="dxa"/>
            <w:tcBorders>
              <w:top w:val="single" w:sz="4" w:space="0" w:color="auto"/>
            </w:tcBorders>
          </w:tcPr>
          <w:p w:rsidR="008B7B25" w:rsidRDefault="008B7B25" w:rsidP="00916D81">
            <w:pPr>
              <w:rPr>
                <w:rFonts w:ascii="Times New Roman" w:hAnsi="Times New Roman" w:cs="Times New Roman"/>
                <w:sz w:val="24"/>
              </w:rPr>
            </w:pPr>
            <w:r>
              <w:rPr>
                <w:rFonts w:ascii="Times New Roman" w:hAnsi="Times New Roman" w:cs="Times New Roman"/>
                <w:sz w:val="24"/>
              </w:rPr>
              <w:t xml:space="preserve">1653 </w:t>
            </w:r>
          </w:p>
        </w:tc>
        <w:tc>
          <w:tcPr>
            <w:tcW w:w="1530" w:type="dxa"/>
            <w:tcBorders>
              <w:top w:val="single" w:sz="4" w:space="0" w:color="auto"/>
              <w:right w:val="single" w:sz="4" w:space="0" w:color="auto"/>
            </w:tcBorders>
          </w:tcPr>
          <w:p w:rsidR="008B7B25" w:rsidRDefault="008B7B25" w:rsidP="00916D81">
            <w:pPr>
              <w:rPr>
                <w:rFonts w:ascii="Times New Roman" w:hAnsi="Times New Roman" w:cs="Times New Roman"/>
                <w:sz w:val="24"/>
              </w:rPr>
            </w:pPr>
            <w:r>
              <w:rPr>
                <w:rFonts w:ascii="Times New Roman" w:hAnsi="Times New Roman" w:cs="Times New Roman"/>
                <w:sz w:val="24"/>
              </w:rPr>
              <w:t>347</w:t>
            </w:r>
          </w:p>
        </w:tc>
        <w:tc>
          <w:tcPr>
            <w:tcW w:w="810" w:type="dxa"/>
            <w:tcBorders>
              <w:top w:val="single" w:sz="4" w:space="0" w:color="auto"/>
              <w:left w:val="single" w:sz="4" w:space="0" w:color="auto"/>
            </w:tcBorders>
          </w:tcPr>
          <w:p w:rsidR="008B7B25" w:rsidRDefault="008B7B25" w:rsidP="00916D81">
            <w:pPr>
              <w:rPr>
                <w:rFonts w:ascii="Times New Roman" w:hAnsi="Times New Roman" w:cs="Times New Roman"/>
                <w:sz w:val="24"/>
              </w:rPr>
            </w:pPr>
            <w:r>
              <w:rPr>
                <w:rFonts w:ascii="Times New Roman" w:hAnsi="Times New Roman" w:cs="Times New Roman"/>
                <w:sz w:val="24"/>
              </w:rPr>
              <w:t>2000</w:t>
            </w:r>
          </w:p>
        </w:tc>
      </w:tr>
    </w:tbl>
    <w:p w:rsidR="008B7B25" w:rsidRDefault="008B7B25"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p w:rsidR="00DD71C7" w:rsidRDefault="00DD71C7" w:rsidP="006026AC">
      <w:pPr>
        <w:rPr>
          <w:rFonts w:ascii="Times New Roman" w:hAnsi="Times New Roman" w:cs="Times New Roman"/>
          <w:sz w:val="24"/>
        </w:rPr>
      </w:pPr>
    </w:p>
    <w:tbl>
      <w:tblPr>
        <w:tblStyle w:val="TableGrid"/>
        <w:tblpPr w:leftFromText="180" w:rightFromText="180" w:vertAnchor="text" w:horzAnchor="margin" w:tblpXSpec="center" w:tblpY="2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1530"/>
        <w:gridCol w:w="1530"/>
        <w:gridCol w:w="990"/>
      </w:tblGrid>
      <w:tr w:rsidR="00DD71C7" w:rsidTr="003F19BC">
        <w:trPr>
          <w:trHeight w:val="540"/>
        </w:trPr>
        <w:tc>
          <w:tcPr>
            <w:tcW w:w="5580" w:type="dxa"/>
            <w:gridSpan w:val="4"/>
            <w:tcBorders>
              <w:bottom w:val="single" w:sz="4" w:space="0" w:color="auto"/>
            </w:tcBorders>
          </w:tcPr>
          <w:p w:rsidR="00DD71C7" w:rsidRDefault="00DD71C7" w:rsidP="00916D81">
            <w:pPr>
              <w:jc w:val="center"/>
              <w:rPr>
                <w:rFonts w:ascii="Times New Roman" w:hAnsi="Times New Roman" w:cs="Times New Roman"/>
                <w:sz w:val="24"/>
              </w:rPr>
            </w:pPr>
            <w:r>
              <w:rPr>
                <w:rFonts w:ascii="Times New Roman" w:hAnsi="Times New Roman" w:cs="Times New Roman"/>
                <w:sz w:val="24"/>
              </w:rPr>
              <w:t xml:space="preserve">Table 3: </w:t>
            </w:r>
            <w:r w:rsidR="008353CF">
              <w:rPr>
                <w:rFonts w:ascii="Times New Roman" w:hAnsi="Times New Roman" w:cs="Times New Roman"/>
                <w:sz w:val="24"/>
              </w:rPr>
              <w:t>Gender</w:t>
            </w:r>
            <w:r>
              <w:rPr>
                <w:rFonts w:ascii="Times New Roman" w:hAnsi="Times New Roman" w:cs="Times New Roman"/>
                <w:sz w:val="24"/>
              </w:rPr>
              <w:t xml:space="preserve"> of </w:t>
            </w:r>
            <w:proofErr w:type="spellStart"/>
            <w:r w:rsidR="009A5687">
              <w:rPr>
                <w:rFonts w:ascii="Times New Roman" w:hAnsi="Times New Roman" w:cs="Times New Roman"/>
                <w:sz w:val="24"/>
              </w:rPr>
              <w:t>Persisters</w:t>
            </w:r>
            <w:proofErr w:type="spellEnd"/>
            <w:r>
              <w:rPr>
                <w:rFonts w:ascii="Times New Roman" w:hAnsi="Times New Roman" w:cs="Times New Roman"/>
                <w:sz w:val="24"/>
              </w:rPr>
              <w:t xml:space="preserve"> and Switchers</w:t>
            </w:r>
          </w:p>
        </w:tc>
      </w:tr>
      <w:tr w:rsidR="00DD71C7" w:rsidTr="003F19BC">
        <w:trPr>
          <w:trHeight w:val="440"/>
        </w:trPr>
        <w:tc>
          <w:tcPr>
            <w:tcW w:w="1530" w:type="dxa"/>
            <w:tcBorders>
              <w:top w:val="single" w:sz="4" w:space="0" w:color="auto"/>
              <w:bottom w:val="single" w:sz="4" w:space="0" w:color="auto"/>
            </w:tcBorders>
          </w:tcPr>
          <w:p w:rsidR="00DD71C7" w:rsidRDefault="008353CF" w:rsidP="00916D81">
            <w:pPr>
              <w:rPr>
                <w:rFonts w:ascii="Times New Roman" w:hAnsi="Times New Roman" w:cs="Times New Roman"/>
                <w:sz w:val="24"/>
              </w:rPr>
            </w:pPr>
            <w:r>
              <w:rPr>
                <w:rFonts w:ascii="Times New Roman" w:hAnsi="Times New Roman" w:cs="Times New Roman"/>
                <w:sz w:val="24"/>
              </w:rPr>
              <w:t>Gender</w:t>
            </w:r>
          </w:p>
        </w:tc>
        <w:tc>
          <w:tcPr>
            <w:tcW w:w="1530" w:type="dxa"/>
            <w:tcBorders>
              <w:top w:val="single" w:sz="4" w:space="0" w:color="auto"/>
              <w:bottom w:val="single" w:sz="4" w:space="0" w:color="auto"/>
            </w:tcBorders>
          </w:tcPr>
          <w:p w:rsidR="00DD71C7" w:rsidRDefault="00AB5EE3" w:rsidP="00916D81">
            <w:pPr>
              <w:rPr>
                <w:rFonts w:ascii="Times New Roman" w:hAnsi="Times New Roman" w:cs="Times New Roman"/>
                <w:sz w:val="24"/>
              </w:rPr>
            </w:pPr>
            <w:proofErr w:type="spellStart"/>
            <w:r>
              <w:rPr>
                <w:rFonts w:ascii="Times New Roman" w:hAnsi="Times New Roman" w:cs="Times New Roman"/>
                <w:sz w:val="24"/>
              </w:rPr>
              <w:t>Persister</w:t>
            </w:r>
            <w:proofErr w:type="spellEnd"/>
          </w:p>
        </w:tc>
        <w:tc>
          <w:tcPr>
            <w:tcW w:w="1530" w:type="dxa"/>
            <w:tcBorders>
              <w:top w:val="single" w:sz="4" w:space="0" w:color="auto"/>
              <w:bottom w:val="single" w:sz="4" w:space="0" w:color="auto"/>
              <w:right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Switcher</w:t>
            </w:r>
          </w:p>
        </w:tc>
        <w:tc>
          <w:tcPr>
            <w:tcW w:w="990" w:type="dxa"/>
            <w:tcBorders>
              <w:top w:val="single" w:sz="4" w:space="0" w:color="auto"/>
              <w:left w:val="single" w:sz="4" w:space="0" w:color="auto"/>
              <w:bottom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Total</w:t>
            </w:r>
          </w:p>
        </w:tc>
      </w:tr>
      <w:tr w:rsidR="00DD71C7" w:rsidTr="003F19BC">
        <w:trPr>
          <w:trHeight w:val="443"/>
        </w:trPr>
        <w:tc>
          <w:tcPr>
            <w:tcW w:w="1530" w:type="dxa"/>
            <w:tcBorders>
              <w:top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Male</w:t>
            </w:r>
          </w:p>
        </w:tc>
        <w:tc>
          <w:tcPr>
            <w:tcW w:w="1530" w:type="dxa"/>
            <w:tcBorders>
              <w:top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950</w:t>
            </w:r>
            <w:r w:rsidR="003F19BC">
              <w:rPr>
                <w:rFonts w:ascii="Times New Roman" w:hAnsi="Times New Roman" w:cs="Times New Roman"/>
                <w:sz w:val="24"/>
              </w:rPr>
              <w:t xml:space="preserve"> (86.4%)</w:t>
            </w:r>
          </w:p>
        </w:tc>
        <w:tc>
          <w:tcPr>
            <w:tcW w:w="1530" w:type="dxa"/>
            <w:tcBorders>
              <w:top w:val="single" w:sz="4" w:space="0" w:color="auto"/>
              <w:right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150</w:t>
            </w:r>
            <w:r w:rsidR="003F19BC">
              <w:rPr>
                <w:rFonts w:ascii="Times New Roman" w:hAnsi="Times New Roman" w:cs="Times New Roman"/>
                <w:sz w:val="24"/>
              </w:rPr>
              <w:t xml:space="preserve"> (13.6%)</w:t>
            </w:r>
          </w:p>
        </w:tc>
        <w:tc>
          <w:tcPr>
            <w:tcW w:w="990" w:type="dxa"/>
            <w:tcBorders>
              <w:top w:val="single" w:sz="4" w:space="0" w:color="auto"/>
              <w:left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1100</w:t>
            </w:r>
          </w:p>
        </w:tc>
      </w:tr>
      <w:tr w:rsidR="00DD71C7" w:rsidTr="003F19BC">
        <w:trPr>
          <w:trHeight w:val="453"/>
        </w:trPr>
        <w:tc>
          <w:tcPr>
            <w:tcW w:w="1530" w:type="dxa"/>
          </w:tcPr>
          <w:p w:rsidR="00DD71C7" w:rsidRDefault="00DD71C7" w:rsidP="00916D81">
            <w:pPr>
              <w:rPr>
                <w:rFonts w:ascii="Times New Roman" w:hAnsi="Times New Roman" w:cs="Times New Roman"/>
                <w:sz w:val="24"/>
              </w:rPr>
            </w:pPr>
            <w:r>
              <w:rPr>
                <w:rFonts w:ascii="Times New Roman" w:hAnsi="Times New Roman" w:cs="Times New Roman"/>
                <w:sz w:val="24"/>
              </w:rPr>
              <w:t>Female</w:t>
            </w:r>
          </w:p>
        </w:tc>
        <w:tc>
          <w:tcPr>
            <w:tcW w:w="1530" w:type="dxa"/>
          </w:tcPr>
          <w:p w:rsidR="00DD71C7" w:rsidRDefault="00DD71C7" w:rsidP="00916D81">
            <w:pPr>
              <w:rPr>
                <w:rFonts w:ascii="Times New Roman" w:hAnsi="Times New Roman" w:cs="Times New Roman"/>
                <w:sz w:val="24"/>
              </w:rPr>
            </w:pPr>
            <w:proofErr w:type="gramStart"/>
            <w:r>
              <w:rPr>
                <w:rFonts w:ascii="Times New Roman" w:hAnsi="Times New Roman" w:cs="Times New Roman"/>
                <w:sz w:val="24"/>
              </w:rPr>
              <w:t xml:space="preserve">703 </w:t>
            </w:r>
            <w:r w:rsidR="003F19BC">
              <w:rPr>
                <w:rFonts w:ascii="Times New Roman" w:hAnsi="Times New Roman" w:cs="Times New Roman"/>
                <w:sz w:val="24"/>
              </w:rPr>
              <w:t xml:space="preserve"> (</w:t>
            </w:r>
            <w:proofErr w:type="gramEnd"/>
            <w:r w:rsidR="003F19BC">
              <w:rPr>
                <w:rFonts w:ascii="Times New Roman" w:hAnsi="Times New Roman" w:cs="Times New Roman"/>
                <w:sz w:val="24"/>
              </w:rPr>
              <w:t>78.1%)</w:t>
            </w:r>
          </w:p>
        </w:tc>
        <w:tc>
          <w:tcPr>
            <w:tcW w:w="1530" w:type="dxa"/>
            <w:tcBorders>
              <w:right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 xml:space="preserve">197 </w:t>
            </w:r>
            <w:r w:rsidR="003F19BC">
              <w:rPr>
                <w:rFonts w:ascii="Times New Roman" w:hAnsi="Times New Roman" w:cs="Times New Roman"/>
                <w:sz w:val="24"/>
              </w:rPr>
              <w:t>(21.9%)</w:t>
            </w:r>
          </w:p>
        </w:tc>
        <w:tc>
          <w:tcPr>
            <w:tcW w:w="990" w:type="dxa"/>
            <w:tcBorders>
              <w:left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900</w:t>
            </w:r>
          </w:p>
        </w:tc>
      </w:tr>
      <w:tr w:rsidR="00DD71C7" w:rsidTr="003F19BC">
        <w:trPr>
          <w:trHeight w:val="350"/>
        </w:trPr>
        <w:tc>
          <w:tcPr>
            <w:tcW w:w="1530" w:type="dxa"/>
            <w:tcBorders>
              <w:top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Total</w:t>
            </w:r>
          </w:p>
        </w:tc>
        <w:tc>
          <w:tcPr>
            <w:tcW w:w="1530" w:type="dxa"/>
            <w:tcBorders>
              <w:top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 xml:space="preserve">1653 </w:t>
            </w:r>
          </w:p>
        </w:tc>
        <w:tc>
          <w:tcPr>
            <w:tcW w:w="1530" w:type="dxa"/>
            <w:tcBorders>
              <w:top w:val="single" w:sz="4" w:space="0" w:color="auto"/>
              <w:right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347</w:t>
            </w:r>
          </w:p>
        </w:tc>
        <w:tc>
          <w:tcPr>
            <w:tcW w:w="990" w:type="dxa"/>
            <w:tcBorders>
              <w:top w:val="single" w:sz="4" w:space="0" w:color="auto"/>
              <w:left w:val="single" w:sz="4" w:space="0" w:color="auto"/>
            </w:tcBorders>
          </w:tcPr>
          <w:p w:rsidR="00DD71C7" w:rsidRDefault="00DD71C7" w:rsidP="00916D81">
            <w:pPr>
              <w:rPr>
                <w:rFonts w:ascii="Times New Roman" w:hAnsi="Times New Roman" w:cs="Times New Roman"/>
                <w:sz w:val="24"/>
              </w:rPr>
            </w:pPr>
            <w:r>
              <w:rPr>
                <w:rFonts w:ascii="Times New Roman" w:hAnsi="Times New Roman" w:cs="Times New Roman"/>
                <w:sz w:val="24"/>
              </w:rPr>
              <w:t>2000</w:t>
            </w:r>
          </w:p>
        </w:tc>
      </w:tr>
    </w:tbl>
    <w:p w:rsidR="00DD71C7" w:rsidRDefault="00DD71C7" w:rsidP="006026AC">
      <w:pPr>
        <w:rPr>
          <w:rFonts w:ascii="Times New Roman" w:hAnsi="Times New Roman" w:cs="Times New Roman"/>
          <w:sz w:val="24"/>
        </w:rPr>
      </w:pPr>
    </w:p>
    <w:p w:rsidR="004F130D" w:rsidRDefault="004F130D" w:rsidP="006026AC">
      <w:pPr>
        <w:rPr>
          <w:rFonts w:ascii="Times New Roman" w:hAnsi="Times New Roman" w:cs="Times New Roman"/>
          <w:sz w:val="24"/>
        </w:rPr>
      </w:pPr>
    </w:p>
    <w:p w:rsidR="004F130D" w:rsidRDefault="004F130D" w:rsidP="006026AC">
      <w:pPr>
        <w:rPr>
          <w:rFonts w:ascii="Times New Roman" w:hAnsi="Times New Roman" w:cs="Times New Roman"/>
          <w:sz w:val="24"/>
        </w:rPr>
      </w:pPr>
    </w:p>
    <w:p w:rsidR="004F130D" w:rsidRDefault="004F130D" w:rsidP="006026AC">
      <w:pPr>
        <w:rPr>
          <w:rFonts w:ascii="Times New Roman" w:hAnsi="Times New Roman" w:cs="Times New Roman"/>
          <w:sz w:val="24"/>
        </w:rPr>
      </w:pPr>
    </w:p>
    <w:p w:rsidR="004F130D" w:rsidRDefault="004F130D" w:rsidP="006026AC">
      <w:pPr>
        <w:rPr>
          <w:rFonts w:ascii="Times New Roman" w:hAnsi="Times New Roman" w:cs="Times New Roman"/>
          <w:sz w:val="24"/>
        </w:rPr>
      </w:pPr>
    </w:p>
    <w:p w:rsidR="00D459AA" w:rsidRDefault="00D459AA" w:rsidP="006026AC">
      <w:pPr>
        <w:rPr>
          <w:rFonts w:ascii="Times New Roman" w:hAnsi="Times New Roman" w:cs="Times New Roman"/>
          <w:sz w:val="24"/>
        </w:rPr>
      </w:pPr>
    </w:p>
    <w:p w:rsidR="002A1106" w:rsidRDefault="00D459AA" w:rsidP="002A1106">
      <w:pPr>
        <w:spacing w:after="0"/>
        <w:ind w:firstLine="720"/>
        <w:rPr>
          <w:rFonts w:ascii="Times New Roman" w:hAnsi="Times New Roman" w:cs="Times New Roman"/>
          <w:sz w:val="24"/>
        </w:rPr>
      </w:pPr>
      <w:r>
        <w:rPr>
          <w:rFonts w:ascii="Times New Roman" w:hAnsi="Times New Roman" w:cs="Times New Roman"/>
          <w:sz w:val="24"/>
        </w:rPr>
        <w:t xml:space="preserve">Looking at the boxplots above, it doesn’t look like there’s a difference in the </w:t>
      </w:r>
      <w:proofErr w:type="spellStart"/>
      <w:r w:rsidR="009A5687">
        <w:rPr>
          <w:rFonts w:ascii="Times New Roman" w:hAnsi="Times New Roman" w:cs="Times New Roman"/>
          <w:sz w:val="24"/>
        </w:rPr>
        <w:t>persisters</w:t>
      </w:r>
      <w:proofErr w:type="spellEnd"/>
      <w:r>
        <w:rPr>
          <w:rFonts w:ascii="Times New Roman" w:hAnsi="Times New Roman" w:cs="Times New Roman"/>
          <w:sz w:val="24"/>
        </w:rPr>
        <w:t xml:space="preserve"> and switchers when it comes to Teacher or Class Practice scores.</w:t>
      </w:r>
      <w:r w:rsidR="00651189">
        <w:rPr>
          <w:rFonts w:ascii="Times New Roman" w:hAnsi="Times New Roman" w:cs="Times New Roman"/>
          <w:sz w:val="24"/>
        </w:rPr>
        <w:t xml:space="preserve">  There may be a small difference between </w:t>
      </w:r>
      <w:proofErr w:type="spellStart"/>
      <w:r w:rsidR="009A5687">
        <w:rPr>
          <w:rFonts w:ascii="Times New Roman" w:hAnsi="Times New Roman" w:cs="Times New Roman"/>
          <w:sz w:val="24"/>
        </w:rPr>
        <w:t>persisters</w:t>
      </w:r>
      <w:proofErr w:type="spellEnd"/>
      <w:r w:rsidR="00651189">
        <w:rPr>
          <w:rFonts w:ascii="Times New Roman" w:hAnsi="Times New Roman" w:cs="Times New Roman"/>
          <w:sz w:val="24"/>
        </w:rPr>
        <w:t xml:space="preserve"> and switchers and their Standardized Test scores.  From the contingency tables, the most obvious indicators of someone switching are </w:t>
      </w:r>
      <w:r w:rsidR="003F19BC">
        <w:rPr>
          <w:rFonts w:ascii="Times New Roman" w:hAnsi="Times New Roman" w:cs="Times New Roman"/>
          <w:sz w:val="24"/>
        </w:rPr>
        <w:t>non-STEM</w:t>
      </w:r>
      <w:r w:rsidR="00651189">
        <w:rPr>
          <w:rFonts w:ascii="Times New Roman" w:hAnsi="Times New Roman" w:cs="Times New Roman"/>
          <w:sz w:val="24"/>
        </w:rPr>
        <w:t xml:space="preserve"> majors </w:t>
      </w:r>
      <w:r w:rsidR="002737B8">
        <w:rPr>
          <w:rFonts w:ascii="Times New Roman" w:hAnsi="Times New Roman" w:cs="Times New Roman"/>
          <w:sz w:val="24"/>
        </w:rPr>
        <w:t>with 37.5% of non-STEM majors switching from the calculus track.</w:t>
      </w:r>
      <w:r w:rsidR="00651189">
        <w:rPr>
          <w:rFonts w:ascii="Times New Roman" w:hAnsi="Times New Roman" w:cs="Times New Roman"/>
          <w:sz w:val="24"/>
        </w:rPr>
        <w:t xml:space="preserve"> </w:t>
      </w:r>
      <w:r w:rsidR="002737B8">
        <w:rPr>
          <w:rFonts w:ascii="Times New Roman" w:hAnsi="Times New Roman" w:cs="Times New Roman"/>
          <w:sz w:val="24"/>
        </w:rPr>
        <w:t>Females switched a higher rate than men as 21.9% of the females switched in our training data set.</w:t>
      </w:r>
      <w:r w:rsidR="00651189">
        <w:rPr>
          <w:rFonts w:ascii="Times New Roman" w:hAnsi="Times New Roman" w:cs="Times New Roman"/>
          <w:sz w:val="24"/>
        </w:rPr>
        <w:t xml:space="preserve"> </w:t>
      </w:r>
      <w:r w:rsidR="008D68F6">
        <w:rPr>
          <w:rFonts w:ascii="Times New Roman" w:hAnsi="Times New Roman" w:cs="Times New Roman"/>
          <w:sz w:val="24"/>
        </w:rPr>
        <w:t xml:space="preserve">If previous calculus experience has an effect, not having any previous calculus experience (19.5%) had a larger effect </w:t>
      </w:r>
      <w:r w:rsidR="002A1106">
        <w:rPr>
          <w:rFonts w:ascii="Times New Roman" w:hAnsi="Times New Roman" w:cs="Times New Roman"/>
          <w:sz w:val="24"/>
        </w:rPr>
        <w:t xml:space="preserve"> </w:t>
      </w:r>
    </w:p>
    <w:tbl>
      <w:tblPr>
        <w:tblStyle w:val="TableGrid"/>
        <w:tblpPr w:leftFromText="180" w:rightFromText="180" w:vertAnchor="text" w:horzAnchor="margin" w:tblpXSpec="center" w:tblpY="12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440"/>
        <w:gridCol w:w="2160"/>
      </w:tblGrid>
      <w:tr w:rsidR="002A1106" w:rsidRPr="00150395" w:rsidTr="002A1106">
        <w:trPr>
          <w:trHeight w:val="522"/>
        </w:trPr>
        <w:tc>
          <w:tcPr>
            <w:tcW w:w="5576" w:type="dxa"/>
            <w:gridSpan w:val="3"/>
            <w:tcBorders>
              <w:bottom w:val="single" w:sz="4" w:space="0" w:color="auto"/>
            </w:tcBorders>
          </w:tcPr>
          <w:p w:rsidR="002A1106" w:rsidRDefault="002A1106" w:rsidP="002A1106">
            <w:pPr>
              <w:jc w:val="center"/>
              <w:rPr>
                <w:rFonts w:ascii="Times New Roman" w:hAnsi="Times New Roman" w:cs="Times New Roman"/>
                <w:sz w:val="24"/>
                <w:szCs w:val="24"/>
              </w:rPr>
            </w:pPr>
            <w:r w:rsidRPr="00150395">
              <w:rPr>
                <w:rFonts w:ascii="Times New Roman" w:hAnsi="Times New Roman" w:cs="Times New Roman"/>
                <w:sz w:val="24"/>
                <w:szCs w:val="24"/>
              </w:rPr>
              <w:t xml:space="preserve">Table </w:t>
            </w:r>
            <w:r>
              <w:rPr>
                <w:rFonts w:ascii="Times New Roman" w:hAnsi="Times New Roman" w:cs="Times New Roman"/>
                <w:sz w:val="24"/>
                <w:szCs w:val="24"/>
              </w:rPr>
              <w:t>4</w:t>
            </w:r>
            <w:r w:rsidRPr="00150395">
              <w:rPr>
                <w:rFonts w:ascii="Times New Roman" w:hAnsi="Times New Roman" w:cs="Times New Roman"/>
                <w:sz w:val="24"/>
                <w:szCs w:val="24"/>
              </w:rPr>
              <w:t xml:space="preserve">: Model Parameter Estimates and </w:t>
            </w:r>
          </w:p>
          <w:p w:rsidR="002A1106" w:rsidRDefault="002A1106" w:rsidP="002A1106">
            <w:pPr>
              <w:jc w:val="center"/>
              <w:rPr>
                <w:rFonts w:ascii="Times New Roman" w:hAnsi="Times New Roman" w:cs="Times New Roman"/>
                <w:sz w:val="24"/>
                <w:szCs w:val="24"/>
              </w:rPr>
            </w:pPr>
            <w:r w:rsidRPr="00150395">
              <w:rPr>
                <w:rFonts w:ascii="Times New Roman" w:hAnsi="Times New Roman" w:cs="Times New Roman"/>
                <w:sz w:val="24"/>
                <w:szCs w:val="24"/>
              </w:rPr>
              <w:t>Standard Errors</w:t>
            </w:r>
          </w:p>
          <w:p w:rsidR="002A1106" w:rsidRPr="00150395" w:rsidRDefault="002A1106" w:rsidP="002A1106">
            <w:pPr>
              <w:jc w:val="center"/>
              <w:rPr>
                <w:rFonts w:ascii="Times New Roman" w:hAnsi="Times New Roman" w:cs="Times New Roman"/>
                <w:sz w:val="24"/>
                <w:szCs w:val="24"/>
              </w:rPr>
            </w:pPr>
          </w:p>
        </w:tc>
      </w:tr>
      <w:tr w:rsidR="002A1106" w:rsidRPr="00150395" w:rsidTr="002A1106">
        <w:trPr>
          <w:trHeight w:val="374"/>
        </w:trPr>
        <w:tc>
          <w:tcPr>
            <w:tcW w:w="1976" w:type="dxa"/>
            <w:tcBorders>
              <w:top w:val="single" w:sz="4" w:space="0" w:color="auto"/>
              <w:bottom w:val="single" w:sz="4" w:space="0" w:color="auto"/>
            </w:tcBorders>
          </w:tcPr>
          <w:p w:rsidR="002A1106" w:rsidRPr="00150395" w:rsidRDefault="002A1106" w:rsidP="002A1106">
            <w:pPr>
              <w:rPr>
                <w:rFonts w:ascii="Times New Roman" w:hAnsi="Times New Roman" w:cs="Times New Roman"/>
                <w:sz w:val="24"/>
                <w:szCs w:val="24"/>
              </w:rPr>
            </w:pPr>
            <w:r w:rsidRPr="00150395">
              <w:rPr>
                <w:rFonts w:ascii="Times New Roman" w:hAnsi="Times New Roman" w:cs="Times New Roman"/>
                <w:sz w:val="24"/>
                <w:szCs w:val="24"/>
              </w:rPr>
              <w:t>Coefficient</w:t>
            </w:r>
          </w:p>
        </w:tc>
        <w:tc>
          <w:tcPr>
            <w:tcW w:w="1440" w:type="dxa"/>
            <w:tcBorders>
              <w:top w:val="single" w:sz="4" w:space="0" w:color="auto"/>
              <w:bottom w:val="single" w:sz="4" w:space="0" w:color="auto"/>
            </w:tcBorders>
          </w:tcPr>
          <w:p w:rsidR="002A1106" w:rsidRPr="00150395" w:rsidRDefault="002A1106" w:rsidP="002A1106">
            <w:pPr>
              <w:jc w:val="right"/>
              <w:rPr>
                <w:rFonts w:ascii="Times New Roman" w:hAnsi="Times New Roman" w:cs="Times New Roman"/>
                <w:sz w:val="24"/>
                <w:szCs w:val="24"/>
              </w:rPr>
            </w:pPr>
            <w:r w:rsidRPr="00150395">
              <w:rPr>
                <w:rFonts w:ascii="Times New Roman" w:hAnsi="Times New Roman" w:cs="Times New Roman"/>
                <w:sz w:val="24"/>
                <w:szCs w:val="24"/>
              </w:rPr>
              <w:t>Estimate</w:t>
            </w:r>
          </w:p>
        </w:tc>
        <w:tc>
          <w:tcPr>
            <w:tcW w:w="2160" w:type="dxa"/>
            <w:tcBorders>
              <w:top w:val="single" w:sz="4" w:space="0" w:color="auto"/>
              <w:bottom w:val="single" w:sz="4" w:space="0" w:color="auto"/>
            </w:tcBorders>
          </w:tcPr>
          <w:p w:rsidR="002A1106" w:rsidRPr="00150395" w:rsidRDefault="002A1106" w:rsidP="002A1106">
            <w:pPr>
              <w:jc w:val="right"/>
              <w:rPr>
                <w:rFonts w:ascii="Times New Roman" w:hAnsi="Times New Roman" w:cs="Times New Roman"/>
                <w:sz w:val="24"/>
                <w:szCs w:val="24"/>
              </w:rPr>
            </w:pPr>
            <w:r w:rsidRPr="00150395">
              <w:rPr>
                <w:rFonts w:ascii="Times New Roman" w:hAnsi="Times New Roman" w:cs="Times New Roman"/>
                <w:sz w:val="24"/>
                <w:szCs w:val="24"/>
              </w:rPr>
              <w:t>Standard Error</w:t>
            </w:r>
          </w:p>
        </w:tc>
      </w:tr>
      <w:tr w:rsidR="002A1106" w:rsidRPr="00150395" w:rsidTr="002A1106">
        <w:trPr>
          <w:trHeight w:val="374"/>
        </w:trPr>
        <w:tc>
          <w:tcPr>
            <w:tcW w:w="1976" w:type="dxa"/>
            <w:tcBorders>
              <w:top w:val="single" w:sz="4" w:space="0" w:color="auto"/>
            </w:tcBorders>
          </w:tcPr>
          <w:p w:rsidR="002A1106" w:rsidRPr="00150395" w:rsidRDefault="002A1106" w:rsidP="002A1106">
            <w:pPr>
              <w:rPr>
                <w:rFonts w:ascii="Times New Roman" w:hAnsi="Times New Roman" w:cs="Times New Roman"/>
                <w:sz w:val="24"/>
                <w:szCs w:val="24"/>
              </w:rPr>
            </w:pPr>
            <w:r w:rsidRPr="00150395">
              <w:rPr>
                <w:rFonts w:ascii="Times New Roman" w:hAnsi="Times New Roman" w:cs="Times New Roman"/>
                <w:sz w:val="24"/>
                <w:szCs w:val="24"/>
              </w:rPr>
              <w:t>(Intercept)</w:t>
            </w:r>
          </w:p>
        </w:tc>
        <w:tc>
          <w:tcPr>
            <w:tcW w:w="1440" w:type="dxa"/>
            <w:tcBorders>
              <w:top w:val="single" w:sz="4" w:space="0" w:color="auto"/>
            </w:tcBorders>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-0.113</w:t>
            </w:r>
          </w:p>
        </w:tc>
        <w:tc>
          <w:tcPr>
            <w:tcW w:w="2160" w:type="dxa"/>
            <w:tcBorders>
              <w:top w:val="single" w:sz="4" w:space="0" w:color="auto"/>
            </w:tcBorders>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0.516</w:t>
            </w:r>
          </w:p>
        </w:tc>
      </w:tr>
      <w:tr w:rsidR="002A1106" w:rsidRPr="00150395" w:rsidTr="002A1106">
        <w:trPr>
          <w:trHeight w:val="374"/>
        </w:trPr>
        <w:tc>
          <w:tcPr>
            <w:tcW w:w="1976" w:type="dxa"/>
          </w:tcPr>
          <w:p w:rsidR="002A1106" w:rsidRPr="00150395"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PrevCalcCollege</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0.027</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0.260</w:t>
            </w:r>
          </w:p>
        </w:tc>
      </w:tr>
      <w:tr w:rsidR="002A1106" w:rsidRPr="00150395" w:rsidTr="002A1106">
        <w:trPr>
          <w:trHeight w:val="374"/>
        </w:trPr>
        <w:tc>
          <w:tcPr>
            <w:tcW w:w="1976" w:type="dxa"/>
          </w:tcPr>
          <w:p w:rsidR="002A1106" w:rsidRPr="00150395"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PrevCalcNone</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0.213</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0.142</w:t>
            </w:r>
          </w:p>
        </w:tc>
      </w:tr>
      <w:tr w:rsidR="002A1106" w:rsidRPr="00150395" w:rsidTr="002A1106">
        <w:trPr>
          <w:trHeight w:val="374"/>
        </w:trPr>
        <w:tc>
          <w:tcPr>
            <w:tcW w:w="1976" w:type="dxa"/>
          </w:tcPr>
          <w:p w:rsidR="002A1106" w:rsidRPr="00150395"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StandardizedTest</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-0.011</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0.004</w:t>
            </w:r>
          </w:p>
        </w:tc>
      </w:tr>
      <w:tr w:rsidR="002A1106" w:rsidRPr="00150395" w:rsidTr="002A1106">
        <w:trPr>
          <w:trHeight w:val="374"/>
        </w:trPr>
        <w:tc>
          <w:tcPr>
            <w:tcW w:w="1976" w:type="dxa"/>
          </w:tcPr>
          <w:p w:rsidR="002A1106" w:rsidRPr="00150395"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MajorEngineering</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-1.018</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0.239</w:t>
            </w:r>
          </w:p>
        </w:tc>
      </w:tr>
      <w:tr w:rsidR="002A1106" w:rsidRPr="00150395" w:rsidTr="002A1106">
        <w:trPr>
          <w:trHeight w:val="374"/>
        </w:trPr>
        <w:tc>
          <w:tcPr>
            <w:tcW w:w="1976" w:type="dxa"/>
          </w:tcPr>
          <w:p w:rsidR="002A1106"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MajorPreMed</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1.073</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0.187</w:t>
            </w:r>
          </w:p>
        </w:tc>
      </w:tr>
      <w:tr w:rsidR="002A1106" w:rsidRPr="00150395" w:rsidTr="002A1106">
        <w:trPr>
          <w:trHeight w:val="374"/>
        </w:trPr>
        <w:tc>
          <w:tcPr>
            <w:tcW w:w="1976" w:type="dxa"/>
          </w:tcPr>
          <w:p w:rsidR="002A1106"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MajorNonSTEM</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1.526</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0.206</w:t>
            </w:r>
          </w:p>
        </w:tc>
      </w:tr>
      <w:tr w:rsidR="002A1106" w:rsidRPr="00150395" w:rsidTr="002A1106">
        <w:trPr>
          <w:trHeight w:val="374"/>
        </w:trPr>
        <w:tc>
          <w:tcPr>
            <w:tcW w:w="1976" w:type="dxa"/>
          </w:tcPr>
          <w:p w:rsidR="002A1106"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MajorUndecided</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1.030</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0.225</w:t>
            </w:r>
          </w:p>
        </w:tc>
      </w:tr>
      <w:tr w:rsidR="002A1106" w:rsidRPr="00150395" w:rsidTr="002A1106">
        <w:trPr>
          <w:trHeight w:val="374"/>
        </w:trPr>
        <w:tc>
          <w:tcPr>
            <w:tcW w:w="1976" w:type="dxa"/>
          </w:tcPr>
          <w:p w:rsidR="002A1106" w:rsidRDefault="002A1106" w:rsidP="002A1106">
            <w:pPr>
              <w:rPr>
                <w:rFonts w:ascii="Times New Roman" w:hAnsi="Times New Roman" w:cs="Times New Roman"/>
                <w:sz w:val="24"/>
                <w:szCs w:val="24"/>
              </w:rPr>
            </w:pPr>
            <w:r>
              <w:rPr>
                <w:rFonts w:ascii="Times New Roman" w:hAnsi="Times New Roman" w:cs="Times New Roman"/>
                <w:sz w:val="24"/>
                <w:szCs w:val="24"/>
              </w:rPr>
              <w:t>Teacher</w:t>
            </w:r>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-0.365</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0.069</w:t>
            </w:r>
          </w:p>
        </w:tc>
      </w:tr>
      <w:tr w:rsidR="002A1106" w:rsidRPr="00150395" w:rsidTr="002A1106">
        <w:trPr>
          <w:trHeight w:val="374"/>
        </w:trPr>
        <w:tc>
          <w:tcPr>
            <w:tcW w:w="1976" w:type="dxa"/>
          </w:tcPr>
          <w:p w:rsidR="002A1106"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ClassPractice</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0.135</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0.061</w:t>
            </w:r>
          </w:p>
        </w:tc>
      </w:tr>
      <w:tr w:rsidR="002A1106" w:rsidRPr="00150395" w:rsidTr="002A1106">
        <w:trPr>
          <w:trHeight w:val="374"/>
        </w:trPr>
        <w:tc>
          <w:tcPr>
            <w:tcW w:w="1976" w:type="dxa"/>
          </w:tcPr>
          <w:p w:rsidR="002A1106" w:rsidRDefault="002A1106" w:rsidP="002A1106">
            <w:pPr>
              <w:rPr>
                <w:rFonts w:ascii="Times New Roman" w:hAnsi="Times New Roman" w:cs="Times New Roman"/>
                <w:sz w:val="24"/>
                <w:szCs w:val="24"/>
              </w:rPr>
            </w:pPr>
            <w:proofErr w:type="spellStart"/>
            <w:r>
              <w:rPr>
                <w:rFonts w:ascii="Times New Roman" w:hAnsi="Times New Roman" w:cs="Times New Roman"/>
                <w:sz w:val="24"/>
                <w:szCs w:val="24"/>
              </w:rPr>
              <w:t>GenderFemale</w:t>
            </w:r>
            <w:proofErr w:type="spellEnd"/>
          </w:p>
        </w:tc>
        <w:tc>
          <w:tcPr>
            <w:tcW w:w="144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0.267</w:t>
            </w:r>
          </w:p>
        </w:tc>
        <w:tc>
          <w:tcPr>
            <w:tcW w:w="2160" w:type="dxa"/>
          </w:tcPr>
          <w:p w:rsidR="002A1106" w:rsidRPr="00150395" w:rsidRDefault="002A1106" w:rsidP="002A1106">
            <w:pPr>
              <w:jc w:val="right"/>
              <w:rPr>
                <w:rFonts w:ascii="Times New Roman" w:hAnsi="Times New Roman" w:cs="Times New Roman"/>
                <w:sz w:val="24"/>
                <w:szCs w:val="24"/>
              </w:rPr>
            </w:pPr>
            <w:r>
              <w:rPr>
                <w:rFonts w:ascii="Times New Roman" w:hAnsi="Times New Roman" w:cs="Times New Roman"/>
                <w:sz w:val="24"/>
                <w:szCs w:val="24"/>
              </w:rPr>
              <w:t>0.130</w:t>
            </w:r>
          </w:p>
        </w:tc>
      </w:tr>
    </w:tbl>
    <w:p w:rsidR="00444BDD" w:rsidRDefault="008D68F6" w:rsidP="002A1106">
      <w:pPr>
        <w:spacing w:after="0"/>
        <w:rPr>
          <w:rFonts w:ascii="Times New Roman" w:hAnsi="Times New Roman" w:cs="Times New Roman"/>
          <w:sz w:val="24"/>
        </w:rPr>
      </w:pPr>
      <w:r>
        <w:rPr>
          <w:rFonts w:ascii="Times New Roman" w:hAnsi="Times New Roman" w:cs="Times New Roman"/>
          <w:sz w:val="24"/>
        </w:rPr>
        <w:t>than having high school or college experience</w:t>
      </w: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2A1106" w:rsidRDefault="002A1106" w:rsidP="002A1106">
      <w:pPr>
        <w:spacing w:after="0"/>
        <w:rPr>
          <w:rFonts w:ascii="Times New Roman" w:hAnsi="Times New Roman" w:cs="Times New Roman"/>
          <w:sz w:val="24"/>
        </w:rPr>
      </w:pPr>
    </w:p>
    <w:p w:rsidR="00FD0395" w:rsidRDefault="00365120" w:rsidP="00FD0395">
      <w:pPr>
        <w:spacing w:after="0"/>
        <w:ind w:firstLine="720"/>
        <w:rPr>
          <w:rFonts w:ascii="Times New Roman" w:hAnsi="Times New Roman" w:cs="Times New Roman"/>
          <w:sz w:val="24"/>
        </w:rPr>
      </w:pPr>
      <w:r>
        <w:rPr>
          <w:rFonts w:ascii="Times New Roman" w:hAnsi="Times New Roman" w:cs="Times New Roman"/>
          <w:sz w:val="24"/>
        </w:rPr>
        <w:t xml:space="preserve">After transforming from our log-results, we see that for </w:t>
      </w:r>
      <w:proofErr w:type="gramStart"/>
      <w:r>
        <w:rPr>
          <w:rFonts w:ascii="Times New Roman" w:hAnsi="Times New Roman" w:cs="Times New Roman"/>
          <w:sz w:val="24"/>
        </w:rPr>
        <w:t>every one</w:t>
      </w:r>
      <w:proofErr w:type="gramEnd"/>
      <w:r>
        <w:rPr>
          <w:rFonts w:ascii="Times New Roman" w:hAnsi="Times New Roman" w:cs="Times New Roman"/>
          <w:sz w:val="24"/>
        </w:rPr>
        <w:t xml:space="preserve"> additional point increase in a student’s standardized test score, we estimate a 1.1% decrease (95% CI: -2.1%, </w:t>
      </w:r>
    </w:p>
    <w:p w:rsidR="00444BDD" w:rsidRDefault="00365120" w:rsidP="00FD0395">
      <w:pPr>
        <w:spacing w:after="0"/>
        <w:rPr>
          <w:rFonts w:ascii="Times New Roman" w:hAnsi="Times New Roman" w:cs="Times New Roman"/>
          <w:sz w:val="24"/>
        </w:rPr>
      </w:pPr>
      <w:r>
        <w:rPr>
          <w:rFonts w:ascii="Times New Roman" w:hAnsi="Times New Roman" w:cs="Times New Roman"/>
          <w:sz w:val="24"/>
        </w:rPr>
        <w:t>-0.2%)</w:t>
      </w:r>
      <w:r w:rsidR="00D15855">
        <w:rPr>
          <w:rFonts w:ascii="Times New Roman" w:hAnsi="Times New Roman" w:cs="Times New Roman"/>
          <w:sz w:val="24"/>
        </w:rPr>
        <w:t xml:space="preserve"> in odds of a student switching from calculus</w:t>
      </w:r>
      <w:r w:rsidR="00575A94">
        <w:rPr>
          <w:rFonts w:ascii="Times New Roman" w:hAnsi="Times New Roman" w:cs="Times New Roman"/>
          <w:sz w:val="24"/>
        </w:rPr>
        <w:t>, holding all else constant.</w:t>
      </w:r>
    </w:p>
    <w:p w:rsidR="00FD0395" w:rsidRDefault="00FD0395" w:rsidP="00FD0395">
      <w:pPr>
        <w:spacing w:after="0"/>
        <w:ind w:firstLine="720"/>
        <w:rPr>
          <w:rFonts w:ascii="Times New Roman" w:hAnsi="Times New Roman" w:cs="Times New Roman"/>
          <w:sz w:val="24"/>
        </w:rPr>
      </w:pPr>
    </w:p>
    <w:p w:rsidR="004B372F" w:rsidRDefault="00575A94" w:rsidP="00910472">
      <w:pPr>
        <w:rPr>
          <w:rFonts w:ascii="Times New Roman" w:hAnsi="Times New Roman" w:cs="Times New Roman"/>
          <w:sz w:val="24"/>
        </w:rPr>
      </w:pPr>
      <w:r>
        <w:rPr>
          <w:rFonts w:ascii="Times New Roman" w:hAnsi="Times New Roman" w:cs="Times New Roman"/>
          <w:sz w:val="24"/>
        </w:rPr>
        <w:t xml:space="preserve">We tested </w:t>
      </w:r>
    </w:p>
    <w:p w:rsidR="004B372F" w:rsidRDefault="00575A94" w:rsidP="004B372F">
      <w:pPr>
        <w:ind w:left="1440"/>
        <w:jc w:val="both"/>
        <w:rPr>
          <w:rFonts w:ascii="Times New Roman" w:hAnsi="Times New Roman" w:cs="Times New Roman"/>
          <w:sz w:val="24"/>
        </w:rPr>
      </w:pPr>
      <w:proofErr w:type="gramStart"/>
      <w:r w:rsidRPr="004B372F">
        <w:rPr>
          <w:rFonts w:ascii="Times New Roman" w:hAnsi="Times New Roman" w:cs="Times New Roman"/>
          <w:i/>
          <w:sz w:val="24"/>
        </w:rPr>
        <w:t>H</w:t>
      </w:r>
      <w:r w:rsidRPr="004B372F">
        <w:rPr>
          <w:rFonts w:ascii="Times New Roman" w:hAnsi="Times New Roman" w:cs="Times New Roman"/>
          <w:i/>
          <w:sz w:val="24"/>
        </w:rPr>
        <w:softHyphen/>
      </w:r>
      <w:r w:rsidRPr="004B372F">
        <w:rPr>
          <w:rFonts w:ascii="Times New Roman" w:hAnsi="Times New Roman" w:cs="Times New Roman"/>
          <w:i/>
          <w:sz w:val="24"/>
          <w:vertAlign w:val="subscript"/>
        </w:rPr>
        <w:t xml:space="preserve">o </w:t>
      </w:r>
      <w:r w:rsidRPr="004B372F">
        <w:rPr>
          <w:rFonts w:ascii="Times New Roman" w:hAnsi="Times New Roman" w:cs="Times New Roman"/>
          <w:i/>
          <w:sz w:val="24"/>
        </w:rPr>
        <w:t>:</w:t>
      </w:r>
      <w:proofErr w:type="gramEnd"/>
      <w:r w:rsidRPr="004B372F">
        <w:rPr>
          <w:rFonts w:ascii="Times New Roman" w:hAnsi="Times New Roman" w:cs="Times New Roman"/>
          <w:i/>
          <w:sz w:val="24"/>
        </w:rPr>
        <w:t xml:space="preserve"> student’s previous calculus experience makes no difference in a student switching from calculus</w:t>
      </w:r>
      <w:r w:rsidR="00E1250C">
        <w:rPr>
          <w:rFonts w:ascii="Times New Roman" w:hAnsi="Times New Roman" w:cs="Times New Roman"/>
          <w:sz w:val="24"/>
        </w:rPr>
        <w:t xml:space="preserve"> </w:t>
      </w:r>
    </w:p>
    <w:p w:rsidR="004B372F" w:rsidRDefault="00E1250C" w:rsidP="00910472">
      <w:pPr>
        <w:jc w:val="both"/>
        <w:rPr>
          <w:rFonts w:ascii="Times New Roman" w:hAnsi="Times New Roman" w:cs="Times New Roman"/>
          <w:sz w:val="24"/>
        </w:rPr>
      </w:pPr>
      <w:r>
        <w:rPr>
          <w:rFonts w:ascii="Times New Roman" w:hAnsi="Times New Roman" w:cs="Times New Roman"/>
          <w:sz w:val="24"/>
        </w:rPr>
        <w:t>with</w:t>
      </w:r>
      <w:r w:rsidR="00575A94">
        <w:rPr>
          <w:rFonts w:ascii="Times New Roman" w:hAnsi="Times New Roman" w:cs="Times New Roman"/>
          <w:sz w:val="24"/>
        </w:rPr>
        <w:t xml:space="preserve">  </w:t>
      </w:r>
    </w:p>
    <w:p w:rsidR="004B372F" w:rsidRDefault="00702574" w:rsidP="004B372F">
      <w:pPr>
        <w:ind w:left="1440"/>
        <w:jc w:val="both"/>
        <w:rPr>
          <w:rFonts w:ascii="Times New Roman" w:hAnsi="Times New Roman" w:cs="Times New Roman"/>
          <w:sz w:val="24"/>
        </w:rPr>
      </w:pPr>
      <w:r w:rsidRPr="004B372F">
        <w:rPr>
          <w:rFonts w:ascii="Times New Roman" w:hAnsi="Times New Roman" w:cs="Times New Roman"/>
          <w:i/>
          <w:sz w:val="24"/>
        </w:rPr>
        <w:t>H</w:t>
      </w:r>
      <w:r w:rsidRPr="004B372F">
        <w:rPr>
          <w:rFonts w:ascii="Times New Roman" w:hAnsi="Times New Roman" w:cs="Times New Roman"/>
          <w:i/>
          <w:sz w:val="24"/>
        </w:rPr>
        <w:softHyphen/>
      </w:r>
      <w:r w:rsidRPr="004B372F">
        <w:rPr>
          <w:rFonts w:ascii="Times New Roman" w:hAnsi="Times New Roman" w:cs="Times New Roman"/>
          <w:i/>
          <w:sz w:val="24"/>
        </w:rPr>
        <w:softHyphen/>
      </w:r>
      <w:r w:rsidRPr="004B372F">
        <w:rPr>
          <w:rFonts w:ascii="Times New Roman" w:hAnsi="Times New Roman" w:cs="Times New Roman"/>
          <w:i/>
          <w:sz w:val="24"/>
          <w:vertAlign w:val="subscript"/>
        </w:rPr>
        <w:t>a</w:t>
      </w:r>
      <w:r w:rsidRPr="004B372F">
        <w:rPr>
          <w:rFonts w:ascii="Times New Roman" w:hAnsi="Times New Roman" w:cs="Times New Roman"/>
          <w:i/>
          <w:sz w:val="24"/>
        </w:rPr>
        <w:t xml:space="preserve">: </w:t>
      </w:r>
      <w:r w:rsidR="00E1250C" w:rsidRPr="004B372F">
        <w:rPr>
          <w:rFonts w:ascii="Times New Roman" w:hAnsi="Times New Roman" w:cs="Times New Roman"/>
          <w:i/>
          <w:sz w:val="24"/>
        </w:rPr>
        <w:t>student’s previous calculus experience</w:t>
      </w:r>
      <w:r w:rsidRPr="004B372F">
        <w:rPr>
          <w:rFonts w:ascii="Times New Roman" w:hAnsi="Times New Roman" w:cs="Times New Roman"/>
          <w:i/>
          <w:sz w:val="24"/>
        </w:rPr>
        <w:t xml:space="preserve"> </w:t>
      </w:r>
      <w:r w:rsidR="00E1250C" w:rsidRPr="004B372F">
        <w:rPr>
          <w:rFonts w:ascii="Times New Roman" w:hAnsi="Times New Roman" w:cs="Times New Roman"/>
          <w:i/>
          <w:sz w:val="24"/>
        </w:rPr>
        <w:t xml:space="preserve">does </w:t>
      </w:r>
      <w:proofErr w:type="gramStart"/>
      <w:r w:rsidR="00E1250C" w:rsidRPr="004B372F">
        <w:rPr>
          <w:rFonts w:ascii="Times New Roman" w:hAnsi="Times New Roman" w:cs="Times New Roman"/>
          <w:i/>
          <w:sz w:val="24"/>
        </w:rPr>
        <w:t>have an effect on</w:t>
      </w:r>
      <w:proofErr w:type="gramEnd"/>
      <w:r w:rsidR="00E1250C" w:rsidRPr="004B372F">
        <w:rPr>
          <w:rFonts w:ascii="Times New Roman" w:hAnsi="Times New Roman" w:cs="Times New Roman"/>
          <w:i/>
          <w:sz w:val="24"/>
        </w:rPr>
        <w:t xml:space="preserve"> students switching out of calculus</w:t>
      </w:r>
      <w:r w:rsidR="00E1250C">
        <w:rPr>
          <w:rFonts w:ascii="Times New Roman" w:hAnsi="Times New Roman" w:cs="Times New Roman"/>
          <w:sz w:val="24"/>
        </w:rPr>
        <w:t xml:space="preserve">.  </w:t>
      </w:r>
    </w:p>
    <w:p w:rsidR="00E1250C" w:rsidRDefault="00575A94" w:rsidP="00E1250C">
      <w:pPr>
        <w:ind w:firstLine="720"/>
        <w:rPr>
          <w:rFonts w:ascii="Times New Roman" w:hAnsi="Times New Roman" w:cs="Times New Roman"/>
          <w:sz w:val="24"/>
        </w:rPr>
      </w:pPr>
      <w:r>
        <w:rPr>
          <w:rFonts w:ascii="Times New Roman" w:hAnsi="Times New Roman" w:cs="Times New Roman"/>
          <w:sz w:val="24"/>
        </w:rPr>
        <w:t>We found that a student’s previous calculus experience does not make a statistically significant difference (χ</w:t>
      </w:r>
      <w:r>
        <w:rPr>
          <w:rFonts w:ascii="Times New Roman" w:hAnsi="Times New Roman" w:cs="Times New Roman"/>
          <w:sz w:val="24"/>
          <w:vertAlign w:val="superscript"/>
        </w:rPr>
        <w:t xml:space="preserve">2 </w:t>
      </w:r>
      <w:r>
        <w:rPr>
          <w:rFonts w:ascii="Times New Roman" w:hAnsi="Times New Roman" w:cs="Times New Roman"/>
          <w:sz w:val="24"/>
        </w:rPr>
        <w:t xml:space="preserve">= 2.265, p-value = 0.322). </w:t>
      </w:r>
      <w:r w:rsidR="002826E5">
        <w:rPr>
          <w:rFonts w:ascii="Times New Roman" w:hAnsi="Times New Roman" w:cs="Times New Roman"/>
          <w:sz w:val="24"/>
        </w:rPr>
        <w:t xml:space="preserve"> </w:t>
      </w:r>
    </w:p>
    <w:p w:rsidR="004B372F" w:rsidRDefault="00575A94" w:rsidP="00910472">
      <w:pPr>
        <w:rPr>
          <w:rFonts w:ascii="Times New Roman" w:hAnsi="Times New Roman" w:cs="Times New Roman"/>
          <w:sz w:val="24"/>
        </w:rPr>
      </w:pPr>
      <w:r>
        <w:rPr>
          <w:rFonts w:ascii="Times New Roman" w:hAnsi="Times New Roman" w:cs="Times New Roman"/>
          <w:sz w:val="24"/>
        </w:rPr>
        <w:t xml:space="preserve">We also tested </w:t>
      </w:r>
    </w:p>
    <w:p w:rsidR="008A6E16" w:rsidRDefault="00575A94" w:rsidP="008A6E16">
      <w:pPr>
        <w:ind w:left="1440"/>
        <w:rPr>
          <w:rFonts w:ascii="Times New Roman" w:hAnsi="Times New Roman" w:cs="Times New Roman"/>
          <w:sz w:val="24"/>
        </w:rPr>
      </w:pPr>
      <w:r w:rsidRPr="004B372F">
        <w:rPr>
          <w:rFonts w:ascii="Times New Roman" w:hAnsi="Times New Roman" w:cs="Times New Roman"/>
          <w:i/>
          <w:sz w:val="24"/>
        </w:rPr>
        <w:t>H</w:t>
      </w:r>
      <w:r w:rsidRPr="004B372F">
        <w:rPr>
          <w:rFonts w:ascii="Times New Roman" w:hAnsi="Times New Roman" w:cs="Times New Roman"/>
          <w:i/>
          <w:sz w:val="24"/>
          <w:vertAlign w:val="subscript"/>
        </w:rPr>
        <w:t>o</w:t>
      </w:r>
      <w:r w:rsidRPr="004B372F">
        <w:rPr>
          <w:rFonts w:ascii="Times New Roman" w:hAnsi="Times New Roman" w:cs="Times New Roman"/>
          <w:i/>
          <w:sz w:val="24"/>
        </w:rPr>
        <w:t>: student’s intended major makes no difference in a student switching from</w:t>
      </w:r>
      <w:r w:rsidR="008A6E16">
        <w:rPr>
          <w:rFonts w:ascii="Times New Roman" w:hAnsi="Times New Roman" w:cs="Times New Roman"/>
          <w:i/>
          <w:sz w:val="24"/>
        </w:rPr>
        <w:tab/>
      </w:r>
      <w:r w:rsidRPr="004B372F">
        <w:rPr>
          <w:rFonts w:ascii="Times New Roman" w:hAnsi="Times New Roman" w:cs="Times New Roman"/>
          <w:i/>
          <w:sz w:val="24"/>
        </w:rPr>
        <w:t xml:space="preserve"> calculus</w:t>
      </w:r>
      <w:r w:rsidR="00E1250C">
        <w:rPr>
          <w:rFonts w:ascii="Times New Roman" w:hAnsi="Times New Roman" w:cs="Times New Roman"/>
          <w:sz w:val="24"/>
        </w:rPr>
        <w:t xml:space="preserve"> </w:t>
      </w:r>
    </w:p>
    <w:p w:rsidR="004B372F" w:rsidRDefault="00E1250C" w:rsidP="00910472">
      <w:pPr>
        <w:rPr>
          <w:rFonts w:ascii="Times New Roman" w:hAnsi="Times New Roman" w:cs="Times New Roman"/>
          <w:sz w:val="24"/>
        </w:rPr>
      </w:pPr>
      <w:r>
        <w:rPr>
          <w:rFonts w:ascii="Times New Roman" w:hAnsi="Times New Roman" w:cs="Times New Roman"/>
          <w:sz w:val="24"/>
        </w:rPr>
        <w:t xml:space="preserve">with </w:t>
      </w:r>
    </w:p>
    <w:p w:rsidR="004B372F" w:rsidRDefault="00E1250C" w:rsidP="008A6E16">
      <w:pPr>
        <w:ind w:left="1440"/>
        <w:rPr>
          <w:rFonts w:ascii="Times New Roman" w:hAnsi="Times New Roman" w:cs="Times New Roman"/>
          <w:sz w:val="24"/>
        </w:rPr>
      </w:pPr>
      <w:r w:rsidRPr="004B372F">
        <w:rPr>
          <w:rFonts w:ascii="Times New Roman" w:hAnsi="Times New Roman" w:cs="Times New Roman"/>
          <w:i/>
          <w:sz w:val="24"/>
        </w:rPr>
        <w:t>H</w:t>
      </w:r>
      <w:r w:rsidRPr="004B372F">
        <w:rPr>
          <w:rFonts w:ascii="Times New Roman" w:hAnsi="Times New Roman" w:cs="Times New Roman"/>
          <w:i/>
          <w:sz w:val="24"/>
        </w:rPr>
        <w:softHyphen/>
      </w:r>
      <w:r w:rsidRPr="004B372F">
        <w:rPr>
          <w:rFonts w:ascii="Times New Roman" w:hAnsi="Times New Roman" w:cs="Times New Roman"/>
          <w:i/>
          <w:sz w:val="24"/>
        </w:rPr>
        <w:softHyphen/>
      </w:r>
      <w:r w:rsidRPr="004B372F">
        <w:rPr>
          <w:rFonts w:ascii="Times New Roman" w:hAnsi="Times New Roman" w:cs="Times New Roman"/>
          <w:i/>
          <w:sz w:val="24"/>
          <w:vertAlign w:val="subscript"/>
        </w:rPr>
        <w:t>a</w:t>
      </w:r>
      <w:r w:rsidRPr="004B372F">
        <w:rPr>
          <w:rFonts w:ascii="Times New Roman" w:hAnsi="Times New Roman" w:cs="Times New Roman"/>
          <w:i/>
          <w:sz w:val="24"/>
        </w:rPr>
        <w:t xml:space="preserve">: student’s intended major does </w:t>
      </w:r>
      <w:proofErr w:type="gramStart"/>
      <w:r w:rsidRPr="004B372F">
        <w:rPr>
          <w:rFonts w:ascii="Times New Roman" w:hAnsi="Times New Roman" w:cs="Times New Roman"/>
          <w:i/>
          <w:sz w:val="24"/>
        </w:rPr>
        <w:t>have an effect on</w:t>
      </w:r>
      <w:proofErr w:type="gramEnd"/>
      <w:r w:rsidRPr="004B372F">
        <w:rPr>
          <w:rFonts w:ascii="Times New Roman" w:hAnsi="Times New Roman" w:cs="Times New Roman"/>
          <w:i/>
          <w:sz w:val="24"/>
        </w:rPr>
        <w:t xml:space="preserve"> students switching from calculus.</w:t>
      </w:r>
      <w:r>
        <w:rPr>
          <w:rFonts w:ascii="Times New Roman" w:hAnsi="Times New Roman" w:cs="Times New Roman"/>
          <w:sz w:val="24"/>
        </w:rPr>
        <w:t xml:space="preserve">  </w:t>
      </w:r>
      <w:r w:rsidR="00575A94">
        <w:rPr>
          <w:rFonts w:ascii="Times New Roman" w:hAnsi="Times New Roman" w:cs="Times New Roman"/>
          <w:sz w:val="24"/>
        </w:rPr>
        <w:t xml:space="preserve">  </w:t>
      </w:r>
    </w:p>
    <w:p w:rsidR="002826E5" w:rsidRDefault="00575A94" w:rsidP="00E1250C">
      <w:pPr>
        <w:ind w:firstLine="720"/>
        <w:rPr>
          <w:rFonts w:ascii="Times New Roman" w:hAnsi="Times New Roman" w:cs="Times New Roman"/>
          <w:sz w:val="24"/>
        </w:rPr>
      </w:pPr>
      <w:r>
        <w:rPr>
          <w:rFonts w:ascii="Times New Roman" w:hAnsi="Times New Roman" w:cs="Times New Roman"/>
          <w:sz w:val="24"/>
        </w:rPr>
        <w:t>We found that there is a statistically significant difference in a student’s intended major (χ</w:t>
      </w:r>
      <w:r>
        <w:rPr>
          <w:rFonts w:ascii="Times New Roman" w:hAnsi="Times New Roman" w:cs="Times New Roman"/>
          <w:sz w:val="24"/>
          <w:vertAlign w:val="superscript"/>
        </w:rPr>
        <w:t xml:space="preserve">2 </w:t>
      </w:r>
      <w:r>
        <w:rPr>
          <w:rFonts w:ascii="Times New Roman" w:hAnsi="Times New Roman" w:cs="Times New Roman"/>
          <w:sz w:val="24"/>
        </w:rPr>
        <w:t>= 198.34, p-value &lt; 0.001)</w:t>
      </w:r>
      <w:r w:rsidR="007B2769">
        <w:rPr>
          <w:rFonts w:ascii="Times New Roman" w:hAnsi="Times New Roman" w:cs="Times New Roman"/>
          <w:sz w:val="24"/>
        </w:rPr>
        <w:t>.</w:t>
      </w:r>
      <w:r w:rsidR="002826E5">
        <w:rPr>
          <w:rFonts w:ascii="Times New Roman" w:hAnsi="Times New Roman" w:cs="Times New Roman"/>
          <w:sz w:val="24"/>
        </w:rPr>
        <w:t xml:space="preserve">  </w:t>
      </w:r>
    </w:p>
    <w:p w:rsidR="00D633C5" w:rsidRDefault="007D45C3" w:rsidP="002826E5">
      <w:pPr>
        <w:ind w:firstLine="720"/>
        <w:rPr>
          <w:rFonts w:ascii="Times New Roman" w:hAnsi="Times New Roman" w:cs="Times New Roman"/>
          <w:sz w:val="24"/>
        </w:rPr>
      </w:pPr>
      <w:r>
        <w:rPr>
          <w:rFonts w:ascii="Times New Roman" w:hAnsi="Times New Roman" w:cs="Times New Roman"/>
          <w:sz w:val="24"/>
        </w:rPr>
        <w:t>We wanted to know if there is a difference between men and women on the odds of switching from the calculus sequence.  We found that women are 30% (95% CI: 1%, 69%) more likely to switch from the calculus sequence than men</w:t>
      </w:r>
      <w:r w:rsidR="0090451C">
        <w:rPr>
          <w:rFonts w:ascii="Times New Roman" w:hAnsi="Times New Roman" w:cs="Times New Roman"/>
          <w:sz w:val="24"/>
        </w:rPr>
        <w:t>, holding all else constant.</w:t>
      </w:r>
    </w:p>
    <w:p w:rsidR="00E93FC9" w:rsidRPr="00575A94" w:rsidRDefault="0093113F" w:rsidP="002826E5">
      <w:pPr>
        <w:ind w:firstLine="720"/>
        <w:rPr>
          <w:rFonts w:ascii="Times New Roman" w:hAnsi="Times New Roman" w:cs="Times New Roman"/>
          <w:sz w:val="24"/>
        </w:rPr>
      </w:pPr>
      <w:r>
        <w:rPr>
          <w:rFonts w:ascii="Times New Roman" w:hAnsi="Times New Roman" w:cs="Times New Roman"/>
          <w:sz w:val="24"/>
        </w:rPr>
        <w:t>In my own experience, b</w:t>
      </w:r>
      <w:r w:rsidR="001A3DDE">
        <w:rPr>
          <w:rFonts w:ascii="Times New Roman" w:hAnsi="Times New Roman" w:cs="Times New Roman"/>
          <w:sz w:val="24"/>
        </w:rPr>
        <w:t xml:space="preserve">ecause my intended major is statistics I took both Calculus I and Calculus II because they are required to graduate.  I did take Calculus in high school and had a little experience in it, but I didn’t do very well in high school.  Since I didn’t do well, I had to take calculus in college which could be why if </w:t>
      </w:r>
      <w:r w:rsidR="005F4F30">
        <w:rPr>
          <w:rFonts w:ascii="Times New Roman" w:hAnsi="Times New Roman" w:cs="Times New Roman"/>
          <w:sz w:val="24"/>
        </w:rPr>
        <w:t>someone</w:t>
      </w:r>
      <w:r w:rsidR="001A3DDE">
        <w:rPr>
          <w:rFonts w:ascii="Times New Roman" w:hAnsi="Times New Roman" w:cs="Times New Roman"/>
          <w:sz w:val="24"/>
        </w:rPr>
        <w:t xml:space="preserve"> do</w:t>
      </w:r>
      <w:r w:rsidR="005F4F30">
        <w:rPr>
          <w:rFonts w:ascii="Times New Roman" w:hAnsi="Times New Roman" w:cs="Times New Roman"/>
          <w:sz w:val="24"/>
        </w:rPr>
        <w:t>es</w:t>
      </w:r>
      <w:r w:rsidR="001A3DDE">
        <w:rPr>
          <w:rFonts w:ascii="Times New Roman" w:hAnsi="Times New Roman" w:cs="Times New Roman"/>
          <w:sz w:val="24"/>
        </w:rPr>
        <w:t xml:space="preserve"> well in previous experience, you’re less likely to have to take calculus in college</w:t>
      </w:r>
      <w:r w:rsidR="007416F4">
        <w:rPr>
          <w:rFonts w:ascii="Times New Roman" w:hAnsi="Times New Roman" w:cs="Times New Roman"/>
          <w:sz w:val="24"/>
        </w:rPr>
        <w:t xml:space="preserve"> if they received college credit for it.</w:t>
      </w:r>
    </w:p>
    <w:p w:rsidR="00193F24" w:rsidRDefault="00AA2E2A" w:rsidP="004B372F">
      <w:pPr>
        <w:jc w:val="center"/>
        <w:rPr>
          <w:rFonts w:ascii="Times New Roman" w:hAnsi="Times New Roman" w:cs="Times New Roman"/>
          <w:sz w:val="24"/>
        </w:rPr>
      </w:pPr>
      <w:r>
        <w:rPr>
          <w:noProof/>
        </w:rPr>
        <w:drawing>
          <wp:inline distT="0" distB="0" distL="0" distR="0" wp14:anchorId="70C586AE" wp14:editId="0BCFA892">
            <wp:extent cx="5172075" cy="4083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674" cy="4083981"/>
                    </a:xfrm>
                    <a:prstGeom prst="rect">
                      <a:avLst/>
                    </a:prstGeom>
                  </pic:spPr>
                </pic:pic>
              </a:graphicData>
            </a:graphic>
          </wp:inline>
        </w:drawing>
      </w:r>
    </w:p>
    <w:p w:rsidR="00193F24" w:rsidRPr="00193F24" w:rsidRDefault="005C7A17" w:rsidP="00B7282C">
      <w:pPr>
        <w:ind w:firstLine="720"/>
        <w:rPr>
          <w:rFonts w:ascii="Times New Roman" w:hAnsi="Times New Roman" w:cs="Times New Roman"/>
          <w:sz w:val="24"/>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determine how well our model can make predictions, we created a ROC curve.  The larger the AUC (Area Under the Curve), the better our model was at predicting whether a student switches from the Calculus track. The AUC for our model was </w:t>
      </w:r>
      <w:r w:rsidR="00166622">
        <w:rPr>
          <w:rFonts w:ascii="Times New Roman" w:hAnsi="Times New Roman" w:cs="Times New Roman"/>
          <w:sz w:val="24"/>
        </w:rPr>
        <w:t xml:space="preserve">0.76 (with 1 being a perfect prediction), </w:t>
      </w:r>
      <w:bookmarkStart w:id="0" w:name="_GoBack"/>
      <w:bookmarkEnd w:id="0"/>
      <w:r>
        <w:rPr>
          <w:rFonts w:ascii="Times New Roman" w:hAnsi="Times New Roman" w:cs="Times New Roman"/>
          <w:sz w:val="24"/>
        </w:rPr>
        <w:t xml:space="preserve">which means our model did </w:t>
      </w:r>
      <w:r w:rsidR="00B7282C">
        <w:rPr>
          <w:rFonts w:ascii="Times New Roman" w:hAnsi="Times New Roman" w:cs="Times New Roman"/>
          <w:sz w:val="24"/>
        </w:rPr>
        <w:t>well</w:t>
      </w:r>
      <w:r>
        <w:rPr>
          <w:rFonts w:ascii="Times New Roman" w:hAnsi="Times New Roman" w:cs="Times New Roman"/>
          <w:sz w:val="24"/>
        </w:rPr>
        <w:t xml:space="preserve"> at making predictions, although improvements could be made.  </w:t>
      </w:r>
    </w:p>
    <w:sectPr w:rsidR="00193F24" w:rsidRPr="00193F24" w:rsidSect="006026AC">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FE0" w:rsidRDefault="00C13FE0" w:rsidP="006026AC">
      <w:pPr>
        <w:spacing w:after="0" w:line="240" w:lineRule="auto"/>
      </w:pPr>
      <w:r>
        <w:separator/>
      </w:r>
    </w:p>
  </w:endnote>
  <w:endnote w:type="continuationSeparator" w:id="0">
    <w:p w:rsidR="00C13FE0" w:rsidRDefault="00C13FE0" w:rsidP="00602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FE0" w:rsidRDefault="00C13FE0" w:rsidP="006026AC">
      <w:pPr>
        <w:spacing w:after="0" w:line="240" w:lineRule="auto"/>
      </w:pPr>
      <w:r>
        <w:separator/>
      </w:r>
    </w:p>
  </w:footnote>
  <w:footnote w:type="continuationSeparator" w:id="0">
    <w:p w:rsidR="00C13FE0" w:rsidRDefault="00C13FE0" w:rsidP="00602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6AC" w:rsidRPr="006026AC" w:rsidRDefault="006026AC" w:rsidP="006026AC">
    <w:pPr>
      <w:spacing w:after="0"/>
      <w:rPr>
        <w:rFonts w:ascii="Times New Roman" w:hAnsi="Times New Roman" w:cs="Times New Roman"/>
        <w:sz w:val="24"/>
      </w:rPr>
    </w:pPr>
    <w:r w:rsidRPr="006026AC">
      <w:rPr>
        <w:rFonts w:ascii="Times New Roman" w:hAnsi="Times New Roman" w:cs="Times New Roman"/>
        <w:sz w:val="24"/>
      </w:rPr>
      <w:t>Sam Tenney</w:t>
    </w:r>
  </w:p>
  <w:p w:rsidR="006026AC" w:rsidRPr="006026AC" w:rsidRDefault="006026AC" w:rsidP="006026AC">
    <w:pPr>
      <w:spacing w:after="0"/>
      <w:rPr>
        <w:rFonts w:ascii="Times New Roman" w:hAnsi="Times New Roman" w:cs="Times New Roman"/>
        <w:sz w:val="24"/>
      </w:rPr>
    </w:pPr>
    <w:r w:rsidRPr="006026AC">
      <w:rPr>
        <w:rFonts w:ascii="Times New Roman" w:hAnsi="Times New Roman" w:cs="Times New Roman"/>
        <w:sz w:val="24"/>
      </w:rPr>
      <w:t>Wade Farr</w:t>
    </w:r>
  </w:p>
  <w:p w:rsidR="006026AC" w:rsidRPr="006026AC" w:rsidRDefault="006026AC" w:rsidP="006026AC">
    <w:pPr>
      <w:spacing w:after="0"/>
      <w:rPr>
        <w:rFonts w:ascii="Times New Roman" w:hAnsi="Times New Roman" w:cs="Times New Roman"/>
        <w:sz w:val="24"/>
      </w:rPr>
    </w:pPr>
    <w:r w:rsidRPr="006026AC">
      <w:rPr>
        <w:rFonts w:ascii="Times New Roman" w:hAnsi="Times New Roman" w:cs="Times New Roman"/>
        <w:sz w:val="24"/>
      </w:rPr>
      <w:t>Eric Fortney</w:t>
    </w:r>
  </w:p>
  <w:p w:rsidR="006026AC" w:rsidRDefault="006026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AC"/>
    <w:rsid w:val="00002829"/>
    <w:rsid w:val="000A3B08"/>
    <w:rsid w:val="000E5BD6"/>
    <w:rsid w:val="0010021C"/>
    <w:rsid w:val="00166622"/>
    <w:rsid w:val="00170C9F"/>
    <w:rsid w:val="00193F24"/>
    <w:rsid w:val="001A3DDE"/>
    <w:rsid w:val="002737B8"/>
    <w:rsid w:val="002826E5"/>
    <w:rsid w:val="002A1106"/>
    <w:rsid w:val="002E04E8"/>
    <w:rsid w:val="00316795"/>
    <w:rsid w:val="00343962"/>
    <w:rsid w:val="00365120"/>
    <w:rsid w:val="003F19BC"/>
    <w:rsid w:val="00444BDD"/>
    <w:rsid w:val="004A3E74"/>
    <w:rsid w:val="004B372F"/>
    <w:rsid w:val="004F130D"/>
    <w:rsid w:val="00575A94"/>
    <w:rsid w:val="00580202"/>
    <w:rsid w:val="005942BA"/>
    <w:rsid w:val="005C7A17"/>
    <w:rsid w:val="005F4F30"/>
    <w:rsid w:val="006026AC"/>
    <w:rsid w:val="0062333C"/>
    <w:rsid w:val="00651189"/>
    <w:rsid w:val="00663A56"/>
    <w:rsid w:val="00702574"/>
    <w:rsid w:val="00716E71"/>
    <w:rsid w:val="007416F4"/>
    <w:rsid w:val="007665C9"/>
    <w:rsid w:val="007714C9"/>
    <w:rsid w:val="007B2769"/>
    <w:rsid w:val="007D45C3"/>
    <w:rsid w:val="00820618"/>
    <w:rsid w:val="008353CF"/>
    <w:rsid w:val="008A3692"/>
    <w:rsid w:val="008A6E16"/>
    <w:rsid w:val="008B7B25"/>
    <w:rsid w:val="008D68F6"/>
    <w:rsid w:val="0090451C"/>
    <w:rsid w:val="00910472"/>
    <w:rsid w:val="00930D5F"/>
    <w:rsid w:val="0093113F"/>
    <w:rsid w:val="00967C74"/>
    <w:rsid w:val="00986B1B"/>
    <w:rsid w:val="009A5687"/>
    <w:rsid w:val="00AA2E2A"/>
    <w:rsid w:val="00AB5EE3"/>
    <w:rsid w:val="00AE203C"/>
    <w:rsid w:val="00B7282C"/>
    <w:rsid w:val="00B90814"/>
    <w:rsid w:val="00C02649"/>
    <w:rsid w:val="00C13FE0"/>
    <w:rsid w:val="00C43BB7"/>
    <w:rsid w:val="00C57919"/>
    <w:rsid w:val="00C8233C"/>
    <w:rsid w:val="00C84B5F"/>
    <w:rsid w:val="00CD143F"/>
    <w:rsid w:val="00D15855"/>
    <w:rsid w:val="00D459AA"/>
    <w:rsid w:val="00D633C5"/>
    <w:rsid w:val="00D803D3"/>
    <w:rsid w:val="00D86491"/>
    <w:rsid w:val="00DD71C7"/>
    <w:rsid w:val="00E1250C"/>
    <w:rsid w:val="00E65BD7"/>
    <w:rsid w:val="00E93FC9"/>
    <w:rsid w:val="00F8138D"/>
    <w:rsid w:val="00FB31F6"/>
    <w:rsid w:val="00FD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20DF"/>
  <w15:chartTrackingRefBased/>
  <w15:docId w15:val="{C9608C2C-6B9C-4F84-95E6-82D0CE4F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6AC"/>
  </w:style>
  <w:style w:type="paragraph" w:styleId="Footer">
    <w:name w:val="footer"/>
    <w:basedOn w:val="Normal"/>
    <w:link w:val="FooterChar"/>
    <w:uiPriority w:val="99"/>
    <w:unhideWhenUsed/>
    <w:rsid w:val="00602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6AC"/>
  </w:style>
  <w:style w:type="paragraph" w:styleId="Caption">
    <w:name w:val="caption"/>
    <w:basedOn w:val="Normal"/>
    <w:next w:val="Normal"/>
    <w:uiPriority w:val="35"/>
    <w:unhideWhenUsed/>
    <w:qFormat/>
    <w:rsid w:val="004A3E74"/>
    <w:pPr>
      <w:spacing w:after="200" w:line="240" w:lineRule="auto"/>
    </w:pPr>
    <w:rPr>
      <w:i/>
      <w:iCs/>
      <w:color w:val="44546A" w:themeColor="text2"/>
      <w:sz w:val="18"/>
      <w:szCs w:val="18"/>
    </w:rPr>
  </w:style>
  <w:style w:type="table" w:styleId="TableGrid">
    <w:name w:val="Table Grid"/>
    <w:basedOn w:val="TableNormal"/>
    <w:uiPriority w:val="39"/>
    <w:rsid w:val="00D80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007C-031D-4823-B177-BBAE568B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52</cp:revision>
  <dcterms:created xsi:type="dcterms:W3CDTF">2019-04-10T18:09:00Z</dcterms:created>
  <dcterms:modified xsi:type="dcterms:W3CDTF">2019-04-15T18:42:00Z</dcterms:modified>
</cp:coreProperties>
</file>