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01FD" w14:textId="080D3B1D" w:rsidR="009923F8" w:rsidRPr="008A6E33" w:rsidRDefault="008A6E33" w:rsidP="008A6E33">
      <w:pPr>
        <w:jc w:val="center"/>
        <w:rPr>
          <w:sz w:val="28"/>
          <w:szCs w:val="28"/>
        </w:rPr>
      </w:pPr>
      <w:r w:rsidRPr="008A6E33">
        <w:rPr>
          <w:sz w:val="28"/>
          <w:szCs w:val="28"/>
        </w:rPr>
        <w:t>General information about Molecular docking</w:t>
      </w:r>
    </w:p>
    <w:p w14:paraId="14CDAA32" w14:textId="77777777" w:rsidR="008A6E33" w:rsidRDefault="008A6E33" w:rsidP="008A6E33">
      <w:pPr>
        <w:jc w:val="center"/>
      </w:pPr>
    </w:p>
    <w:p w14:paraId="60A8956D" w14:textId="08DDB97B" w:rsidR="008A6E33" w:rsidRPr="008A6E33" w:rsidRDefault="008A6E33" w:rsidP="008A6E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6E33">
        <w:rPr>
          <w:b/>
          <w:bCs/>
          <w:sz w:val="24"/>
          <w:szCs w:val="24"/>
        </w:rPr>
        <w:t>molecular docking</w:t>
      </w:r>
      <w:r>
        <w:rPr>
          <w:b/>
          <w:bCs/>
          <w:sz w:val="24"/>
          <w:szCs w:val="24"/>
        </w:rPr>
        <w:t xml:space="preserve"> </w:t>
      </w:r>
      <w:r w:rsidRPr="008A6E3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8A6E33">
        <w:rPr>
          <w:sz w:val="24"/>
          <w:szCs w:val="24"/>
        </w:rPr>
        <w:t>links protein structure and conserved motifs to ligand binding through efficient computational optimization, generating testable hypotheses for biological and pharmaceutical research.</w:t>
      </w:r>
    </w:p>
    <w:p w14:paraId="6612BC9C" w14:textId="77777777" w:rsidR="008A6E33" w:rsidRDefault="008A6E33" w:rsidP="008A6E33"/>
    <w:p w14:paraId="30CCEB3E" w14:textId="41280FDE" w:rsidR="008A6E33" w:rsidRDefault="008A6E33" w:rsidP="008A6E33">
      <w:pPr>
        <w:pStyle w:val="ListParagraph"/>
        <w:numPr>
          <w:ilvl w:val="0"/>
          <w:numId w:val="2"/>
        </w:numPr>
      </w:pPr>
      <w:r>
        <w:t>Molecular docking is a computational method that predicts how a ligand binds to a protein in 3D space and estimates binding affinity.</w:t>
      </w:r>
    </w:p>
    <w:p w14:paraId="6415F245" w14:textId="77777777" w:rsidR="008A6E33" w:rsidRDefault="008A6E33" w:rsidP="008A6E33">
      <w:pPr>
        <w:pStyle w:val="ListParagraph"/>
      </w:pPr>
    </w:p>
    <w:p w14:paraId="26F62598" w14:textId="18FAAEF0" w:rsidR="008A6E33" w:rsidRDefault="008A6E33" w:rsidP="008A6E33">
      <w:pPr>
        <w:pStyle w:val="ListParagraph"/>
        <w:numPr>
          <w:ilvl w:val="0"/>
          <w:numId w:val="2"/>
        </w:numPr>
      </w:pPr>
      <w:r>
        <w:t>Docking involves pose sampling and energy scoring, not time-based simulation.</w:t>
      </w:r>
    </w:p>
    <w:p w14:paraId="51A10C08" w14:textId="77777777" w:rsidR="008A6E33" w:rsidRDefault="008A6E33" w:rsidP="008A6E33">
      <w:pPr>
        <w:pStyle w:val="ListParagraph"/>
      </w:pPr>
    </w:p>
    <w:p w14:paraId="297B1DA7" w14:textId="259EA15C" w:rsidR="008A6E33" w:rsidRDefault="008A6E33" w:rsidP="008A6E33">
      <w:pPr>
        <w:pStyle w:val="ListParagraph"/>
        <w:numPr>
          <w:ilvl w:val="0"/>
          <w:numId w:val="2"/>
        </w:numPr>
      </w:pPr>
      <w:r>
        <w:t>Docking results are predictive, not experimental proof.</w:t>
      </w:r>
    </w:p>
    <w:p w14:paraId="74E1A9FF" w14:textId="77777777" w:rsidR="008A6E33" w:rsidRDefault="008A6E33" w:rsidP="008A6E33">
      <w:pPr>
        <w:pStyle w:val="ListParagraph"/>
      </w:pPr>
    </w:p>
    <w:p w14:paraId="2E4FA7C2" w14:textId="2A575EEE" w:rsidR="008A6E33" w:rsidRDefault="008A6E33" w:rsidP="008A6E33">
      <w:pPr>
        <w:pStyle w:val="ListParagraph"/>
        <w:numPr>
          <w:ilvl w:val="0"/>
          <w:numId w:val="2"/>
        </w:numPr>
      </w:pPr>
      <w:r>
        <w:t>Protein motifs are short conserved sequence or structural patterns that define functional or binding regions.</w:t>
      </w:r>
    </w:p>
    <w:p w14:paraId="0357F227" w14:textId="77777777" w:rsidR="008A6E33" w:rsidRDefault="008A6E33" w:rsidP="008A6E33">
      <w:pPr>
        <w:pStyle w:val="ListParagraph"/>
      </w:pPr>
    </w:p>
    <w:p w14:paraId="7145C8BD" w14:textId="57ED3608" w:rsidR="008A6E33" w:rsidRDefault="008A6E33" w:rsidP="008A6E33">
      <w:pPr>
        <w:pStyle w:val="ListParagraph"/>
        <w:numPr>
          <w:ilvl w:val="0"/>
          <w:numId w:val="2"/>
        </w:numPr>
      </w:pPr>
      <w:r>
        <w:t>Docking does not identify motifs but tests how ligands interact with motif residues.</w:t>
      </w:r>
    </w:p>
    <w:p w14:paraId="15725032" w14:textId="77777777" w:rsidR="008A6E33" w:rsidRDefault="008A6E33" w:rsidP="008A6E33">
      <w:pPr>
        <w:pStyle w:val="ListParagraph"/>
      </w:pPr>
    </w:p>
    <w:p w14:paraId="48083F72" w14:textId="604E024E" w:rsidR="008A6E33" w:rsidRDefault="008A6E33" w:rsidP="008A6E33">
      <w:pPr>
        <w:pStyle w:val="ListParagraph"/>
        <w:numPr>
          <w:ilvl w:val="0"/>
          <w:numId w:val="2"/>
        </w:numPr>
      </w:pPr>
      <w:r>
        <w:t>Strong docking poses often involve conserved motif amino acids, explaining motif conservation.</w:t>
      </w:r>
    </w:p>
    <w:p w14:paraId="23659A5F" w14:textId="77777777" w:rsidR="008A6E33" w:rsidRDefault="008A6E33" w:rsidP="008A6E33">
      <w:pPr>
        <w:pStyle w:val="ListParagraph"/>
      </w:pPr>
    </w:p>
    <w:p w14:paraId="0C8C77DE" w14:textId="38A40714" w:rsidR="008A6E33" w:rsidRDefault="008A6E33" w:rsidP="008A6E33">
      <w:pPr>
        <w:pStyle w:val="ListParagraph"/>
        <w:numPr>
          <w:ilvl w:val="0"/>
          <w:numId w:val="2"/>
        </w:numPr>
      </w:pPr>
      <w:r>
        <w:t>Docking is used to validate motif function, guide drug design, and interpret resistance mutations.</w:t>
      </w:r>
    </w:p>
    <w:p w14:paraId="5CABCAB9" w14:textId="77777777" w:rsidR="008A6E33" w:rsidRDefault="008A6E33" w:rsidP="008A6E33">
      <w:pPr>
        <w:pStyle w:val="ListParagraph"/>
      </w:pPr>
    </w:p>
    <w:p w14:paraId="239F70F9" w14:textId="0DF23CF8" w:rsidR="008A6E33" w:rsidRDefault="008A6E33" w:rsidP="008A6E33">
      <w:pPr>
        <w:pStyle w:val="ListParagraph"/>
        <w:numPr>
          <w:ilvl w:val="0"/>
          <w:numId w:val="2"/>
        </w:numPr>
      </w:pPr>
      <w:r>
        <w:t>It helps study enzyme–substrate, drug–target, and peptide–protein interactions.</w:t>
      </w:r>
    </w:p>
    <w:p w14:paraId="5E8AF006" w14:textId="77777777" w:rsidR="008A6E33" w:rsidRDefault="008A6E33" w:rsidP="008A6E33">
      <w:pPr>
        <w:pStyle w:val="ListParagraph"/>
      </w:pPr>
    </w:p>
    <w:p w14:paraId="29A3875B" w14:textId="48C67DEF" w:rsidR="008A6E33" w:rsidRDefault="008A6E33" w:rsidP="008A6E33">
      <w:pPr>
        <w:pStyle w:val="ListParagraph"/>
        <w:numPr>
          <w:ilvl w:val="0"/>
          <w:numId w:val="2"/>
        </w:numPr>
      </w:pPr>
      <w:r>
        <w:t>Spa typing and sequence alignment are not docking-related, but docking may use limited alignment only for structure preparation, not typing.</w:t>
      </w:r>
    </w:p>
    <w:p w14:paraId="35A2B772" w14:textId="77777777" w:rsidR="008A6E33" w:rsidRDefault="008A6E33" w:rsidP="008A6E33">
      <w:pPr>
        <w:pStyle w:val="ListParagraph"/>
      </w:pPr>
    </w:p>
    <w:p w14:paraId="05242CCD" w14:textId="2ED12B9F" w:rsidR="008A6E33" w:rsidRDefault="008A6E33" w:rsidP="008A6E33">
      <w:pPr>
        <w:pStyle w:val="ListParagraph"/>
        <w:numPr>
          <w:ilvl w:val="0"/>
          <w:numId w:val="2"/>
        </w:numPr>
      </w:pPr>
      <w:r>
        <w:t>High-resolution mass spectrometry (HRMS) provides exact mass confirmation, often used alongside docking in research for compound validation.</w:t>
      </w:r>
    </w:p>
    <w:p w14:paraId="0B532F14" w14:textId="77777777" w:rsidR="008A6E33" w:rsidRDefault="008A6E33" w:rsidP="008A6E33">
      <w:pPr>
        <w:pStyle w:val="ListParagraph"/>
      </w:pPr>
    </w:p>
    <w:p w14:paraId="00061811" w14:textId="13E65896" w:rsidR="008A6E33" w:rsidRDefault="008A6E33" w:rsidP="008A6E33">
      <w:pPr>
        <w:pStyle w:val="ListParagraph"/>
        <w:numPr>
          <w:ilvl w:val="0"/>
          <w:numId w:val="2"/>
        </w:numPr>
      </w:pPr>
      <w:r>
        <w:t>Lamarckian Genetic Algorithms (LGA) combine genetic algorithms with local search, allowing inherited improvements.</w:t>
      </w:r>
    </w:p>
    <w:p w14:paraId="738B66C7" w14:textId="77777777" w:rsidR="008A6E33" w:rsidRDefault="008A6E33" w:rsidP="008A6E33">
      <w:pPr>
        <w:pStyle w:val="ListParagraph"/>
      </w:pPr>
    </w:p>
    <w:p w14:paraId="21060246" w14:textId="431EC3B5" w:rsidR="008A6E33" w:rsidRDefault="008A6E33" w:rsidP="008A6E33">
      <w:pPr>
        <w:pStyle w:val="ListParagraph"/>
        <w:numPr>
          <w:ilvl w:val="0"/>
          <w:numId w:val="2"/>
        </w:numPr>
      </w:pPr>
      <w:r>
        <w:t>LGA is widely used in docking to balance global exploration and local refinement of binding poses.</w:t>
      </w:r>
    </w:p>
    <w:p w14:paraId="7DAA2F21" w14:textId="77777777" w:rsidR="008A6E33" w:rsidRDefault="008A6E33" w:rsidP="008A6E33">
      <w:pPr>
        <w:pStyle w:val="ListParagraph"/>
      </w:pPr>
    </w:p>
    <w:p w14:paraId="1A66E95D" w14:textId="0EDD66D4" w:rsidR="008A6E33" w:rsidRDefault="008A6E33" w:rsidP="008A6E33">
      <w:pPr>
        <w:pStyle w:val="ListParagraph"/>
        <w:numPr>
          <w:ilvl w:val="0"/>
          <w:numId w:val="2"/>
        </w:numPr>
      </w:pPr>
      <w:r>
        <w:t>Docking is often followed by molecular dynamics simulations and wet-lab assays to confirm predictions.</w:t>
      </w:r>
    </w:p>
    <w:p w14:paraId="51430963" w14:textId="77777777" w:rsidR="008A6E33" w:rsidRDefault="008A6E33" w:rsidP="008A6E33">
      <w:pPr>
        <w:pStyle w:val="ListParagraph"/>
      </w:pPr>
    </w:p>
    <w:p w14:paraId="42E11DDA" w14:textId="5B8CC67C" w:rsidR="008A6E33" w:rsidRDefault="008A6E33" w:rsidP="008A6E33">
      <w:pPr>
        <w:pStyle w:val="ListParagraph"/>
        <w:numPr>
          <w:ilvl w:val="0"/>
          <w:numId w:val="2"/>
        </w:numPr>
      </w:pPr>
      <w:proofErr w:type="spellStart"/>
      <w:r w:rsidRPr="008A6E33">
        <w:rPr>
          <w:b/>
          <w:bCs/>
        </w:rPr>
        <w:t>AutoDock</w:t>
      </w:r>
      <w:proofErr w:type="spellEnd"/>
      <w:r w:rsidRPr="008A6E33">
        <w:rPr>
          <w:b/>
          <w:bCs/>
        </w:rPr>
        <w:t xml:space="preserve"> Tools</w:t>
      </w:r>
      <w:r w:rsidRPr="008A6E33">
        <w:t xml:space="preserve"> functions as a </w:t>
      </w:r>
      <w:r w:rsidRPr="008A6E33">
        <w:rPr>
          <w:b/>
          <w:bCs/>
        </w:rPr>
        <w:t>pre- and post-processing interface</w:t>
      </w:r>
      <w:r w:rsidRPr="008A6E33">
        <w:t xml:space="preserve"> for molecular docking.</w:t>
      </w:r>
    </w:p>
    <w:sectPr w:rsidR="008A6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91736"/>
    <w:multiLevelType w:val="hybridMultilevel"/>
    <w:tmpl w:val="2D987C84"/>
    <w:lvl w:ilvl="0" w:tplc="5EB82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36068"/>
    <w:multiLevelType w:val="hybridMultilevel"/>
    <w:tmpl w:val="268C2028"/>
    <w:lvl w:ilvl="0" w:tplc="B36474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32946">
    <w:abstractNumId w:val="1"/>
  </w:num>
  <w:num w:numId="2" w16cid:durableId="186824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CE"/>
    <w:rsid w:val="001238CE"/>
    <w:rsid w:val="008A6E33"/>
    <w:rsid w:val="009923F8"/>
    <w:rsid w:val="009E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63C4"/>
  <w15:chartTrackingRefBased/>
  <w15:docId w15:val="{343B6931-3FC8-40D6-AD38-A769E071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1496</Characters>
  <Application>Microsoft Office Word</Application>
  <DocSecurity>0</DocSecurity>
  <Lines>78</Lines>
  <Paragraphs>42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2</cp:revision>
  <dcterms:created xsi:type="dcterms:W3CDTF">2026-02-22T08:03:00Z</dcterms:created>
  <dcterms:modified xsi:type="dcterms:W3CDTF">2026-02-22T08:10:00Z</dcterms:modified>
</cp:coreProperties>
</file>