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B2AB8">
      <w:pPr>
        <w:jc w:val="center"/>
      </w:pPr>
      <w:r>
        <w:drawing>
          <wp:inline distT="0" distB="0" distL="0" distR="0">
            <wp:extent cx="1483995" cy="12573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94259" cy="1265879"/>
                    </a:xfrm>
                    <a:prstGeom prst="rect">
                      <a:avLst/>
                    </a:prstGeom>
                    <a:noFill/>
                    <a:ln>
                      <a:noFill/>
                    </a:ln>
                  </pic:spPr>
                </pic:pic>
              </a:graphicData>
            </a:graphic>
          </wp:inline>
        </w:drawing>
      </w:r>
    </w:p>
    <w:p w14:paraId="5EA63C44">
      <w:pPr>
        <w:spacing w:after="0"/>
        <w:jc w:val="center"/>
        <w:rPr>
          <w:b/>
          <w:bCs/>
          <w:sz w:val="24"/>
          <w:szCs w:val="24"/>
        </w:rPr>
      </w:pPr>
      <w:r>
        <w:rPr>
          <w:b/>
          <w:bCs/>
          <w:sz w:val="24"/>
          <w:szCs w:val="24"/>
        </w:rPr>
        <w:t xml:space="preserve">Jordan University of Science and Technology </w:t>
      </w:r>
    </w:p>
    <w:p w14:paraId="1B7971FF">
      <w:pPr>
        <w:spacing w:after="0"/>
        <w:jc w:val="center"/>
        <w:rPr>
          <w:b/>
          <w:bCs/>
          <w:sz w:val="24"/>
          <w:szCs w:val="24"/>
        </w:rPr>
      </w:pPr>
      <w:r>
        <w:rPr>
          <w:b/>
          <w:bCs/>
          <w:sz w:val="24"/>
          <w:szCs w:val="24"/>
        </w:rPr>
        <w:t xml:space="preserve">Faculty of Science &amp; Arts </w:t>
      </w:r>
    </w:p>
    <w:p w14:paraId="5C766950">
      <w:pPr>
        <w:spacing w:after="0"/>
        <w:jc w:val="center"/>
        <w:rPr>
          <w:b/>
          <w:bCs/>
          <w:sz w:val="24"/>
          <w:szCs w:val="24"/>
        </w:rPr>
      </w:pPr>
      <w:r>
        <w:rPr>
          <w:b/>
          <w:bCs/>
          <w:sz w:val="24"/>
          <w:szCs w:val="24"/>
        </w:rPr>
        <w:t>Biotechnology &amp; Genetic Engineering Department</w:t>
      </w:r>
    </w:p>
    <w:p w14:paraId="1FC77988">
      <w:pPr>
        <w:spacing w:after="0"/>
        <w:jc w:val="center"/>
        <w:rPr>
          <w:b/>
          <w:bCs/>
          <w:sz w:val="24"/>
          <w:szCs w:val="24"/>
        </w:rPr>
      </w:pPr>
    </w:p>
    <w:p w14:paraId="1D5C9BD7">
      <w:pPr>
        <w:spacing w:after="0"/>
        <w:jc w:val="center"/>
      </w:pPr>
      <w:r>
        <w:t>BT456 Cytogenetics (Lab)</w:t>
      </w:r>
    </w:p>
    <w:p w14:paraId="2C2C6434">
      <w:pPr>
        <w:spacing w:after="0"/>
        <w:jc w:val="center"/>
        <w:rPr>
          <w:rFonts w:hint="default"/>
          <w:lang w:val="en-US"/>
        </w:rPr>
      </w:pPr>
      <w:r>
        <w:t>Second Semester 202</w:t>
      </w:r>
      <w:r>
        <w:rPr>
          <w:rFonts w:hint="default"/>
          <w:lang w:val="en-US"/>
        </w:rPr>
        <w:t>4</w:t>
      </w:r>
      <w:r>
        <w:t>-202</w:t>
      </w:r>
      <w:r>
        <w:rPr>
          <w:rFonts w:hint="default"/>
          <w:lang w:val="en-US"/>
        </w:rPr>
        <w:t>5</w:t>
      </w:r>
    </w:p>
    <w:p w14:paraId="47E86BBF">
      <w:pPr>
        <w:spacing w:after="0"/>
        <w:jc w:val="center"/>
        <w:rPr>
          <w:rFonts w:hint="default"/>
          <w:b/>
          <w:bCs/>
          <w:lang w:val="en-US"/>
        </w:rPr>
      </w:pPr>
      <w:r>
        <w:rPr>
          <w:rFonts w:hint="default"/>
          <w:b/>
          <w:bCs/>
          <w:lang w:val="en-US"/>
        </w:rPr>
        <w:t>Lab. Instructor: Adan Al-naamneh</w:t>
      </w:r>
    </w:p>
    <w:p w14:paraId="1838C2B8">
      <w:pPr>
        <w:spacing w:after="0"/>
        <w:jc w:val="center"/>
      </w:pPr>
      <w:r>
        <w:rPr>
          <w:b/>
          <w:bCs/>
          <w:sz w:val="24"/>
          <w:szCs w:val="24"/>
        </w:rPr>
        <mc:AlternateContent>
          <mc:Choice Requires="wps">
            <w:drawing>
              <wp:anchor distT="0" distB="0" distL="114300" distR="114300" simplePos="0" relativeHeight="251659264" behindDoc="0" locked="0" layoutInCell="1" allowOverlap="1">
                <wp:simplePos x="0" y="0"/>
                <wp:positionH relativeFrom="column">
                  <wp:posOffset>-333375</wp:posOffset>
                </wp:positionH>
                <wp:positionV relativeFrom="paragraph">
                  <wp:posOffset>165100</wp:posOffset>
                </wp:positionV>
                <wp:extent cx="6724650" cy="11715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6724650" cy="11715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69D6612">
                            <w:pPr>
                              <w:jc w:val="center"/>
                              <w:rPr>
                                <w:b/>
                                <w:bCs/>
                                <w:color w:val="0D0D0D" w:themeColor="text1" w:themeTint="F2"/>
                                <w:sz w:val="24"/>
                                <w:szCs w:val="24"/>
                                <w14:textFill>
                                  <w14:solidFill>
                                    <w14:schemeClr w14:val="tx1">
                                      <w14:lumMod w14:val="95000"/>
                                      <w14:lumOff w14:val="5000"/>
                                    </w14:schemeClr>
                                  </w14:solidFill>
                                </w14:textFill>
                              </w:rPr>
                            </w:pPr>
                            <w:r>
                              <w:rPr>
                                <w:b/>
                                <w:bCs/>
                                <w:color w:val="0D0D0D" w:themeColor="text1" w:themeTint="F2"/>
                                <w:sz w:val="24"/>
                                <w:szCs w:val="24"/>
                                <w14:textFill>
                                  <w14:solidFill>
                                    <w14:schemeClr w14:val="tx1">
                                      <w14:lumMod w14:val="95000"/>
                                      <w14:lumOff w14:val="5000"/>
                                    </w14:schemeClr>
                                  </w14:solidFill>
                                </w14:textFill>
                              </w:rPr>
                              <w:t xml:space="preserve">Course Catalog </w:t>
                            </w:r>
                          </w:p>
                          <w:p w14:paraId="3B9962E3">
                            <w:pPr>
                              <w:jc w:val="center"/>
                              <w:rPr>
                                <w:color w:val="0D0D0D" w:themeColor="text1" w:themeTint="F2"/>
                                <w:sz w:val="24"/>
                                <w:szCs w:val="24"/>
                                <w14:textFill>
                                  <w14:solidFill>
                                    <w14:schemeClr w14:val="tx1">
                                      <w14:lumMod w14:val="95000"/>
                                      <w14:lumOff w14:val="5000"/>
                                    </w14:schemeClr>
                                  </w14:solidFill>
                                </w14:textFill>
                              </w:rPr>
                            </w:pPr>
                            <w:r>
                              <w:rPr>
                                <w:color w:val="0D0D0D" w:themeColor="text1" w:themeTint="F2"/>
                                <w:sz w:val="24"/>
                                <w:szCs w:val="24"/>
                                <w14:textFill>
                                  <w14:solidFill>
                                    <w14:schemeClr w14:val="tx1">
                                      <w14:lumMod w14:val="95000"/>
                                      <w14:lumOff w14:val="5000"/>
                                    </w14:schemeClr>
                                  </w14:solidFill>
                                </w14:textFill>
                              </w:rPr>
                              <w:t>0 Credit Hours. The laboratory provides a comprehensive practical approach to the normal human karyotype, different tools to culture the cells for karyotype preparation, different banding techniques, chromosome identification methods, and numerical and structural abnormalities and their clinical correlates.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26.25pt;margin-top:13pt;height:92.25pt;width:529.5pt;z-index:251659264;v-text-anchor:middle;mso-width-relative:page;mso-height-relative:page;" fillcolor="#FFFFFF [3212]" filled="t" stroked="t" coordsize="21600,21600" o:gfxdata="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7rDyE2AAAAAsBAAAPAAAAAAAAAAEAIAAA&#10;ACIAAABkcnMvZG93bnJldi54bWxQSwECFAAUAAAACACHTuJAbQWdzX4CAAAkBQAADgAAAAAAAAAB&#10;ACAAAAAnAQAAZHJzL2Uyb0RvYy54bWxQSwUGAAAAAAYABgBZAQAAFwYAAAAA&#10;">
                <v:fill on="t" focussize="0,0"/>
                <v:stroke weight="1pt" color="#2F528F [3204]" miterlimit="8" joinstyle="miter"/>
                <v:imagedata o:title=""/>
                <o:lock v:ext="edit" aspectratio="f"/>
                <v:textbox>
                  <w:txbxContent>
                    <w:p w14:paraId="269D6612">
                      <w:pPr>
                        <w:jc w:val="center"/>
                        <w:rPr>
                          <w:b/>
                          <w:bCs/>
                          <w:color w:val="0D0D0D" w:themeColor="text1" w:themeTint="F2"/>
                          <w:sz w:val="24"/>
                          <w:szCs w:val="24"/>
                          <w14:textFill>
                            <w14:solidFill>
                              <w14:schemeClr w14:val="tx1">
                                <w14:lumMod w14:val="95000"/>
                                <w14:lumOff w14:val="5000"/>
                              </w14:schemeClr>
                            </w14:solidFill>
                          </w14:textFill>
                        </w:rPr>
                      </w:pPr>
                      <w:r>
                        <w:rPr>
                          <w:b/>
                          <w:bCs/>
                          <w:color w:val="0D0D0D" w:themeColor="text1" w:themeTint="F2"/>
                          <w:sz w:val="24"/>
                          <w:szCs w:val="24"/>
                          <w14:textFill>
                            <w14:solidFill>
                              <w14:schemeClr w14:val="tx1">
                                <w14:lumMod w14:val="95000"/>
                                <w14:lumOff w14:val="5000"/>
                              </w14:schemeClr>
                            </w14:solidFill>
                          </w14:textFill>
                        </w:rPr>
                        <w:t xml:space="preserve">Course Catalog </w:t>
                      </w:r>
                    </w:p>
                    <w:p w14:paraId="3B9962E3">
                      <w:pPr>
                        <w:jc w:val="center"/>
                        <w:rPr>
                          <w:color w:val="0D0D0D" w:themeColor="text1" w:themeTint="F2"/>
                          <w:sz w:val="24"/>
                          <w:szCs w:val="24"/>
                          <w14:textFill>
                            <w14:solidFill>
                              <w14:schemeClr w14:val="tx1">
                                <w14:lumMod w14:val="95000"/>
                                <w14:lumOff w14:val="5000"/>
                              </w14:schemeClr>
                            </w14:solidFill>
                          </w14:textFill>
                        </w:rPr>
                      </w:pPr>
                      <w:r>
                        <w:rPr>
                          <w:color w:val="0D0D0D" w:themeColor="text1" w:themeTint="F2"/>
                          <w:sz w:val="24"/>
                          <w:szCs w:val="24"/>
                          <w14:textFill>
                            <w14:solidFill>
                              <w14:schemeClr w14:val="tx1">
                                <w14:lumMod w14:val="95000"/>
                                <w14:lumOff w14:val="5000"/>
                              </w14:schemeClr>
                            </w14:solidFill>
                          </w14:textFill>
                        </w:rPr>
                        <w:t>0 Credit Hours. The laboratory provides a comprehensive practical approach to the normal human karyotype, different tools to culture the cells for karyotype preparation, different banding techniques, chromosome identification methods, and numerical and structural abnormalities and their clinical correlates.</w:t>
                      </w:r>
                    </w:p>
                  </w:txbxContent>
                </v:textbox>
              </v:rect>
            </w:pict>
          </mc:Fallback>
        </mc:AlternateContent>
      </w:r>
    </w:p>
    <w:p w14:paraId="78323608">
      <w:pPr>
        <w:spacing w:after="0"/>
        <w:jc w:val="center"/>
        <w:rPr>
          <w:b/>
          <w:bCs/>
          <w:sz w:val="24"/>
          <w:szCs w:val="24"/>
        </w:rPr>
      </w:pPr>
    </w:p>
    <w:p w14:paraId="4DD60BE4">
      <w:pPr>
        <w:spacing w:after="0"/>
        <w:jc w:val="center"/>
        <w:rPr>
          <w:b/>
          <w:bCs/>
          <w:sz w:val="24"/>
          <w:szCs w:val="24"/>
        </w:rPr>
      </w:pPr>
    </w:p>
    <w:p w14:paraId="39B5A5E7">
      <w:pPr>
        <w:spacing w:after="0"/>
        <w:jc w:val="center"/>
        <w:rPr>
          <w:b/>
          <w:bCs/>
          <w:sz w:val="24"/>
          <w:szCs w:val="24"/>
        </w:rPr>
      </w:pPr>
    </w:p>
    <w:p w14:paraId="03642137">
      <w:pPr>
        <w:spacing w:after="0"/>
        <w:jc w:val="center"/>
        <w:rPr>
          <w:b/>
          <w:bCs/>
          <w:sz w:val="24"/>
          <w:szCs w:val="24"/>
        </w:rPr>
      </w:pPr>
    </w:p>
    <w:p w14:paraId="7DF61626">
      <w:pPr>
        <w:spacing w:after="0"/>
        <w:jc w:val="center"/>
        <w:rPr>
          <w:b/>
          <w:bCs/>
          <w:sz w:val="24"/>
          <w:szCs w:val="24"/>
        </w:rPr>
      </w:pPr>
    </w:p>
    <w:p w14:paraId="7FA28D58">
      <w:pPr>
        <w:spacing w:after="0"/>
        <w:jc w:val="center"/>
        <w:rPr>
          <w:b/>
          <w:bCs/>
          <w:sz w:val="24"/>
          <w:szCs w:val="24"/>
        </w:rPr>
      </w:pPr>
    </w:p>
    <w:p w14:paraId="26FB1095">
      <w:pPr>
        <w:spacing w:after="0"/>
        <w:jc w:val="center"/>
        <w:rPr>
          <w:b/>
          <w:bCs/>
          <w:sz w:val="24"/>
          <w:szCs w:val="24"/>
        </w:rPr>
      </w:pPr>
    </w:p>
    <w:tbl>
      <w:tblPr>
        <w:tblStyle w:val="4"/>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7710"/>
      </w:tblGrid>
      <w:tr w14:paraId="12A9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56175E9E">
            <w:pPr>
              <w:spacing w:after="0" w:line="240" w:lineRule="auto"/>
              <w:jc w:val="center"/>
              <w:rPr>
                <w:rFonts w:hint="default"/>
                <w:b/>
                <w:bCs/>
                <w:sz w:val="26"/>
                <w:szCs w:val="26"/>
                <w:lang w:val="en-US"/>
              </w:rPr>
            </w:pPr>
            <w:r>
              <w:rPr>
                <w:b/>
                <w:bCs/>
                <w:sz w:val="26"/>
                <w:szCs w:val="26"/>
              </w:rPr>
              <w:t>Experiment</w:t>
            </w:r>
          </w:p>
        </w:tc>
        <w:tc>
          <w:tcPr>
            <w:tcW w:w="7710" w:type="dxa"/>
          </w:tcPr>
          <w:p w14:paraId="39DC2448">
            <w:pPr>
              <w:spacing w:after="0" w:line="240" w:lineRule="auto"/>
              <w:jc w:val="center"/>
              <w:rPr>
                <w:b/>
                <w:bCs/>
                <w:sz w:val="26"/>
                <w:szCs w:val="26"/>
              </w:rPr>
            </w:pPr>
            <w:r>
              <w:rPr>
                <w:b/>
                <w:bCs/>
                <w:sz w:val="26"/>
                <w:szCs w:val="26"/>
              </w:rPr>
              <w:t>Topic</w:t>
            </w:r>
          </w:p>
        </w:tc>
      </w:tr>
      <w:tr w14:paraId="3F30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39E759DD">
            <w:pPr>
              <w:spacing w:after="0" w:line="240" w:lineRule="auto"/>
              <w:jc w:val="center"/>
              <w:rPr>
                <w:b/>
                <w:bCs/>
                <w:sz w:val="24"/>
                <w:szCs w:val="24"/>
              </w:rPr>
            </w:pPr>
            <w:r>
              <w:rPr>
                <w:b/>
                <w:bCs/>
                <w:sz w:val="24"/>
                <w:szCs w:val="24"/>
              </w:rPr>
              <w:t>1</w:t>
            </w:r>
          </w:p>
        </w:tc>
        <w:tc>
          <w:tcPr>
            <w:tcW w:w="7710" w:type="dxa"/>
          </w:tcPr>
          <w:p w14:paraId="293473AA">
            <w:pPr>
              <w:spacing w:after="0" w:line="240" w:lineRule="auto"/>
              <w:jc w:val="center"/>
              <w:rPr>
                <w:b/>
                <w:bCs/>
                <w:sz w:val="24"/>
                <w:szCs w:val="24"/>
              </w:rPr>
            </w:pPr>
            <w:r>
              <w:rPr>
                <w:sz w:val="24"/>
                <w:szCs w:val="24"/>
              </w:rPr>
              <w:t>The microscope and general lab rules for cytogenetics</w:t>
            </w:r>
          </w:p>
        </w:tc>
      </w:tr>
      <w:tr w14:paraId="621C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49952D3A">
            <w:pPr>
              <w:spacing w:after="0" w:line="240" w:lineRule="auto"/>
              <w:jc w:val="center"/>
              <w:rPr>
                <w:b/>
                <w:bCs/>
                <w:sz w:val="24"/>
                <w:szCs w:val="24"/>
              </w:rPr>
            </w:pPr>
            <w:r>
              <w:rPr>
                <w:b/>
                <w:bCs/>
                <w:sz w:val="24"/>
                <w:szCs w:val="24"/>
              </w:rPr>
              <w:t>2</w:t>
            </w:r>
          </w:p>
        </w:tc>
        <w:tc>
          <w:tcPr>
            <w:tcW w:w="7710" w:type="dxa"/>
          </w:tcPr>
          <w:p w14:paraId="005C03F9">
            <w:pPr>
              <w:spacing w:after="0" w:line="240" w:lineRule="auto"/>
              <w:jc w:val="center"/>
              <w:rPr>
                <w:sz w:val="24"/>
                <w:szCs w:val="24"/>
              </w:rPr>
            </w:pPr>
            <w:r>
              <w:rPr>
                <w:sz w:val="24"/>
                <w:szCs w:val="24"/>
              </w:rPr>
              <w:t>Distinguish</w:t>
            </w:r>
            <w:r>
              <w:rPr>
                <w:rFonts w:hint="default"/>
                <w:sz w:val="24"/>
                <w:szCs w:val="24"/>
                <w:lang w:val="en-US"/>
              </w:rPr>
              <w:t xml:space="preserve"> Human c</w:t>
            </w:r>
            <w:r>
              <w:rPr>
                <w:sz w:val="24"/>
                <w:szCs w:val="24"/>
              </w:rPr>
              <w:t xml:space="preserve">hromosomes </w:t>
            </w:r>
          </w:p>
        </w:tc>
      </w:tr>
      <w:tr w14:paraId="37AF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00C5A5EF">
            <w:pPr>
              <w:spacing w:after="0" w:line="240" w:lineRule="auto"/>
              <w:jc w:val="center"/>
              <w:rPr>
                <w:b/>
                <w:bCs/>
                <w:sz w:val="24"/>
                <w:szCs w:val="24"/>
              </w:rPr>
            </w:pPr>
            <w:r>
              <w:rPr>
                <w:b/>
                <w:bCs/>
                <w:sz w:val="24"/>
                <w:szCs w:val="24"/>
              </w:rPr>
              <w:t>3</w:t>
            </w:r>
          </w:p>
        </w:tc>
        <w:tc>
          <w:tcPr>
            <w:tcW w:w="7710" w:type="dxa"/>
          </w:tcPr>
          <w:p w14:paraId="079FAAA5">
            <w:pPr>
              <w:spacing w:after="0" w:line="240" w:lineRule="auto"/>
              <w:jc w:val="center"/>
              <w:rPr>
                <w:rFonts w:hint="default"/>
                <w:b/>
                <w:bCs/>
                <w:sz w:val="24"/>
                <w:szCs w:val="24"/>
                <w:lang w:val="en-US"/>
              </w:rPr>
            </w:pPr>
            <w:r>
              <w:rPr>
                <w:sz w:val="24"/>
                <w:szCs w:val="24"/>
              </w:rPr>
              <w:t>Karyotyping different abnormal cases I</w:t>
            </w:r>
            <w:r>
              <w:rPr>
                <w:rFonts w:hint="default"/>
                <w:sz w:val="24"/>
                <w:szCs w:val="24"/>
                <w:lang w:val="en-US"/>
              </w:rPr>
              <w:t xml:space="preserve"> (</w:t>
            </w:r>
            <w:r>
              <w:rPr>
                <w:rFonts w:hint="default" w:eastAsia="Arial" w:cs="Arial" w:asciiTheme="minorAscii" w:hAnsiTheme="minorAscii"/>
                <w:i w:val="0"/>
                <w:iCs w:val="0"/>
                <w:caps w:val="0"/>
                <w:color w:val="1F1F1F"/>
                <w:spacing w:val="0"/>
                <w:sz w:val="24"/>
                <w:szCs w:val="24"/>
                <w:shd w:val="clear" w:fill="FFFFFF"/>
              </w:rPr>
              <w:t>Numerical abnormalities</w:t>
            </w:r>
            <w:r>
              <w:rPr>
                <w:rFonts w:hint="default" w:eastAsia="Arial" w:cs="Arial" w:asciiTheme="minorAscii" w:hAnsiTheme="minorAscii"/>
                <w:i w:val="0"/>
                <w:iCs w:val="0"/>
                <w:caps w:val="0"/>
                <w:color w:val="1F1F1F"/>
                <w:spacing w:val="0"/>
                <w:sz w:val="24"/>
                <w:szCs w:val="24"/>
                <w:shd w:val="clear" w:fill="FFFFFF"/>
                <w:lang w:val="en-US"/>
              </w:rPr>
              <w:t>)</w:t>
            </w:r>
          </w:p>
        </w:tc>
      </w:tr>
      <w:tr w14:paraId="0BD25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2DFAC9E7">
            <w:pPr>
              <w:spacing w:after="0" w:line="240" w:lineRule="auto"/>
              <w:jc w:val="center"/>
              <w:rPr>
                <w:b/>
                <w:bCs/>
                <w:sz w:val="24"/>
                <w:szCs w:val="24"/>
              </w:rPr>
            </w:pPr>
            <w:r>
              <w:rPr>
                <w:b/>
                <w:bCs/>
                <w:sz w:val="24"/>
                <w:szCs w:val="24"/>
              </w:rPr>
              <w:t>4</w:t>
            </w:r>
          </w:p>
        </w:tc>
        <w:tc>
          <w:tcPr>
            <w:tcW w:w="7710" w:type="dxa"/>
          </w:tcPr>
          <w:p w14:paraId="2846B4AF">
            <w:pPr>
              <w:spacing w:after="0" w:line="240" w:lineRule="auto"/>
              <w:jc w:val="center"/>
              <w:rPr>
                <w:rFonts w:hint="default"/>
                <w:b/>
                <w:bCs/>
                <w:sz w:val="24"/>
                <w:szCs w:val="24"/>
                <w:lang w:val="en-US"/>
              </w:rPr>
            </w:pPr>
            <w:r>
              <w:rPr>
                <w:sz w:val="24"/>
                <w:szCs w:val="24"/>
              </w:rPr>
              <w:t>Karyotyping different abnormal cases II</w:t>
            </w:r>
            <w:r>
              <w:rPr>
                <w:rFonts w:hint="default"/>
                <w:sz w:val="24"/>
                <w:szCs w:val="24"/>
                <w:lang w:val="en-US"/>
              </w:rPr>
              <w:t xml:space="preserve"> (Balanced structural </w:t>
            </w:r>
            <w:r>
              <w:rPr>
                <w:rFonts w:hint="default" w:eastAsia="Arial" w:cs="Arial" w:asciiTheme="minorAscii" w:hAnsiTheme="minorAscii"/>
                <w:i w:val="0"/>
                <w:iCs w:val="0"/>
                <w:caps w:val="0"/>
                <w:color w:val="1F1F1F"/>
                <w:spacing w:val="0"/>
                <w:sz w:val="24"/>
                <w:szCs w:val="24"/>
                <w:shd w:val="clear" w:fill="FFFFFF"/>
              </w:rPr>
              <w:t>abnormalities</w:t>
            </w:r>
            <w:r>
              <w:rPr>
                <w:rFonts w:hint="default" w:eastAsia="Arial" w:cs="Arial" w:asciiTheme="minorAscii" w:hAnsiTheme="minorAscii"/>
                <w:i w:val="0"/>
                <w:iCs w:val="0"/>
                <w:caps w:val="0"/>
                <w:color w:val="1F1F1F"/>
                <w:spacing w:val="0"/>
                <w:sz w:val="24"/>
                <w:szCs w:val="24"/>
                <w:shd w:val="clear" w:fill="FFFFFF"/>
                <w:lang w:val="en-US"/>
              </w:rPr>
              <w:t>)</w:t>
            </w:r>
          </w:p>
        </w:tc>
      </w:tr>
      <w:tr w14:paraId="49A9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1074F123">
            <w:pPr>
              <w:spacing w:after="0" w:line="240" w:lineRule="auto"/>
              <w:jc w:val="center"/>
              <w:rPr>
                <w:b/>
                <w:bCs/>
                <w:sz w:val="24"/>
                <w:szCs w:val="24"/>
              </w:rPr>
            </w:pPr>
            <w:r>
              <w:rPr>
                <w:b/>
                <w:bCs/>
                <w:sz w:val="24"/>
                <w:szCs w:val="24"/>
              </w:rPr>
              <w:t>5</w:t>
            </w:r>
          </w:p>
        </w:tc>
        <w:tc>
          <w:tcPr>
            <w:tcW w:w="7710" w:type="dxa"/>
          </w:tcPr>
          <w:p w14:paraId="7FC08FF3">
            <w:pPr>
              <w:spacing w:after="0" w:line="240" w:lineRule="auto"/>
              <w:jc w:val="center"/>
              <w:rPr>
                <w:rFonts w:hint="default"/>
                <w:sz w:val="24"/>
                <w:szCs w:val="24"/>
                <w:lang w:val="en-US"/>
              </w:rPr>
            </w:pPr>
            <w:r>
              <w:rPr>
                <w:sz w:val="24"/>
                <w:szCs w:val="24"/>
              </w:rPr>
              <w:t>Karyotyping different abnormal cases II</w:t>
            </w:r>
            <w:r>
              <w:rPr>
                <w:rFonts w:hint="default"/>
                <w:sz w:val="24"/>
                <w:szCs w:val="24"/>
                <w:lang w:val="en-US"/>
              </w:rPr>
              <w:t xml:space="preserve">I (Unbalanced structural </w:t>
            </w:r>
            <w:r>
              <w:rPr>
                <w:rFonts w:hint="default" w:eastAsia="Arial" w:cs="Arial" w:asciiTheme="minorAscii" w:hAnsiTheme="minorAscii"/>
                <w:i w:val="0"/>
                <w:iCs w:val="0"/>
                <w:caps w:val="0"/>
                <w:color w:val="1F1F1F"/>
                <w:spacing w:val="0"/>
                <w:sz w:val="24"/>
                <w:szCs w:val="24"/>
                <w:shd w:val="clear" w:fill="FFFFFF"/>
              </w:rPr>
              <w:t>abnormalitie</w:t>
            </w:r>
            <w:r>
              <w:rPr>
                <w:rFonts w:hint="default" w:eastAsia="Arial" w:cs="Arial" w:asciiTheme="minorAscii" w:hAnsiTheme="minorAscii"/>
                <w:i w:val="0"/>
                <w:iCs w:val="0"/>
                <w:caps w:val="0"/>
                <w:color w:val="1F1F1F"/>
                <w:spacing w:val="0"/>
                <w:sz w:val="24"/>
                <w:szCs w:val="24"/>
                <w:shd w:val="clear" w:fill="FFFFFF"/>
                <w:lang w:val="en-US"/>
              </w:rPr>
              <w:t>s)</w:t>
            </w:r>
          </w:p>
        </w:tc>
      </w:tr>
      <w:tr w14:paraId="5868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35BCE424">
            <w:pPr>
              <w:spacing w:after="0" w:line="240" w:lineRule="auto"/>
              <w:jc w:val="center"/>
              <w:rPr>
                <w:rFonts w:hint="default"/>
                <w:b/>
                <w:bCs/>
                <w:sz w:val="24"/>
                <w:szCs w:val="24"/>
                <w:lang w:val="en-US"/>
              </w:rPr>
            </w:pPr>
            <w:r>
              <w:rPr>
                <w:rFonts w:hint="default"/>
                <w:b/>
                <w:bCs/>
                <w:sz w:val="24"/>
                <w:szCs w:val="24"/>
                <w:lang w:val="en-US"/>
              </w:rPr>
              <w:t>6</w:t>
            </w:r>
          </w:p>
        </w:tc>
        <w:tc>
          <w:tcPr>
            <w:tcW w:w="7710" w:type="dxa"/>
          </w:tcPr>
          <w:p w14:paraId="71E0B2CA">
            <w:pPr>
              <w:spacing w:after="0" w:line="240" w:lineRule="auto"/>
              <w:jc w:val="center"/>
              <w:rPr>
                <w:b/>
                <w:bCs/>
                <w:sz w:val="24"/>
                <w:szCs w:val="24"/>
              </w:rPr>
            </w:pPr>
            <w:r>
              <w:rPr>
                <w:sz w:val="24"/>
                <w:szCs w:val="24"/>
              </w:rPr>
              <w:t>Sex chromatin mass: Neutrophil nuclear drumsticks and Barr body</w:t>
            </w:r>
          </w:p>
        </w:tc>
      </w:tr>
      <w:tr w14:paraId="530F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5A5CEB59">
            <w:pPr>
              <w:spacing w:after="0" w:line="240" w:lineRule="auto"/>
              <w:jc w:val="center"/>
              <w:rPr>
                <w:b/>
                <w:bCs/>
                <w:sz w:val="24"/>
                <w:szCs w:val="24"/>
              </w:rPr>
            </w:pPr>
            <w:r>
              <w:rPr>
                <w:rFonts w:hint="default"/>
                <w:b/>
                <w:bCs/>
                <w:sz w:val="24"/>
                <w:szCs w:val="24"/>
                <w:lang w:val="en-US"/>
              </w:rPr>
              <w:t>7</w:t>
            </w:r>
          </w:p>
        </w:tc>
        <w:tc>
          <w:tcPr>
            <w:tcW w:w="7710" w:type="dxa"/>
          </w:tcPr>
          <w:p w14:paraId="562DFC6A">
            <w:pPr>
              <w:spacing w:after="0" w:line="240" w:lineRule="auto"/>
              <w:jc w:val="center"/>
              <w:rPr>
                <w:sz w:val="24"/>
                <w:szCs w:val="24"/>
              </w:rPr>
            </w:pPr>
            <w:r>
              <w:rPr>
                <w:sz w:val="24"/>
                <w:szCs w:val="24"/>
              </w:rPr>
              <w:t>Human lymphocytes culture and harvesting</w:t>
            </w:r>
          </w:p>
          <w:p w14:paraId="20361E42">
            <w:pPr>
              <w:spacing w:after="0" w:line="240" w:lineRule="auto"/>
              <w:jc w:val="center"/>
              <w:rPr>
                <w:b/>
                <w:bCs/>
                <w:sz w:val="24"/>
                <w:szCs w:val="24"/>
              </w:rPr>
            </w:pPr>
            <w:r>
              <w:rPr>
                <w:b/>
                <w:bCs/>
                <w:sz w:val="24"/>
                <w:szCs w:val="24"/>
              </w:rPr>
              <w:t>Open Lab</w:t>
            </w:r>
            <w:r>
              <w:rPr>
                <w:sz w:val="24"/>
                <w:szCs w:val="24"/>
              </w:rPr>
              <w:t xml:space="preserve"> (harvesting)</w:t>
            </w:r>
          </w:p>
        </w:tc>
      </w:tr>
      <w:tr w14:paraId="3E67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75D83E1F">
            <w:pPr>
              <w:spacing w:after="0" w:line="240" w:lineRule="auto"/>
              <w:jc w:val="center"/>
              <w:rPr>
                <w:b/>
                <w:bCs/>
                <w:sz w:val="24"/>
                <w:szCs w:val="24"/>
              </w:rPr>
            </w:pPr>
            <w:r>
              <w:rPr>
                <w:rFonts w:hint="default"/>
                <w:b/>
                <w:bCs/>
                <w:sz w:val="24"/>
                <w:szCs w:val="24"/>
                <w:lang w:val="en-US"/>
              </w:rPr>
              <w:t>8</w:t>
            </w:r>
          </w:p>
        </w:tc>
        <w:tc>
          <w:tcPr>
            <w:tcW w:w="7710" w:type="dxa"/>
          </w:tcPr>
          <w:p w14:paraId="7EF80049">
            <w:pPr>
              <w:spacing w:after="0" w:line="240" w:lineRule="auto"/>
              <w:jc w:val="center"/>
              <w:rPr>
                <w:b/>
                <w:bCs/>
                <w:sz w:val="24"/>
                <w:szCs w:val="24"/>
              </w:rPr>
            </w:pPr>
            <w:r>
              <w:rPr>
                <w:sz w:val="24"/>
                <w:szCs w:val="24"/>
              </w:rPr>
              <w:t>Dropping and staining</w:t>
            </w:r>
          </w:p>
        </w:tc>
      </w:tr>
      <w:tr w14:paraId="48F2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3E510E3E">
            <w:pPr>
              <w:spacing w:after="0" w:line="240" w:lineRule="auto"/>
              <w:jc w:val="center"/>
              <w:rPr>
                <w:b/>
                <w:bCs/>
                <w:sz w:val="24"/>
                <w:szCs w:val="24"/>
              </w:rPr>
            </w:pPr>
            <w:r>
              <w:rPr>
                <w:rFonts w:hint="default"/>
                <w:b/>
                <w:bCs/>
                <w:sz w:val="24"/>
                <w:szCs w:val="24"/>
                <w:lang w:val="en-US"/>
              </w:rPr>
              <w:t>9</w:t>
            </w:r>
          </w:p>
        </w:tc>
        <w:tc>
          <w:tcPr>
            <w:tcW w:w="7710" w:type="dxa"/>
          </w:tcPr>
          <w:p w14:paraId="37C0D4BD">
            <w:pPr>
              <w:spacing w:after="0" w:line="240" w:lineRule="auto"/>
              <w:jc w:val="center"/>
              <w:rPr>
                <w:b/>
                <w:bCs/>
                <w:sz w:val="24"/>
                <w:szCs w:val="24"/>
              </w:rPr>
            </w:pPr>
            <w:r>
              <w:rPr>
                <w:sz w:val="24"/>
                <w:szCs w:val="24"/>
              </w:rPr>
              <w:t>G-banding staining technique I</w:t>
            </w:r>
          </w:p>
        </w:tc>
      </w:tr>
      <w:tr w14:paraId="0ADC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64EBE68C">
            <w:pPr>
              <w:spacing w:after="0" w:line="240" w:lineRule="auto"/>
              <w:jc w:val="center"/>
              <w:rPr>
                <w:rFonts w:hint="default"/>
                <w:b/>
                <w:bCs/>
                <w:sz w:val="24"/>
                <w:szCs w:val="24"/>
                <w:lang w:val="en-US"/>
              </w:rPr>
            </w:pPr>
            <w:r>
              <w:rPr>
                <w:b/>
                <w:bCs/>
                <w:sz w:val="24"/>
                <w:szCs w:val="24"/>
              </w:rPr>
              <w:t>1</w:t>
            </w:r>
            <w:r>
              <w:rPr>
                <w:rFonts w:hint="default"/>
                <w:b/>
                <w:bCs/>
                <w:sz w:val="24"/>
                <w:szCs w:val="24"/>
                <w:lang w:val="en-US"/>
              </w:rPr>
              <w:t>0</w:t>
            </w:r>
          </w:p>
        </w:tc>
        <w:tc>
          <w:tcPr>
            <w:tcW w:w="7710" w:type="dxa"/>
          </w:tcPr>
          <w:p w14:paraId="3F33B585">
            <w:pPr>
              <w:spacing w:after="0" w:line="240" w:lineRule="auto"/>
              <w:jc w:val="center"/>
              <w:rPr>
                <w:sz w:val="24"/>
                <w:szCs w:val="24"/>
              </w:rPr>
            </w:pPr>
            <w:r>
              <w:rPr>
                <w:sz w:val="24"/>
                <w:szCs w:val="24"/>
              </w:rPr>
              <w:t>NOR-banding technique</w:t>
            </w:r>
          </w:p>
          <w:p w14:paraId="4E2B6068">
            <w:pPr>
              <w:spacing w:after="0" w:line="240" w:lineRule="auto"/>
              <w:jc w:val="center"/>
              <w:rPr>
                <w:b/>
                <w:bCs/>
                <w:sz w:val="24"/>
                <w:szCs w:val="24"/>
              </w:rPr>
            </w:pPr>
            <w:r>
              <w:rPr>
                <w:b/>
                <w:bCs/>
                <w:sz w:val="24"/>
                <w:szCs w:val="24"/>
              </w:rPr>
              <w:t>Open Lab</w:t>
            </w:r>
          </w:p>
        </w:tc>
      </w:tr>
      <w:tr w14:paraId="3CB4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78A8D81B">
            <w:pPr>
              <w:spacing w:after="0" w:line="240" w:lineRule="auto"/>
              <w:jc w:val="center"/>
              <w:rPr>
                <w:b/>
                <w:bCs/>
                <w:sz w:val="24"/>
                <w:szCs w:val="24"/>
              </w:rPr>
            </w:pPr>
            <w:r>
              <w:rPr>
                <w:b/>
                <w:bCs/>
                <w:sz w:val="24"/>
                <w:szCs w:val="24"/>
              </w:rPr>
              <w:t>1</w:t>
            </w:r>
            <w:r>
              <w:rPr>
                <w:rFonts w:hint="default"/>
                <w:b/>
                <w:bCs/>
                <w:sz w:val="24"/>
                <w:szCs w:val="24"/>
                <w:lang w:val="en-US"/>
              </w:rPr>
              <w:t>1</w:t>
            </w:r>
          </w:p>
        </w:tc>
        <w:tc>
          <w:tcPr>
            <w:tcW w:w="7710" w:type="dxa"/>
          </w:tcPr>
          <w:p w14:paraId="41CFECEE">
            <w:pPr>
              <w:spacing w:after="0" w:line="240" w:lineRule="auto"/>
              <w:jc w:val="center"/>
              <w:rPr>
                <w:sz w:val="24"/>
                <w:szCs w:val="24"/>
              </w:rPr>
            </w:pPr>
            <w:r>
              <w:rPr>
                <w:sz w:val="24"/>
                <w:szCs w:val="24"/>
              </w:rPr>
              <w:t>C- banding staining technique</w:t>
            </w:r>
          </w:p>
          <w:p w14:paraId="6E183889">
            <w:pPr>
              <w:spacing w:after="0" w:line="240" w:lineRule="auto"/>
              <w:jc w:val="center"/>
              <w:rPr>
                <w:b/>
                <w:bCs/>
                <w:sz w:val="24"/>
                <w:szCs w:val="24"/>
              </w:rPr>
            </w:pPr>
            <w:r>
              <w:rPr>
                <w:b/>
                <w:bCs/>
                <w:sz w:val="24"/>
                <w:szCs w:val="24"/>
              </w:rPr>
              <w:t>Open Lab</w:t>
            </w:r>
          </w:p>
        </w:tc>
      </w:tr>
      <w:tr w14:paraId="0CC6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14:paraId="7D206132">
            <w:pPr>
              <w:spacing w:after="0" w:line="240" w:lineRule="auto"/>
              <w:jc w:val="center"/>
              <w:rPr>
                <w:rFonts w:hint="default"/>
                <w:b/>
                <w:bCs/>
                <w:sz w:val="24"/>
                <w:szCs w:val="24"/>
                <w:lang w:val="en-US"/>
              </w:rPr>
            </w:pPr>
            <w:r>
              <w:rPr>
                <w:rFonts w:hint="default"/>
                <w:b/>
                <w:bCs/>
                <w:sz w:val="24"/>
                <w:szCs w:val="24"/>
                <w:lang w:val="en-US"/>
              </w:rPr>
              <w:t>12</w:t>
            </w:r>
            <w:bookmarkStart w:id="0" w:name="_GoBack"/>
            <w:bookmarkEnd w:id="0"/>
          </w:p>
        </w:tc>
        <w:tc>
          <w:tcPr>
            <w:tcW w:w="7710" w:type="dxa"/>
          </w:tcPr>
          <w:p w14:paraId="034EE147">
            <w:pPr>
              <w:spacing w:after="0" w:line="240" w:lineRule="auto"/>
              <w:jc w:val="center"/>
              <w:rPr>
                <w:b/>
                <w:bCs/>
                <w:sz w:val="24"/>
                <w:szCs w:val="24"/>
              </w:rPr>
            </w:pPr>
            <w:r>
              <w:rPr>
                <w:sz w:val="24"/>
                <w:szCs w:val="24"/>
              </w:rPr>
              <w:t>Visiting king Abdullah University Hospital: Cytogenetics unit</w:t>
            </w:r>
          </w:p>
        </w:tc>
      </w:tr>
    </w:tbl>
    <w:p w14:paraId="7292900A">
      <w:pPr>
        <w:spacing w:after="0"/>
        <w:jc w:val="center"/>
        <w:rPr>
          <w:b/>
          <w:bCs/>
          <w:sz w:val="24"/>
          <w:szCs w:val="24"/>
        </w:rPr>
      </w:pPr>
    </w:p>
    <w:p w14:paraId="6C12958E">
      <w:pPr>
        <w:spacing w:after="0"/>
        <w:jc w:val="center"/>
        <w:rPr>
          <w:b/>
          <w:bCs/>
          <w:sz w:val="24"/>
          <w:szCs w:val="24"/>
        </w:rPr>
      </w:pPr>
    </w:p>
    <w:p w14:paraId="091E05AF">
      <w:pPr>
        <w:spacing w:after="0"/>
        <w:jc w:val="center"/>
        <w:rPr>
          <w:b/>
          <w:bCs/>
          <w:sz w:val="24"/>
          <w:szCs w:val="24"/>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2AA5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75" w:type="dxa"/>
          </w:tcPr>
          <w:p w14:paraId="1F762FD3">
            <w:pPr>
              <w:spacing w:after="0" w:line="240" w:lineRule="auto"/>
              <w:jc w:val="center"/>
              <w:rPr>
                <w:b/>
                <w:bCs/>
                <w:sz w:val="24"/>
                <w:szCs w:val="24"/>
              </w:rPr>
            </w:pPr>
            <w:r>
              <w:rPr>
                <w:b/>
                <w:bCs/>
                <w:sz w:val="24"/>
                <w:szCs w:val="24"/>
              </w:rPr>
              <w:t>Activity</w:t>
            </w:r>
          </w:p>
        </w:tc>
        <w:tc>
          <w:tcPr>
            <w:tcW w:w="4675" w:type="dxa"/>
          </w:tcPr>
          <w:p w14:paraId="0E0D5A4C">
            <w:pPr>
              <w:spacing w:after="0" w:line="240" w:lineRule="auto"/>
              <w:jc w:val="center"/>
              <w:rPr>
                <w:b/>
                <w:bCs/>
                <w:sz w:val="24"/>
                <w:szCs w:val="24"/>
              </w:rPr>
            </w:pPr>
            <w:r>
              <w:rPr>
                <w:b/>
                <w:bCs/>
                <w:sz w:val="24"/>
                <w:szCs w:val="24"/>
              </w:rPr>
              <w:t>Grade (%)</w:t>
            </w:r>
          </w:p>
        </w:tc>
      </w:tr>
      <w:tr w14:paraId="48DFB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AF540D8">
            <w:pPr>
              <w:spacing w:after="0" w:line="240" w:lineRule="auto"/>
              <w:jc w:val="center"/>
              <w:rPr>
                <w:b/>
                <w:bCs/>
                <w:sz w:val="24"/>
                <w:szCs w:val="24"/>
              </w:rPr>
            </w:pPr>
            <w:r>
              <w:rPr>
                <w:b/>
                <w:bCs/>
                <w:sz w:val="24"/>
                <w:szCs w:val="24"/>
              </w:rPr>
              <w:t>Lab Work and Quizzes</w:t>
            </w:r>
          </w:p>
        </w:tc>
        <w:tc>
          <w:tcPr>
            <w:tcW w:w="4675" w:type="dxa"/>
          </w:tcPr>
          <w:p w14:paraId="6991C8EA">
            <w:pPr>
              <w:spacing w:after="0" w:line="240" w:lineRule="auto"/>
              <w:jc w:val="center"/>
              <w:rPr>
                <w:b/>
                <w:bCs/>
                <w:sz w:val="24"/>
                <w:szCs w:val="24"/>
              </w:rPr>
            </w:pPr>
            <w:r>
              <w:rPr>
                <w:rFonts w:hint="default"/>
                <w:b/>
                <w:bCs/>
                <w:sz w:val="24"/>
                <w:szCs w:val="24"/>
                <w:lang w:val="en-US"/>
              </w:rPr>
              <w:t>5</w:t>
            </w:r>
          </w:p>
        </w:tc>
      </w:tr>
      <w:tr w14:paraId="6DDB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F862ADE">
            <w:pPr>
              <w:spacing w:after="0" w:line="240" w:lineRule="auto"/>
              <w:jc w:val="center"/>
              <w:rPr>
                <w:b/>
                <w:bCs/>
                <w:sz w:val="24"/>
                <w:szCs w:val="24"/>
              </w:rPr>
            </w:pPr>
            <w:r>
              <w:rPr>
                <w:b/>
                <w:bCs/>
                <w:sz w:val="24"/>
                <w:szCs w:val="24"/>
              </w:rPr>
              <w:t>Mid-term Exam</w:t>
            </w:r>
          </w:p>
        </w:tc>
        <w:tc>
          <w:tcPr>
            <w:tcW w:w="4675" w:type="dxa"/>
          </w:tcPr>
          <w:p w14:paraId="780ED757">
            <w:pPr>
              <w:spacing w:after="0" w:line="240" w:lineRule="auto"/>
              <w:jc w:val="center"/>
              <w:rPr>
                <w:b/>
                <w:bCs/>
                <w:sz w:val="24"/>
                <w:szCs w:val="24"/>
              </w:rPr>
            </w:pPr>
            <w:r>
              <w:rPr>
                <w:b/>
                <w:bCs/>
                <w:sz w:val="24"/>
                <w:szCs w:val="24"/>
              </w:rPr>
              <w:t>10</w:t>
            </w:r>
          </w:p>
        </w:tc>
      </w:tr>
      <w:tr w14:paraId="17F16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13C52D3">
            <w:pPr>
              <w:spacing w:after="0" w:line="240" w:lineRule="auto"/>
              <w:jc w:val="center"/>
              <w:rPr>
                <w:b/>
                <w:bCs/>
                <w:sz w:val="24"/>
                <w:szCs w:val="24"/>
              </w:rPr>
            </w:pPr>
            <w:r>
              <w:rPr>
                <w:b/>
                <w:bCs/>
                <w:sz w:val="24"/>
                <w:szCs w:val="24"/>
              </w:rPr>
              <w:t>Final Exam</w:t>
            </w:r>
          </w:p>
        </w:tc>
        <w:tc>
          <w:tcPr>
            <w:tcW w:w="4675" w:type="dxa"/>
          </w:tcPr>
          <w:p w14:paraId="5901C031">
            <w:pPr>
              <w:spacing w:after="0" w:line="240" w:lineRule="auto"/>
              <w:jc w:val="center"/>
              <w:rPr>
                <w:b/>
                <w:bCs/>
                <w:sz w:val="24"/>
                <w:szCs w:val="24"/>
              </w:rPr>
            </w:pPr>
            <w:r>
              <w:rPr>
                <w:b/>
                <w:bCs/>
                <w:sz w:val="24"/>
                <w:szCs w:val="24"/>
              </w:rPr>
              <w:t>1</w:t>
            </w:r>
            <w:r>
              <w:rPr>
                <w:rFonts w:hint="default"/>
                <w:b/>
                <w:bCs/>
                <w:sz w:val="24"/>
                <w:szCs w:val="24"/>
                <w:lang w:val="en-US"/>
              </w:rPr>
              <w:t>5</w:t>
            </w:r>
          </w:p>
        </w:tc>
      </w:tr>
    </w:tbl>
    <w:p w14:paraId="72B93AD1">
      <w:pPr>
        <w:spacing w:after="0"/>
        <w:jc w:val="center"/>
        <w:rPr>
          <w:b/>
          <w:bCs/>
          <w:sz w:val="24"/>
          <w:szCs w:val="24"/>
        </w:rPr>
      </w:pPr>
    </w:p>
    <w:sectPr>
      <w:pgSz w:w="12240" w:h="15840"/>
      <w:pgMar w:top="90" w:right="1440" w:bottom="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Funtast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4C0"/>
    <w:rsid w:val="00207404"/>
    <w:rsid w:val="0029517A"/>
    <w:rsid w:val="00334F4C"/>
    <w:rsid w:val="003F1B45"/>
    <w:rsid w:val="00402E0A"/>
    <w:rsid w:val="004874C0"/>
    <w:rsid w:val="00497CBA"/>
    <w:rsid w:val="004D21BC"/>
    <w:rsid w:val="00530DC1"/>
    <w:rsid w:val="005A20AA"/>
    <w:rsid w:val="005C583C"/>
    <w:rsid w:val="006970AA"/>
    <w:rsid w:val="0089660D"/>
    <w:rsid w:val="009F0F36"/>
    <w:rsid w:val="00AB001B"/>
    <w:rsid w:val="00B476CB"/>
    <w:rsid w:val="00B94C59"/>
    <w:rsid w:val="00BB6EA7"/>
    <w:rsid w:val="00C03C57"/>
    <w:rsid w:val="00CC2D87"/>
    <w:rsid w:val="00DB3413"/>
    <w:rsid w:val="00E74A53"/>
    <w:rsid w:val="00F01BDF"/>
    <w:rsid w:val="00F12F6A"/>
    <w:rsid w:val="00F8149B"/>
    <w:rsid w:val="00FA27A8"/>
    <w:rsid w:val="00FC0411"/>
    <w:rsid w:val="0FF212FA"/>
    <w:rsid w:val="13147B5B"/>
    <w:rsid w:val="235A65D4"/>
    <w:rsid w:val="2738765F"/>
    <w:rsid w:val="283F692F"/>
    <w:rsid w:val="324F1C81"/>
    <w:rsid w:val="394250FE"/>
    <w:rsid w:val="3C495DD4"/>
    <w:rsid w:val="45C550EA"/>
    <w:rsid w:val="49EC255B"/>
    <w:rsid w:val="56905D13"/>
    <w:rsid w:val="609E6663"/>
    <w:rsid w:val="667A63AC"/>
    <w:rsid w:val="6A50275D"/>
    <w:rsid w:val="6B3912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159</Words>
  <Characters>908</Characters>
  <Lines>7</Lines>
  <Paragraphs>2</Paragraphs>
  <TotalTime>2</TotalTime>
  <ScaleCrop>false</ScaleCrop>
  <LinksUpToDate>false</LinksUpToDate>
  <CharactersWithSpaces>1065</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2022-03-04T08:00:00Z</dcterms:created>
  <dc:creator>Adan</dc:creator>
  <cp:lastModifiedBy>Lenovo</cp:lastModifiedBy>
  <dcterms:modified xsi:type="dcterms:W3CDTF">2025-02-28T06:50:33Z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105644828A73409AB6EEF1363C195F0C</vt:lpwstr>
  </property>
</Properties>
</file>