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R="0" distL="0" distB="0">
            <wp:extent cx="5274310" cy="1620432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162043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Jordan University of Science and Technology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Dep. Of Biotechnology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8"/>
          <w:szCs w:val="28"/>
        </w:rPr>
        <w:t>Hybridoma</w:t>
      </w:r>
      <w:r>
        <w:rPr>
          <w:b/>
          <w:bCs/>
          <w:sz w:val="28"/>
          <w:szCs w:val="28"/>
        </w:rPr>
        <w:t xml:space="preserve">  and</w:t>
      </w:r>
      <w:r>
        <w:rPr>
          <w:b/>
          <w:bCs/>
          <w:sz w:val="28"/>
          <w:szCs w:val="28"/>
        </w:rPr>
        <w:t xml:space="preserve"> tissue culture BT 3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3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Instructor</w:t>
      </w:r>
      <w:r>
        <w:rPr>
          <w:sz w:val="24"/>
          <w:szCs w:val="24"/>
        </w:rPr>
        <w:t xml:space="preserve">: Prof Nizar </w:t>
      </w:r>
      <w:r>
        <w:rPr>
          <w:sz w:val="24"/>
          <w:szCs w:val="24"/>
        </w:rPr>
        <w:t>Abuharfil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The lecture hall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The lab</w:t>
      </w:r>
      <w:r>
        <w:rPr>
          <w:sz w:val="24"/>
          <w:szCs w:val="24"/>
        </w:rPr>
        <w:t>, The lab: PhL0 Immunology lab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Office hours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Sun,</w:t>
      </w:r>
      <w:r>
        <w:rPr>
          <w:sz w:val="24"/>
          <w:szCs w:val="24"/>
        </w:rPr>
        <w:t>Tue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12-1</w:t>
      </w:r>
      <w:r>
        <w:rPr>
          <w:sz w:val="24"/>
          <w:szCs w:val="24"/>
        </w:rPr>
        <w:t>; Thu  1</w:t>
      </w:r>
      <w:r>
        <w:rPr>
          <w:sz w:val="24"/>
          <w:szCs w:val="24"/>
        </w:rPr>
        <w:t>0</w:t>
      </w:r>
      <w:r>
        <w:rPr>
          <w:sz w:val="24"/>
          <w:szCs w:val="24"/>
        </w:rPr>
        <w:t>:</w:t>
      </w:r>
      <w:r>
        <w:rPr>
          <w:sz w:val="24"/>
          <w:szCs w:val="24"/>
        </w:rPr>
        <w:t>30</w:t>
      </w:r>
      <w:r>
        <w:rPr>
          <w:sz w:val="24"/>
          <w:szCs w:val="24"/>
        </w:rPr>
        <w:t>-1</w:t>
      </w:r>
      <w:r>
        <w:rPr>
          <w:sz w:val="24"/>
          <w:szCs w:val="24"/>
        </w:rPr>
        <w:t>1:30</w:t>
      </w:r>
      <w:r>
        <w:rPr>
          <w:sz w:val="24"/>
          <w:szCs w:val="24"/>
        </w:rPr>
        <w:t xml:space="preserve"> or by </w:t>
      </w:r>
      <w:r>
        <w:rPr>
          <w:sz w:val="24"/>
          <w:szCs w:val="24"/>
        </w:rPr>
        <w:t xml:space="preserve">an </w:t>
      </w:r>
      <w:r>
        <w:rPr>
          <w:sz w:val="24"/>
          <w:szCs w:val="24"/>
        </w:rPr>
        <w:t>appointment</w:t>
      </w:r>
      <w:r>
        <w:rPr>
          <w:b/>
          <w:bCs/>
          <w:sz w:val="24"/>
          <w:szCs w:val="24"/>
        </w:rPr>
        <w:t xml:space="preserve"> 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Objective of the co</w:t>
      </w:r>
      <w:r>
        <w:rPr>
          <w:b/>
          <w:bCs/>
          <w:sz w:val="24"/>
          <w:szCs w:val="24"/>
        </w:rPr>
        <w:t>u</w:t>
      </w:r>
      <w:r>
        <w:rPr>
          <w:b/>
          <w:bCs/>
          <w:sz w:val="24"/>
          <w:szCs w:val="24"/>
        </w:rPr>
        <w:t>rse</w:t>
      </w:r>
      <w:r>
        <w:rPr>
          <w:sz w:val="24"/>
          <w:szCs w:val="24"/>
        </w:rPr>
        <w:t>:</w:t>
      </w:r>
    </w:p>
    <w:p>
      <w:pPr>
        <w:pStyle w:val="style0"/>
        <w:rPr>
          <w:sz w:val="24"/>
          <w:szCs w:val="24"/>
        </w:rPr>
      </w:pPr>
      <w:r>
        <w:t xml:space="preserve">The objective of this course is to </w:t>
      </w:r>
      <w:r>
        <w:rPr>
          <w:sz w:val="24"/>
          <w:szCs w:val="24"/>
        </w:rPr>
        <w:t xml:space="preserve">provide the information required to produce monoclonal </w:t>
      </w:r>
      <w:r>
        <w:rPr>
          <w:sz w:val="24"/>
          <w:szCs w:val="24"/>
        </w:rPr>
        <w:t>antibodies  and</w:t>
      </w:r>
      <w:r>
        <w:rPr>
          <w:sz w:val="24"/>
          <w:szCs w:val="24"/>
        </w:rPr>
        <w:t xml:space="preserve"> to prepare them for use in a given application. The procedures are dealt with in chronological order starting with basic tissue culture techniques</w:t>
      </w:r>
      <w:r>
        <w:rPr>
          <w:sz w:val="24"/>
          <w:szCs w:val="24"/>
        </w:rPr>
        <w:t xml:space="preserve">, immunization strategies and screening test design, followed by </w:t>
      </w:r>
      <w:r>
        <w:rPr>
          <w:sz w:val="24"/>
          <w:szCs w:val="24"/>
        </w:rPr>
        <w:t>hybridoma</w:t>
      </w:r>
      <w:r>
        <w:rPr>
          <w:sz w:val="24"/>
          <w:szCs w:val="24"/>
        </w:rPr>
        <w:t xml:space="preserve"> cell lines and basic monoclonal antibody characterization, purification and labeling.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Description </w:t>
      </w:r>
    </w:p>
    <w:p>
      <w:pPr>
        <w:pStyle w:val="style94"/>
        <w:shd w:val="clear" w:color="auto" w:fill="ffffff"/>
        <w:spacing w:before="120" w:beforeAutospacing="false" w:after="120" w:afterAutospacing="false" w:lineRule="atLeast" w:line="336"/>
        <w:rPr>
          <w:rFonts w:ascii="Arial" w:cs="Arial" w:hAnsi="Arial"/>
          <w:color w:val="252525"/>
          <w:sz w:val="21"/>
          <w:szCs w:val="21"/>
        </w:rPr>
      </w:pPr>
      <w:r>
        <w:rPr>
          <w:rFonts w:ascii="Arial" w:cs="Arial" w:hAnsi="Arial"/>
          <w:color w:val="252525"/>
          <w:sz w:val="21"/>
          <w:szCs w:val="21"/>
        </w:rPr>
        <w:t xml:space="preserve">The course involves the administration of an Ag to a recipient mouse. This animal becomes the source of Ab-producing B cells. The B cells are mixed with a specifically selected </w:t>
      </w:r>
      <w:r>
        <w:rPr>
          <w:rFonts w:ascii="Arial" w:cs="Arial" w:hAnsi="Arial"/>
          <w:color w:val="252525"/>
          <w:sz w:val="21"/>
          <w:szCs w:val="21"/>
        </w:rPr>
        <w:t>Myeloma  immortal</w:t>
      </w:r>
      <w:r>
        <w:rPr>
          <w:rFonts w:ascii="Arial" w:cs="Arial" w:hAnsi="Arial"/>
          <w:color w:val="252525"/>
          <w:sz w:val="21"/>
          <w:szCs w:val="21"/>
        </w:rPr>
        <w:t xml:space="preserve"> cell line. The hybrid s that survive still be a mixed population. A </w:t>
      </w:r>
      <w:r>
        <w:rPr>
          <w:rFonts w:ascii="Arial" w:cs="Arial" w:hAnsi="Arial"/>
          <w:color w:val="252525"/>
          <w:sz w:val="21"/>
          <w:szCs w:val="21"/>
        </w:rPr>
        <w:t>cloning  protocol</w:t>
      </w:r>
      <w:r>
        <w:rPr>
          <w:rFonts w:ascii="Arial" w:cs="Arial" w:hAnsi="Arial"/>
          <w:color w:val="252525"/>
          <w:sz w:val="21"/>
          <w:szCs w:val="21"/>
        </w:rPr>
        <w:t xml:space="preserve"> is then applied to separate the different </w:t>
      </w:r>
      <w:r>
        <w:rPr>
          <w:rFonts w:ascii="Arial" w:cs="Arial" w:hAnsi="Arial"/>
          <w:color w:val="252525"/>
          <w:sz w:val="21"/>
          <w:szCs w:val="21"/>
        </w:rPr>
        <w:t>hybridomas</w:t>
      </w:r>
      <w:r>
        <w:rPr>
          <w:rFonts w:ascii="Arial" w:cs="Arial" w:hAnsi="Arial"/>
          <w:color w:val="252525"/>
          <w:sz w:val="21"/>
          <w:szCs w:val="21"/>
        </w:rPr>
        <w:t xml:space="preserve">. </w:t>
      </w:r>
      <w:r>
        <w:rPr>
          <w:rFonts w:ascii="Arial" w:cs="Arial" w:hAnsi="Arial"/>
          <w:color w:val="252525"/>
          <w:sz w:val="21"/>
          <w:szCs w:val="21"/>
        </w:rPr>
        <w:t xml:space="preserve">Finally a large scale production will be applied. </w:t>
      </w:r>
    </w:p>
    <w:p>
      <w:pPr>
        <w:pStyle w:val="style94"/>
        <w:shd w:val="clear" w:color="auto" w:fill="ffffff"/>
        <w:spacing w:before="120" w:beforeAutospacing="false" w:after="120" w:afterAutospacing="false" w:lineRule="atLeast" w:line="336"/>
        <w:rPr>
          <w:rFonts w:ascii="Arial" w:cs="Arial" w:hAnsi="Arial"/>
          <w:color w:val="252525"/>
          <w:sz w:val="21"/>
          <w:szCs w:val="21"/>
        </w:rPr>
      </w:pPr>
    </w:p>
    <w:p>
      <w:pPr>
        <w:pStyle w:val="style94"/>
        <w:shd w:val="clear" w:color="auto" w:fill="ffffff"/>
        <w:spacing w:before="120" w:beforeAutospacing="false" w:after="120" w:afterAutospacing="false" w:lineRule="atLeast" w:line="336"/>
        <w:rPr>
          <w:rFonts w:ascii="Arial" w:cs="Arial" w:hAnsi="Arial"/>
          <w:color w:val="252525"/>
          <w:sz w:val="21"/>
          <w:szCs w:val="21"/>
        </w:rPr>
      </w:pPr>
    </w:p>
    <w:p>
      <w:pPr>
        <w:pStyle w:val="style94"/>
        <w:shd w:val="clear" w:color="auto" w:fill="ffffff"/>
        <w:spacing w:before="120" w:beforeAutospacing="false" w:after="120" w:afterAutospacing="false" w:lineRule="atLeast" w:line="336"/>
        <w:rPr>
          <w:rFonts w:ascii="Arial" w:cs="Arial" w:hAnsi="Arial"/>
          <w:color w:val="252525"/>
          <w:sz w:val="21"/>
          <w:szCs w:val="21"/>
        </w:rPr>
      </w:pPr>
    </w:p>
    <w:p>
      <w:pPr>
        <w:pStyle w:val="style94"/>
        <w:shd w:val="clear" w:color="auto" w:fill="ffffff"/>
        <w:spacing w:before="120" w:beforeAutospacing="false" w:after="120" w:afterAutospacing="false" w:lineRule="atLeast" w:line="336"/>
        <w:rPr>
          <w:rFonts w:ascii="Arial" w:cs="Arial" w:hAnsi="Arial"/>
          <w:color w:val="252525"/>
          <w:sz w:val="21"/>
          <w:szCs w:val="21"/>
        </w:rPr>
      </w:pPr>
    </w:p>
    <w:p>
      <w:pPr>
        <w:pStyle w:val="style94"/>
        <w:shd w:val="clear" w:color="auto" w:fill="ffffff"/>
        <w:spacing w:before="120" w:beforeAutospacing="false" w:after="120" w:afterAutospacing="false" w:lineRule="atLeast" w:line="336"/>
        <w:rPr>
          <w:rFonts w:ascii="Arial" w:cs="Arial" w:hAnsi="Arial"/>
          <w:color w:val="252525"/>
          <w:sz w:val="21"/>
          <w:szCs w:val="21"/>
        </w:rPr>
      </w:pPr>
    </w:p>
    <w:p>
      <w:pPr>
        <w:pStyle w:val="style66"/>
        <w:jc w:val="both"/>
        <w:rPr>
          <w:rFonts w:ascii="Times New Roman" w:hAnsi="Times New Roman"/>
          <w:bCs w:val="false"/>
        </w:rPr>
      </w:pPr>
      <w:r>
        <w:rPr>
          <w:rFonts w:ascii="Times New Roman" w:hAnsi="Times New Roman"/>
          <w:bCs w:val="false"/>
        </w:rPr>
        <w:t>Course learning Outcomes:</w:t>
      </w:r>
      <w:r>
        <w:rPr>
          <w:rFonts w:ascii="Cambria" w:hAnsi="Cambria"/>
        </w:rPr>
        <w:t xml:space="preserve"> </w:t>
      </w:r>
      <w:r>
        <w:rPr>
          <w:rFonts w:ascii="Times New Roman" w:hAnsi="Times New Roman"/>
          <w:b w:val="false"/>
          <w:bCs w:val="false"/>
        </w:rPr>
        <w:t>Upon completetion of the course, the students should be able to</w:t>
      </w:r>
      <w:r>
        <w:rPr>
          <w:rFonts w:ascii="Times New Roman" w:hAnsi="Times New Roman"/>
          <w:bCs w:val="false"/>
        </w:rPr>
        <w:t>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129"/>
        <w:gridCol w:w="2131"/>
        <w:gridCol w:w="2131"/>
        <w:gridCol w:w="2131"/>
      </w:tblGrid>
      <w:tr>
        <w:trPr/>
        <w:tc>
          <w:tcPr>
            <w:tcW w:w="2129" w:type="dxa"/>
            <w:tcBorders/>
            <w:vAlign w:val="center"/>
          </w:tcPr>
          <w:p>
            <w:pPr>
              <w:pStyle w:val="style90"/>
              <w:spacing w:before="40" w:after="4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Course Learning Outcome (CLO)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style90"/>
              <w:spacing w:before="40" w:after="4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Weight (%)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style90"/>
              <w:spacing w:before="40" w:after="4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Program Learning Outcome (PLO)</w:t>
            </w:r>
          </w:p>
        </w:tc>
        <w:tc>
          <w:tcPr>
            <w:tcW w:w="2131" w:type="dxa"/>
            <w:tcBorders/>
          </w:tcPr>
          <w:p>
            <w:pPr>
              <w:pStyle w:val="style90"/>
              <w:spacing w:before="40" w:after="4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Level</w:t>
            </w:r>
          </w:p>
        </w:tc>
      </w:tr>
      <w:tr>
        <w:tblPrEx/>
        <w:trPr/>
        <w:tc>
          <w:tcPr>
            <w:tcW w:w="2129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Describe the concept of monoclonal antibody production, immunization, screening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2</w:t>
            </w:r>
            <w:r>
              <w:rPr>
                <w:rFonts w:ascii="Arial" w:cs="Arial" w:hAnsi="Arial"/>
                <w:color w:val="252525"/>
                <w:sz w:val="21"/>
                <w:szCs w:val="21"/>
              </w:rPr>
              <w:t>5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D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1</w:t>
            </w:r>
          </w:p>
        </w:tc>
      </w:tr>
      <w:tr>
        <w:tblPrEx/>
        <w:trPr/>
        <w:tc>
          <w:tcPr>
            <w:tcW w:w="2129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Describe the principles of tissue culture techniques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2</w:t>
            </w:r>
            <w:r>
              <w:rPr>
                <w:rFonts w:ascii="Arial" w:cs="Arial" w:hAnsi="Arial"/>
                <w:color w:val="252525"/>
                <w:sz w:val="21"/>
                <w:szCs w:val="21"/>
              </w:rPr>
              <w:t>5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D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1</w:t>
            </w:r>
          </w:p>
        </w:tc>
      </w:tr>
      <w:tr>
        <w:tblPrEx/>
        <w:trPr/>
        <w:tc>
          <w:tcPr>
            <w:tcW w:w="2129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Describe the isolation of B cell, fusion with myeloma cells and  Cloning.</w:t>
            </w:r>
          </w:p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2</w:t>
            </w:r>
            <w:r>
              <w:rPr>
                <w:rFonts w:ascii="Arial" w:cs="Arial" w:hAnsi="Arial"/>
                <w:color w:val="252525"/>
                <w:sz w:val="21"/>
                <w:szCs w:val="21"/>
              </w:rPr>
              <w:t>5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D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1</w:t>
            </w:r>
          </w:p>
        </w:tc>
      </w:tr>
      <w:tr>
        <w:tblPrEx/>
        <w:trPr/>
        <w:tc>
          <w:tcPr>
            <w:tcW w:w="2129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Industrial scale production of monoclonal antibodies and characterization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2</w:t>
            </w:r>
            <w:r>
              <w:rPr>
                <w:rFonts w:ascii="Arial" w:cs="Arial" w:hAnsi="Arial"/>
                <w:color w:val="252525"/>
                <w:sz w:val="21"/>
                <w:szCs w:val="21"/>
              </w:rPr>
              <w:t>5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D</w:t>
            </w:r>
          </w:p>
        </w:tc>
        <w:tc>
          <w:tcPr>
            <w:tcW w:w="2131" w:type="dxa"/>
            <w:tcBorders/>
          </w:tcPr>
          <w:p>
            <w:pPr>
              <w:pStyle w:val="style94"/>
              <w:spacing w:before="120" w:beforeAutospacing="false" w:after="120" w:afterAutospacing="false" w:lineRule="atLeast" w:line="336"/>
              <w:rPr>
                <w:rFonts w:ascii="Arial" w:cs="Arial" w:hAnsi="Arial"/>
                <w:color w:val="252525"/>
                <w:sz w:val="21"/>
                <w:szCs w:val="21"/>
              </w:rPr>
            </w:pPr>
            <w:r>
              <w:rPr>
                <w:rFonts w:ascii="Arial" w:cs="Arial" w:hAnsi="Arial"/>
                <w:color w:val="252525"/>
                <w:sz w:val="21"/>
                <w:szCs w:val="21"/>
              </w:rPr>
              <w:t>1</w:t>
            </w:r>
          </w:p>
        </w:tc>
      </w:tr>
    </w:tbl>
    <w:p>
      <w:pPr>
        <w:pStyle w:val="style94"/>
        <w:shd w:val="clear" w:color="auto" w:fill="ffffff"/>
        <w:spacing w:before="120" w:beforeAutospacing="false" w:after="120" w:afterAutospacing="false" w:lineRule="atLeast" w:line="336"/>
        <w:rPr>
          <w:rFonts w:ascii="Arial" w:cs="Arial" w:hAnsi="Arial"/>
          <w:color w:val="252525"/>
          <w:sz w:val="21"/>
          <w:szCs w:val="21"/>
        </w:rPr>
      </w:pPr>
    </w:p>
    <w:p>
      <w:pPr>
        <w:pStyle w:val="style94"/>
        <w:shd w:val="clear" w:color="auto" w:fill="ffffff"/>
        <w:spacing w:before="120" w:beforeAutospacing="false" w:after="120" w:afterAutospacing="false" w:lineRule="atLeast" w:line="336"/>
        <w:rPr>
          <w:rFonts w:ascii="Arial" w:cs="Arial" w:hAnsi="Arial"/>
          <w:color w:val="252525"/>
          <w:sz w:val="21"/>
          <w:szCs w:val="21"/>
        </w:rPr>
      </w:pPr>
    </w:p>
    <w:p>
      <w:pPr>
        <w:pStyle w:val="style66"/>
        <w:jc w:val="both"/>
        <w:rPr>
          <w:rFonts w:ascii="Times New Roman" w:hAnsi="Times New Roman"/>
          <w:bCs w:val="false"/>
        </w:rPr>
      </w:pPr>
      <w:r>
        <w:rPr>
          <w:rFonts w:ascii="Times New Roman" w:hAnsi="Times New Roman"/>
          <w:bCs w:val="false"/>
        </w:rPr>
        <w:t xml:space="preserve">Course </w:t>
      </w:r>
      <w:r>
        <w:rPr>
          <w:rFonts w:ascii="Times New Roman" w:hAnsi="Times New Roman"/>
          <w:bCs w:val="false"/>
        </w:rPr>
        <w:t>Content/lectures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88"/>
        <w:gridCol w:w="7334"/>
      </w:tblGrid>
      <w:tr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 topic</w:t>
            </w: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Principle of monoclonal antibodies</w:t>
            </w: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/>
            </w:pPr>
            <w:r>
              <w:t>Immunization</w:t>
            </w:r>
          </w:p>
          <w:p>
            <w:pPr>
              <w:pStyle w:val="style0"/>
              <w:rPr/>
            </w:pPr>
            <w:r>
              <w:t>Principles, handling of animals, preparation of antigens, routes of administration, adjuvants, in vivo and in vitro immunization</w:t>
            </w: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/>
            </w:pPr>
            <w:r>
              <w:t xml:space="preserve">Screening  tests: ELISA </w:t>
            </w: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/>
            </w:pPr>
            <w:r>
              <w:t>Tissue culture technique Equipment requirements, Procedures, Cultural media</w:t>
            </w:r>
          </w:p>
          <w:p>
            <w:pPr>
              <w:pStyle w:val="style0"/>
              <w:rPr/>
            </w:pPr>
            <w:r>
              <w:t>Contamination, recognition, prevention and elimination</w:t>
            </w: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/>
            </w:pPr>
            <w:r>
              <w:t>Myeloma cells</w:t>
            </w:r>
          </w:p>
          <w:p>
            <w:pPr>
              <w:pStyle w:val="style0"/>
              <w:rPr/>
            </w:pPr>
            <w:r>
              <w:t>Origin, viability test, storage of cells, maintenance of cells, freezing and thawing of cells, counting of cells</w:t>
            </w: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/>
            </w:pPr>
            <w:r>
              <w:t>Preparation of  Lymphocyte from spleen cells</w:t>
            </w:r>
          </w:p>
          <w:p>
            <w:pPr>
              <w:pStyle w:val="style0"/>
              <w:rPr/>
            </w:pPr>
            <w:r>
              <w:t xml:space="preserve"> T cell depletion, negative and</w:t>
            </w: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t xml:space="preserve"> positive cell,  elimination, EBV transformation</w:t>
            </w: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MIDTERM EXAM</w:t>
            </w:r>
            <w:r>
              <w:rPr>
                <w:b/>
                <w:bCs/>
                <w:sz w:val="28"/>
                <w:szCs w:val="28"/>
              </w:rPr>
              <w:t xml:space="preserve"> 1</w:t>
            </w:r>
            <w:r>
              <w:rPr>
                <w:b/>
                <w:bCs/>
                <w:sz w:val="28"/>
                <w:szCs w:val="28"/>
              </w:rPr>
              <w:t>7</w:t>
            </w:r>
            <w:bookmarkStart w:id="0" w:name="_GoBack"/>
            <w:bookmarkEnd w:id="0"/>
            <w:r>
              <w:rPr>
                <w:b/>
                <w:bCs/>
                <w:sz w:val="28"/>
                <w:szCs w:val="28"/>
              </w:rPr>
              <w:t>/3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t>Fusion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t>Criteria of PEG, fusion protocol</w:t>
            </w:r>
          </w:p>
          <w:p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/>
            </w:pPr>
            <w:r>
              <w:t>Hybrid  selection and cloning</w:t>
            </w:r>
          </w:p>
          <w:p>
            <w:pPr>
              <w:pStyle w:val="style0"/>
              <w:rPr/>
            </w:pPr>
            <w:r>
              <w:t xml:space="preserve">Expansion of </w:t>
            </w:r>
            <w:r>
              <w:t>hybridoma</w:t>
            </w:r>
            <w:r>
              <w:t xml:space="preserve"> </w:t>
            </w:r>
          </w:p>
          <w:p>
            <w:pPr>
              <w:pStyle w:val="style0"/>
              <w:rPr/>
            </w:pPr>
            <w:r>
              <w:t>Addition of HT media, feeder cell layer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/>
            </w:pPr>
            <w:r>
              <w:t xml:space="preserve">Propagation of selected clones </w:t>
            </w:r>
            <w:r>
              <w:rPr>
                <w:i/>
                <w:iCs/>
              </w:rPr>
              <w:t>in vivo</w:t>
            </w:r>
            <w:r>
              <w:t xml:space="preserve"> and </w:t>
            </w:r>
            <w:r>
              <w:rPr>
                <w:i/>
                <w:iCs/>
              </w:rPr>
              <w:t>in vitro</w:t>
            </w: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Mab purification</w:t>
            </w:r>
          </w:p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 Different approaches for preparation  of human Mab antibodies 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18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334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Final Exam</w:t>
            </w:r>
          </w:p>
        </w:tc>
      </w:tr>
    </w:tbl>
    <w:p>
      <w:pPr>
        <w:pStyle w:val="style66"/>
        <w:jc w:val="both"/>
        <w:rPr>
          <w:rFonts w:ascii="Times New Roman" w:hAnsi="Times New Roman"/>
          <w:bCs w:val="false"/>
        </w:rPr>
      </w:pPr>
    </w:p>
    <w:p>
      <w:pPr>
        <w:pStyle w:val="style66"/>
        <w:jc w:val="both"/>
        <w:rPr>
          <w:rFonts w:ascii="Times New Roman" w:hAnsi="Times New Roman"/>
          <w:bCs w:val="false"/>
        </w:rPr>
      </w:pPr>
    </w:p>
    <w:p>
      <w:pPr>
        <w:pStyle w:val="style66"/>
        <w:jc w:val="both"/>
        <w:rPr>
          <w:rFonts w:ascii="Times New Roman" w:hAnsi="Times New Roman"/>
          <w:bCs w:val="false"/>
        </w:rPr>
      </w:pPr>
      <w:r>
        <w:rPr>
          <w:rFonts w:ascii="Times New Roman" w:hAnsi="Times New Roman"/>
          <w:bCs w:val="false"/>
        </w:rPr>
        <w:t xml:space="preserve">Course </w:t>
      </w:r>
      <w:r>
        <w:rPr>
          <w:rFonts w:ascii="Times New Roman" w:hAnsi="Times New Roman"/>
          <w:bCs w:val="false"/>
        </w:rPr>
        <w:t>Content/the practical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638"/>
        <w:gridCol w:w="6884"/>
      </w:tblGrid>
      <w:tr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 experiment</w:t>
            </w: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Preparation of solutions</w:t>
            </w: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Immunization of mice</w:t>
            </w: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Testing of specific antibodies in the immunized animals</w:t>
            </w:r>
            <w:r>
              <w:t xml:space="preserve"> </w:t>
            </w:r>
            <w:r>
              <w:t xml:space="preserve">by </w:t>
            </w:r>
            <w:r>
              <w:rPr>
                <w:b/>
                <w:bCs/>
              </w:rPr>
              <w:t xml:space="preserve"> ELISA</w:t>
            </w: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t>Preparation of tissue culture media</w:t>
            </w: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maintenance  of myeloma cell line: counting, viability test, storage  and freezing</w:t>
            </w: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Preparation of a spleen cell suspension</w:t>
            </w: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Midterm exam</w:t>
            </w:r>
            <w:r>
              <w:rPr>
                <w:b/>
                <w:bCs/>
                <w:color w:val="ff0000"/>
              </w:rPr>
              <w:t xml:space="preserve"> 17</w:t>
            </w:r>
            <w:r>
              <w:rPr>
                <w:b/>
                <w:bCs/>
                <w:color w:val="ff0000"/>
              </w:rPr>
              <w:t>/3</w:t>
            </w: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Fusion of myeloma with B lymphocytes, Selection with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HAT media</w:t>
            </w: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Follow-up and screening</w:t>
            </w:r>
            <w:r>
              <w:rPr>
                <w:b/>
                <w:bCs/>
              </w:rPr>
              <w:t xml:space="preserve"> of </w:t>
            </w:r>
            <w:r>
              <w:rPr>
                <w:b/>
                <w:bCs/>
              </w:rPr>
              <w:t>hybridoma</w:t>
            </w:r>
            <w:r>
              <w:rPr>
                <w:b/>
                <w:bCs/>
              </w:rPr>
              <w:t xml:space="preserve"> cells</w:t>
            </w: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Expansion of </w:t>
            </w:r>
            <w:r>
              <w:rPr>
                <w:b/>
                <w:bCs/>
              </w:rPr>
              <w:t>hybridoma</w:t>
            </w:r>
            <w:r>
              <w:rPr>
                <w:b/>
                <w:bCs/>
              </w:rPr>
              <w:t xml:space="preserve"> cells</w:t>
            </w:r>
          </w:p>
          <w:p>
            <w:pPr>
              <w:pStyle w:val="style0"/>
              <w:rPr>
                <w:b/>
                <w:bCs/>
              </w:rPr>
            </w:pP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Cloning of  </w:t>
            </w:r>
            <w:r>
              <w:rPr>
                <w:b/>
                <w:bCs/>
              </w:rPr>
              <w:t>hybridoma</w:t>
            </w:r>
            <w:r>
              <w:rPr>
                <w:b/>
                <w:bCs/>
              </w:rPr>
              <w:t xml:space="preserve"> cells (Limiting dilution)</w:t>
            </w:r>
          </w:p>
          <w:p>
            <w:pPr>
              <w:pStyle w:val="style0"/>
              <w:rPr>
                <w:b/>
                <w:bCs/>
              </w:rPr>
            </w:pPr>
          </w:p>
        </w:tc>
      </w:tr>
      <w:tr>
        <w:tblPrEx/>
        <w:trPr/>
        <w:tc>
          <w:tcPr>
            <w:tcW w:w="1638" w:type="dxa"/>
            <w:tcBorders/>
          </w:tcPr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884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Ascitic</w:t>
            </w:r>
            <w:r>
              <w:rPr>
                <w:b/>
                <w:bCs/>
              </w:rPr>
              <w:t xml:space="preserve"> fluid preparation</w:t>
            </w:r>
          </w:p>
        </w:tc>
      </w:tr>
    </w:tbl>
    <w:p>
      <w:pPr>
        <w:pStyle w:val="style0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1. lei Zheng and Mohammad </w:t>
      </w:r>
      <w:r>
        <w:rPr>
          <w:sz w:val="24"/>
          <w:szCs w:val="24"/>
        </w:rPr>
        <w:t>shameem</w:t>
      </w:r>
      <w:r>
        <w:rPr>
          <w:sz w:val="24"/>
          <w:szCs w:val="24"/>
        </w:rPr>
        <w:t xml:space="preserve"> (2015). Monoclonal antibodies. Future science Ltd</w:t>
      </w:r>
      <w:r>
        <w:rPr>
          <w:sz w:val="24"/>
          <w:szCs w:val="24"/>
        </w:rPr>
        <w:t>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1.Maher </w:t>
      </w:r>
      <w:r>
        <w:rPr>
          <w:sz w:val="24"/>
          <w:szCs w:val="24"/>
        </w:rPr>
        <w:t>Albitar</w:t>
      </w:r>
      <w:r>
        <w:rPr>
          <w:sz w:val="24"/>
          <w:szCs w:val="24"/>
        </w:rPr>
        <w:t xml:space="preserve"> (2007). Monoclonal antibodies. Humana press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2. Gary Howard and Matthew </w:t>
      </w:r>
      <w:r>
        <w:rPr>
          <w:sz w:val="24"/>
          <w:szCs w:val="24"/>
        </w:rPr>
        <w:t>Kaser</w:t>
      </w:r>
      <w:r>
        <w:rPr>
          <w:sz w:val="24"/>
          <w:szCs w:val="24"/>
        </w:rPr>
        <w:t xml:space="preserve"> (2006). Making and using antibodies. A practical handbook. CRC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3. A practical guide to monoclonal antibodies. </w:t>
      </w:r>
      <w:r>
        <w:rPr>
          <w:sz w:val="24"/>
          <w:szCs w:val="24"/>
        </w:rPr>
        <w:t>Eryl</w:t>
      </w:r>
      <w:r>
        <w:rPr>
          <w:sz w:val="24"/>
          <w:szCs w:val="24"/>
        </w:rPr>
        <w:t xml:space="preserve"> Liddell &amp; A. Cryer (1995), John Wiley </w:t>
      </w:r>
    </w:p>
    <w:p>
      <w:pPr>
        <w:pStyle w:val="style4097"/>
        <w:rPr>
          <w:rFonts w:ascii="Times New Roman" w:hAnsi="Times New Roman"/>
          <w:sz w:val="24"/>
          <w:szCs w:val="24"/>
        </w:rPr>
      </w:pPr>
    </w:p>
    <w:p>
      <w:pPr>
        <w:pStyle w:val="style409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Distribution of marks</w:t>
      </w:r>
    </w:p>
    <w:p>
      <w:pPr>
        <w:pStyle w:val="style409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Midterm exam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40%</w:t>
      </w:r>
    </w:p>
    <w:p>
      <w:pPr>
        <w:pStyle w:val="style409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10%</w:t>
      </w:r>
    </w:p>
    <w:p>
      <w:pPr>
        <w:pStyle w:val="style409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Evaluation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10%</w:t>
      </w:r>
    </w:p>
    <w:p>
      <w:pPr>
        <w:pStyle w:val="style409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Final exam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40%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Policies:</w:t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numPr>
          <w:ilvl w:val="0"/>
          <w:numId w:val="2"/>
        </w:numPr>
        <w:spacing w:after="0" w:lineRule="auto" w:line="240"/>
        <w:rPr>
          <w:szCs w:val="24"/>
        </w:rPr>
      </w:pPr>
      <w:r>
        <w:rPr>
          <w:szCs w:val="24"/>
        </w:rPr>
        <w:t xml:space="preserve">Your class </w:t>
      </w:r>
      <w:r>
        <w:rPr>
          <w:szCs w:val="24"/>
        </w:rPr>
        <w:t>attendance</w:t>
      </w:r>
      <w:r>
        <w:rPr>
          <w:szCs w:val="24"/>
        </w:rPr>
        <w:t xml:space="preserve"> is mandatory. Absences in excess of 20% of the total lecture hours will result in your being dropped from the course with a failing grade. </w:t>
      </w:r>
    </w:p>
    <w:p>
      <w:pPr>
        <w:pStyle w:val="style0"/>
        <w:numPr>
          <w:ilvl w:val="0"/>
          <w:numId w:val="2"/>
        </w:numPr>
        <w:spacing w:after="0" w:lineRule="auto" w:line="240"/>
        <w:rPr>
          <w:szCs w:val="24"/>
        </w:rPr>
      </w:pPr>
      <w:r>
        <w:rPr>
          <w:szCs w:val="24"/>
        </w:rPr>
        <w:t xml:space="preserve">Make-up exam appeals should be filed within </w:t>
      </w:r>
      <w:r>
        <w:rPr>
          <w:szCs w:val="24"/>
        </w:rPr>
        <w:t>Two days</w:t>
      </w:r>
      <w:r>
        <w:rPr>
          <w:szCs w:val="24"/>
        </w:rPr>
        <w:t xml:space="preserve"> of the missed exam. </w:t>
      </w:r>
    </w:p>
    <w:p>
      <w:pPr>
        <w:pStyle w:val="style0"/>
        <w:numPr>
          <w:ilvl w:val="0"/>
          <w:numId w:val="2"/>
        </w:numPr>
        <w:spacing w:after="0" w:lineRule="auto" w:line="240"/>
        <w:rPr>
          <w:szCs w:val="24"/>
        </w:rPr>
      </w:pPr>
      <w:r>
        <w:rPr>
          <w:szCs w:val="24"/>
        </w:rPr>
        <w:t xml:space="preserve">Cell phones </w:t>
      </w:r>
      <w:r>
        <w:rPr>
          <w:szCs w:val="24"/>
        </w:rPr>
        <w:t>are prohibited during examinations and must be turned off during</w:t>
      </w:r>
      <w:r>
        <w:rPr>
          <w:szCs w:val="24"/>
        </w:rPr>
        <w:t xml:space="preserve"> lecture. No incoming or outgoing calls or text messages are allowed. </w:t>
      </w:r>
    </w:p>
    <w:p>
      <w:pPr>
        <w:pStyle w:val="style0"/>
        <w:numPr>
          <w:ilvl w:val="0"/>
          <w:numId w:val="2"/>
        </w:numPr>
        <w:spacing w:after="0" w:lineRule="auto" w:line="240"/>
        <w:rPr>
          <w:szCs w:val="24"/>
        </w:rPr>
      </w:pPr>
      <w:r>
        <w:rPr>
          <w:szCs w:val="24"/>
        </w:rPr>
        <w:t>Unethical conduct, including cheating</w:t>
      </w:r>
      <w:r>
        <w:rPr>
          <w:szCs w:val="24"/>
        </w:rPr>
        <w:t xml:space="preserve"> during </w:t>
      </w:r>
      <w:r>
        <w:rPr>
          <w:szCs w:val="24"/>
        </w:rPr>
        <w:t>examinations</w:t>
      </w:r>
      <w:r>
        <w:rPr>
          <w:szCs w:val="24"/>
        </w:rPr>
        <w:t xml:space="preserve">, will result in punishment by the university </w:t>
      </w:r>
      <w:r>
        <w:rPr>
          <w:szCs w:val="24"/>
        </w:rPr>
        <w:t>administrati</w:t>
      </w:r>
      <w:r>
        <w:rPr>
          <w:szCs w:val="24"/>
        </w:rPr>
        <w:t>o</w:t>
      </w:r>
      <w:r>
        <w:rPr>
          <w:szCs w:val="24"/>
        </w:rPr>
        <w:t>n</w:t>
      </w:r>
      <w:r>
        <w:rPr>
          <w:rFonts w:cs="Arabic Transparent" w:hint="cs"/>
          <w:b/>
          <w:bCs/>
          <w:rtl/>
          <w:lang w:bidi="ar-JO"/>
        </w:rPr>
        <w:t>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20000287" w:usb1="00000000" w:usb2="00000000" w:usb3="00000000" w:csb0="0000019F" w:csb1="00000000"/>
  </w:font>
  <w:font w:name="Batang">
    <w:altName w:val="바탕"/>
    <w:panose1 w:val="02030600000001010101"/>
    <w:charset w:val="81"/>
    <w:family w:val="auto"/>
    <w:pitch w:val="fixed"/>
    <w:sig w:usb0="00000001" w:usb1="09060000" w:usb2="00000010" w:usb3="00000000" w:csb0="00080000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rabic Transparent">
    <w:altName w:val="Arabic Transparent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2462286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82462286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hybridMultilevel"/>
    <w:tmpl w:val="3FC86A9A"/>
    <w:lvl w:ilvl="0" w:tplc="67466166">
      <w:start w:val="1"/>
      <w:numFmt w:val="decimal"/>
      <w:lvlText w:val="%1."/>
      <w:lvlJc w:val="left"/>
      <w:pPr>
        <w:ind w:left="360" w:hanging="360"/>
      </w:pPr>
      <w:rPr>
        <w:rFonts w:hint="default"/>
        <w:b w:val="false"/>
        <w:bCs w:val="fals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author"/>
    <w:basedOn w:val="style0"/>
    <w:next w:val="style4097"/>
    <w:pPr>
      <w:spacing w:before="100" w:beforeAutospacing="true" w:after="100" w:afterAutospacing="true" w:lineRule="auto" w:line="240"/>
    </w:pPr>
    <w:rPr>
      <w:rFonts w:ascii="Verdana" w:cs="Times New Roman" w:eastAsia="Times New Roman" w:hAnsi="Verdana"/>
      <w:sz w:val="16"/>
      <w:szCs w:val="16"/>
    </w:rPr>
  </w:style>
  <w:style w:type="character" w:styleId="style87">
    <w:name w:val="Strong"/>
    <w:basedOn w:val="style65"/>
    <w:next w:val="style87"/>
    <w:qFormat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customStyle="1" w:styleId="style4098">
    <w:name w:val="apple-converted-space"/>
    <w:basedOn w:val="style65"/>
    <w:next w:val="style4098"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paragraph" w:styleId="style66">
    <w:name w:val="Body Text"/>
    <w:basedOn w:val="style0"/>
    <w:next w:val="style66"/>
    <w:link w:val="style4099"/>
    <w:pPr>
      <w:spacing w:after="0" w:lineRule="auto" w:line="240"/>
    </w:pPr>
    <w:rPr>
      <w:rFonts w:ascii="Arial" w:cs="Times New Roman" w:eastAsia="Times New Roman" w:hAnsi="Arial"/>
      <w:b/>
      <w:bCs/>
      <w:noProof/>
      <w:sz w:val="24"/>
      <w:szCs w:val="24"/>
    </w:rPr>
  </w:style>
  <w:style w:type="character" w:customStyle="1" w:styleId="style4099">
    <w:name w:val="Body Text Char"/>
    <w:basedOn w:val="style65"/>
    <w:next w:val="style4099"/>
    <w:link w:val="style66"/>
    <w:rPr>
      <w:rFonts w:ascii="Arial" w:cs="Times New Roman" w:eastAsia="Times New Roman" w:hAnsi="Arial"/>
      <w:b/>
      <w:bCs/>
      <w:noProof/>
      <w:sz w:val="24"/>
      <w:szCs w:val="24"/>
    </w:rPr>
  </w:style>
  <w:style w:type="paragraph" w:styleId="style90">
    <w:name w:val="Plain Text"/>
    <w:basedOn w:val="style0"/>
    <w:next w:val="style90"/>
    <w:link w:val="style4100"/>
    <w:pPr>
      <w:spacing w:after="0" w:lineRule="auto" w:line="240"/>
    </w:pPr>
    <w:rPr>
      <w:rFonts w:ascii="Courier New" w:cs="Times New Roman" w:eastAsia="Batang" w:hAnsi="Courier New"/>
      <w:sz w:val="20"/>
      <w:szCs w:val="20"/>
      <w:lang w:eastAsia="ko-KR"/>
    </w:rPr>
  </w:style>
  <w:style w:type="character" w:customStyle="1" w:styleId="style4100">
    <w:name w:val="Plain Text Char"/>
    <w:basedOn w:val="style65"/>
    <w:next w:val="style4100"/>
    <w:link w:val="style90"/>
    <w:rPr>
      <w:rFonts w:ascii="Courier New" w:cs="Times New Roman" w:eastAsia="Batang" w:hAnsi="Courier New"/>
      <w:sz w:val="20"/>
      <w:szCs w:val="20"/>
      <w:lang w:eastAsia="ko-KR"/>
    </w:rPr>
  </w:style>
  <w:style w:type="paragraph" w:styleId="style153">
    <w:name w:val="Balloon Text"/>
    <w:basedOn w:val="style0"/>
    <w:next w:val="style153"/>
    <w:link w:val="style4101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emf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604</Words>
  <Pages>1</Pages>
  <Characters>3414</Characters>
  <Application>WPS Office</Application>
  <DocSecurity>0</DocSecurity>
  <Paragraphs>178</Paragraphs>
  <ScaleCrop>false</ScaleCrop>
  <LinksUpToDate>false</LinksUpToDate>
  <CharactersWithSpaces>3955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2019-01-30T16:06:00Z</dcterms:created>
  <dc:creator>DR-NEZAR</dc:creator>
  <lastModifiedBy>8079</lastModifiedBy>
  <dcterms:modified xsi:type="dcterms:W3CDTF">2019-01-30T16:06:01Z</dcterms:modified>
  <revision>41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