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2E75B6"/>
          <w:sz w:val="22"/>
        </w:rPr>
        <w:t>DATA SCIENCE SOLUTION PLAN</w:t>
      </w:r>
    </w:p>
    <w:p>
      <w:pPr>
        <w:spacing w:after="360"/>
        <w:pBdr>
          <w:left w:val="single" w:sz="18" w:space="8" w:color="1F3A5F"/>
        </w:pBdr>
      </w:pPr>
      <w:r>
        <w:rPr>
          <w:b/>
          <w:color w:val="1F3A5F"/>
          <w:sz w:val="52"/>
        </w:rPr>
        <w:t>Branch Performance with AI/ML — Data Science Solution Plan (Quick Triage)</w:t>
      </w:r>
    </w:p>
    <w:tbl>
      <w:tblPr>
        <w:tblW w:type="auto" w:w="0"/>
        <w:jc w:val="left"/>
        <w:tblLook w:firstColumn="1" w:firstRow="1" w:lastColumn="0" w:lastRow="0" w:noHBand="0" w:noVBand="1" w:val="04A0"/>
      </w:tblPr>
      <w:tblGrid>
        <w:gridCol w:w="4819"/>
        <w:gridCol w:w="4819"/>
      </w:tblGrid>
      <w:tr>
        <w:tc>
          <w:tcPr>
            <w:tcW w:type="dxa" w:w="2268"/>
          </w:tcPr>
          <w:p>
            <w:r/>
            <w:r>
              <w:rPr>
                <w:b/>
                <w:color w:val="595959"/>
              </w:rPr>
              <w:t>Client</w:t>
            </w:r>
          </w:p>
        </w:tc>
        <w:tc>
          <w:tcPr>
            <w:tcW w:type="dxa" w:w="6236"/>
          </w:tcPr>
          <w:p>
            <w:r/>
            <w:r>
              <w:rPr/>
              <w:t>Cooperative bank (name not provided)</w:t>
            </w:r>
          </w:p>
        </w:tc>
      </w:tr>
      <w:tr>
        <w:tc>
          <w:tcPr>
            <w:tcW w:type="dxa" w:w="2268"/>
          </w:tcPr>
          <w:p>
            <w:r/>
            <w:r>
              <w:rPr>
                <w:b/>
                <w:color w:val="595959"/>
              </w:rPr>
              <w:t>Industry</w:t>
            </w:r>
          </w:p>
        </w:tc>
        <w:tc>
          <w:tcPr>
            <w:tcW w:type="dxa" w:w="6236"/>
          </w:tcPr>
          <w:p>
            <w:r/>
            <w:r>
              <w:rPr/>
              <w:t>BFSI</w:t>
            </w:r>
          </w:p>
        </w:tc>
      </w:tr>
      <w:tr>
        <w:tc>
          <w:tcPr>
            <w:tcW w:type="dxa" w:w="2268"/>
          </w:tcPr>
          <w:p>
            <w:r/>
            <w:r>
              <w:rPr>
                <w:b/>
                <w:color w:val="595959"/>
              </w:rPr>
              <w:t>Prepared by</w:t>
            </w:r>
          </w:p>
        </w:tc>
        <w:tc>
          <w:tcPr>
            <w:tcW w:type="dxa" w:w="6236"/>
          </w:tcPr>
          <w:p>
            <w:r/>
            <w:r>
              <w:rPr/>
              <w:t>Data Science team</w:t>
            </w:r>
          </w:p>
        </w:tc>
      </w:tr>
      <w:tr>
        <w:tc>
          <w:tcPr>
            <w:tcW w:type="dxa" w:w="2268"/>
          </w:tcPr>
          <w:p>
            <w:r/>
            <w:r>
              <w:rPr>
                <w:b/>
                <w:color w:val="595959"/>
              </w:rPr>
              <w:t>Date</w:t>
            </w:r>
          </w:p>
        </w:tc>
        <w:tc>
          <w:tcPr>
            <w:tcW w:type="dxa" w:w="6236"/>
          </w:tcPr>
          <w:p>
            <w:r/>
            <w:r>
              <w:rPr/>
              <w:t>2026-10-14</w:t>
            </w:r>
          </w:p>
        </w:tc>
      </w:tr>
      <w:tr>
        <w:tc>
          <w:tcPr>
            <w:tcW w:type="dxa" w:w="2268"/>
          </w:tcPr>
          <w:p>
            <w:r/>
            <w:r>
              <w:rPr>
                <w:b/>
                <w:color w:val="595959"/>
              </w:rPr>
              <w:t>Version</w:t>
            </w:r>
          </w:p>
        </w:tc>
        <w:tc>
          <w:tcPr>
            <w:tcW w:type="dxa" w:w="6236"/>
          </w:tcPr>
          <w:p>
            <w:r/>
            <w:r>
              <w:rPr/>
              <w:t>0.1 (draft)</w:t>
            </w:r>
          </w:p>
        </w:tc>
      </w:tr>
      <w:tr>
        <w:tc>
          <w:tcPr>
            <w:tcW w:type="dxa" w:w="2268"/>
          </w:tcPr>
          <w:p>
            <w:r/>
            <w:r>
              <w:rPr>
                <w:b/>
                <w:color w:val="595959"/>
              </w:rPr>
              <w:t>Plan depth</w:t>
            </w:r>
          </w:p>
        </w:tc>
        <w:tc>
          <w:tcPr>
            <w:tcW w:type="dxa" w:w="6236"/>
          </w:tcPr>
          <w:p>
            <w:r/>
            <w:r>
              <w:rPr/>
              <w:t>Quick triage</w:t>
            </w:r>
          </w:p>
        </w:tc>
      </w:tr>
      <w:tr>
        <w:tc>
          <w:tcPr>
            <w:tcW w:type="dxa" w:w="2268"/>
          </w:tcPr>
          <w:p>
            <w:r/>
            <w:r>
              <w:rPr>
                <w:b/>
                <w:color w:val="595959"/>
              </w:rPr>
              <w:t>Classification</w:t>
            </w:r>
          </w:p>
        </w:tc>
        <w:tc>
          <w:tcPr>
            <w:tcW w:type="dxa" w:w="6236"/>
          </w:tcPr>
          <w:p>
            <w:r/>
            <w:r>
              <w:rPr/>
              <w:t>Confidential</w:t>
            </w:r>
          </w:p>
        </w:tc>
      </w:tr>
    </w:tbl>
    <w:p/>
    <w:p>
      <w:r>
        <w:rPr>
          <w:i/>
          <w:color w:val="595959"/>
          <w:sz w:val="18"/>
        </w:rPr>
        <w:t>Status tags used throughout:</w:t>
      </w:r>
      <w:r>
        <w:rPr>
          <w:color w:val="595959"/>
          <w:sz w:val="18"/>
        </w:rPr>
        <w:t xml:space="preserve"> </w:t>
      </w:r>
      <w:r>
        <w:rPr>
          <w:b/>
          <w:color w:val="1E7B34"/>
          <w:sz w:val="18"/>
        </w:rPr>
        <w:t>[Confirmed]</w:t>
      </w:r>
      <w:r>
        <w:rPr>
          <w:color w:val="595959"/>
          <w:sz w:val="18"/>
        </w:rPr>
        <w:t xml:space="preserve"> stated by client or verified in data · </w:t>
      </w:r>
      <w:r>
        <w:rPr>
          <w:b/>
          <w:color w:val="B36B00"/>
          <w:sz w:val="18"/>
        </w:rPr>
        <w:t>[Assumed]</w:t>
      </w:r>
      <w:r>
        <w:rPr>
          <w:color w:val="595959"/>
          <w:sz w:val="18"/>
        </w:rPr>
        <w:t xml:space="preserve"> working assumption to validate · </w:t>
      </w:r>
      <w:r>
        <w:rPr>
          <w:b/>
          <w:color w:val="C0392B"/>
          <w:sz w:val="18"/>
        </w:rPr>
        <w:t>[To investigate]</w:t>
      </w:r>
      <w:r>
        <w:rPr>
          <w:color w:val="595959"/>
          <w:sz w:val="18"/>
        </w:rPr>
        <w:t xml:space="preserve"> existence or usability unknown.</w:t>
      </w:r>
    </w:p>
    <w:p>
      <w:r>
        <w:br w:type="page"/>
      </w:r>
    </w:p>
    <w:p>
      <w:r>
        <w:rPr>
          <w:b/>
          <w:color w:val="1F3A5F"/>
          <w:sz w:val="30"/>
        </w:rPr>
        <w:t>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2"/>
      </w:pPr>
      <w:r>
        <w:rPr/>
        <w:t>1. Executive Summary</w:t>
      </w:r>
    </w:p>
    <w:p>
      <w:pPr>
        <w:pStyle w:val="ListBullet"/>
        <w:spacing w:after="40"/>
        <w:ind w:left="357" w:hanging="357"/>
      </w:pPr>
      <w:r>
        <w:rPr>
          <w:b/>
        </w:rPr>
        <w:t>Brief received:</w:t>
      </w:r>
      <w:r>
        <w:rPr/>
        <w:t xml:space="preserve"> the MD said "We want to use AI and machine learning to improve our branch performance. We have lots of data." That is the whole brief. </w:t>
      </w:r>
      <w:r>
        <w:rPr>
          <w:b/>
          <w:color w:val="1E7B34"/>
        </w:rPr>
        <w:t>[Confirmed]</w:t>
      </w:r>
    </w:p>
    <w:p>
      <w:pPr>
        <w:pStyle w:val="ListBullet"/>
        <w:spacing w:after="40"/>
        <w:ind w:left="357" w:hanging="357"/>
      </w:pPr>
      <w:r>
        <w:rPr>
          <w:b/>
        </w:rPr>
        <w:t>Why this is not a full plan:</w:t>
      </w:r>
      <w:r>
        <w:rPr/>
        <w:t xml:space="preserve"> the brief names no decision, no definition of "performance", and no data source. A modelling plan written now would rest on guesses. This document is a triage: it sets out the plausible framings, what each needs, the questions that decide between them, and a short discovery phase.</w:t>
      </w:r>
    </w:p>
    <w:p>
      <w:pPr>
        <w:pStyle w:val="ListBullet"/>
        <w:spacing w:after="40"/>
        <w:ind w:left="357" w:hanging="357"/>
      </w:pPr>
      <w:r>
        <w:rPr>
          <w:b/>
        </w:rPr>
        <w:t xml:space="preserve">Working recommendation </w:t>
      </w:r>
      <w:r>
        <w:rPr>
          <w:b/>
          <w:color w:val="B36B00"/>
        </w:rPr>
        <w:t>[Assumed]</w:t>
      </w:r>
      <w:r>
        <w:rPr>
          <w:b/>
        </w:rPr>
        <w:t>:</w:t>
      </w:r>
      <w:r>
        <w:rPr/>
        <w:t xml:space="preserve"> start with a descriptive, peer-adjusted branch performance diagnostic (Exploratory lens). It needs only data the bank probably has, and it settles what "performance" means. Move to a predictive model only once the discovery questions have answers.</w:t>
      </w:r>
    </w:p>
    <w:p>
      <w:pPr>
        <w:pStyle w:val="ListBullet"/>
        <w:spacing w:after="40"/>
        <w:ind w:left="357" w:hanging="357"/>
      </w:pPr>
      <w:r>
        <w:rPr>
          <w:b/>
        </w:rPr>
        <w:t>What must be true:</w:t>
      </w:r>
      <w:r>
        <w:rPr/>
        <w:t xml:space="preserve"> (1) the MD or a delegate names the performance measures that matter, (2) branch-level data for at least 24 months can be extracted, (3) a named owner can act on the findings (for example regional heads).</w:t>
      </w:r>
    </w:p>
    <w:p>
      <w:pPr>
        <w:pStyle w:val="ListBullet"/>
        <w:spacing w:after="40"/>
        <w:ind w:left="357" w:hanging="357"/>
      </w:pPr>
      <w:r>
        <w:rPr>
          <w:b/>
        </w:rPr>
        <w:t>Top risks:</w:t>
      </w:r>
      <w:r>
        <w:rPr/>
        <w:t xml:space="preserve"> optimising a metric that is not the one the MD means; a small number of branches (a guess; the count is unknown) limiting any branch-level model; findings that are correlational but read as causal; data-protection and cooperative-banking regulatory obligations.</w:t>
      </w:r>
    </w:p>
    <w:p>
      <w:pPr>
        <w:pStyle w:val="ListBullet"/>
        <w:spacing w:after="40"/>
        <w:ind w:left="357" w:hanging="357"/>
      </w:pPr>
      <w:r>
        <w:rPr>
          <w:b/>
        </w:rPr>
        <w:t>Next step:</w:t>
      </w:r>
      <w:r>
        <w:rPr/>
        <w:t xml:space="preserve"> a 4–5 week discovery phase (§19; some tasks overlap), starting with a 60-minute stakeholder session on Q1, Q2 and Q5 (Q2 is a Week 1 gate because the data audit scope depends on the KPIs). Q3 and Q4 go to IT and Operations in Week 1.</w:t>
      </w:r>
    </w:p>
    <w:p>
      <w:pPr>
        <w:pStyle w:val="Heading3"/>
      </w:pPr>
      <w:r>
        <w:rPr/>
        <w:t>Scope of this plan</w:t>
      </w:r>
    </w:p>
    <w:p>
      <w:r>
        <w:rPr/>
        <w:t>Quick triage sections only: 1, 2, 3, 4, 5 (short), 18 and 19 (discovery phase only). Sections 6–17, 20 and 21 are omitted because there is no target, data inventory or decision to design them against. Writing them now would be fabrication. No references were consulted, so §21 is omitted.</w:t>
      </w:r>
    </w:p>
    <w:p>
      <w:pPr>
        <w:pStyle w:val="Heading2"/>
      </w:pPr>
      <w:r>
        <w:rPr/>
        <w:t>2. Business Problem &amp; Decision Framing</w:t>
      </w:r>
    </w:p>
    <w:p>
      <w:r>
        <w:rPr/>
        <w:t>Plain-language restatement: the bank wants its branches to do better and believes its data can show how. "Better" is not defined.</w:t>
      </w:r>
    </w:p>
    <w:tbl>
      <w:tblPr>
        <w:tblStyle w:val="TableGrid"/>
        <w:tblW w:type="auto" w:w="0"/>
        <w:jc w:val="center"/>
        <w:tblLayout w:type="fixed"/>
        <w:tblLook w:firstColumn="1" w:firstRow="1" w:lastColumn="0" w:lastRow="0" w:noHBand="0" w:noVBand="1" w:val="04A0"/>
        <w:tblLayout w:type="fixed"/>
      </w:tblPr>
      <w:tblGrid>
        <w:gridCol w:w="2544"/>
        <w:gridCol w:w="4355"/>
        <w:gridCol w:w="2739"/>
      </w:tblGrid>
      <w:tr>
        <w:trPr>
          <w:tblHeader w:val="true"/>
        </w:trPr>
        <w:tc>
          <w:tcPr>
            <w:tcW w:type="dxa" w:w="2544"/>
            <w:shd w:val="clear" w:color="auto" w:fill="1F3A5F"/>
          </w:tcPr>
          <w:p>
            <w:r/>
            <w:r>
              <w:rPr>
                <w:b/>
                <w:color w:val="FFFFFF"/>
                <w:sz w:val="19"/>
              </w:rPr>
              <w:t>Element</w:t>
            </w:r>
          </w:p>
        </w:tc>
        <w:tc>
          <w:tcPr>
            <w:tcW w:type="dxa" w:w="4355"/>
            <w:shd w:val="clear" w:color="auto" w:fill="1F3A5F"/>
          </w:tcPr>
          <w:p>
            <w:r/>
            <w:r>
              <w:rPr>
                <w:b/>
                <w:color w:val="FFFFFF"/>
                <w:sz w:val="19"/>
              </w:rPr>
              <w:t>Definition for this case</w:t>
            </w:r>
          </w:p>
        </w:tc>
        <w:tc>
          <w:tcPr>
            <w:tcW w:type="dxa" w:w="2739"/>
            <w:shd w:val="clear" w:color="auto" w:fill="1F3A5F"/>
          </w:tcPr>
          <w:p>
            <w:r/>
            <w:r>
              <w:rPr>
                <w:b/>
                <w:color w:val="FFFFFF"/>
                <w:sz w:val="19"/>
              </w:rPr>
              <w:t>Status</w:t>
            </w:r>
          </w:p>
        </w:tc>
      </w:tr>
      <w:tr>
        <w:tc>
          <w:tcPr>
            <w:tcW w:type="dxa" w:w="2544"/>
          </w:tcPr>
          <w:p>
            <w:pPr>
              <w:spacing w:after="20"/>
            </w:pPr>
            <w:r/>
            <w:r>
              <w:rPr>
                <w:sz w:val="19"/>
              </w:rPr>
              <w:t>Decision and owner</w:t>
            </w:r>
          </w:p>
        </w:tc>
        <w:tc>
          <w:tcPr>
            <w:tcW w:type="dxa" w:w="4355"/>
          </w:tcPr>
          <w:p>
            <w:pPr>
              <w:spacing w:after="20"/>
            </w:pPr>
            <w:r/>
            <w:r>
              <w:rPr>
                <w:sz w:val="19"/>
              </w:rPr>
              <w:t>Unknown. Candidates: branch-manager targets, resource allocation (staff, ATMs), branch network changes, product pushes</w:t>
            </w:r>
          </w:p>
        </w:tc>
        <w:tc>
          <w:tcPr>
            <w:tcW w:type="dxa" w:w="2739"/>
          </w:tcPr>
          <w:p>
            <w:pPr>
              <w:spacing w:after="20"/>
            </w:pPr>
            <w:r/>
            <w:r>
              <w:rPr>
                <w:b/>
                <w:sz w:val="19"/>
              </w:rPr>
              <w:t>[Open question]</w:t>
            </w:r>
          </w:p>
        </w:tc>
      </w:tr>
      <w:tr>
        <w:tc>
          <w:tcPr>
            <w:tcW w:type="dxa" w:w="2544"/>
            <w:shd w:val="clear" w:color="auto" w:fill="F2F5F9"/>
          </w:tcPr>
          <w:p>
            <w:pPr>
              <w:spacing w:after="20"/>
            </w:pPr>
            <w:r/>
            <w:r>
              <w:rPr>
                <w:sz w:val="19"/>
              </w:rPr>
              <w:t>Prediction point / timing</w:t>
            </w:r>
          </w:p>
        </w:tc>
        <w:tc>
          <w:tcPr>
            <w:tcW w:type="dxa" w:w="4355"/>
            <w:shd w:val="clear" w:color="auto" w:fill="F2F5F9"/>
          </w:tcPr>
          <w:p>
            <w:pPr>
              <w:spacing w:after="20"/>
            </w:pPr>
            <w:r/>
            <w:r>
              <w:rPr>
                <w:sz w:val="19"/>
              </w:rPr>
              <w:t>Unknown</w:t>
            </w:r>
          </w:p>
        </w:tc>
        <w:tc>
          <w:tcPr>
            <w:tcW w:type="dxa" w:w="2739"/>
            <w:shd w:val="clear" w:color="auto" w:fill="F2F5F9"/>
          </w:tcPr>
          <w:p>
            <w:pPr>
              <w:spacing w:after="20"/>
            </w:pPr>
            <w:r/>
            <w:r>
              <w:rPr>
                <w:b/>
                <w:color w:val="C0392B"/>
                <w:sz w:val="19"/>
              </w:rPr>
              <w:t>[TBD with client]</w:t>
            </w:r>
          </w:p>
        </w:tc>
      </w:tr>
      <w:tr>
        <w:tc>
          <w:tcPr>
            <w:tcW w:type="dxa" w:w="2544"/>
          </w:tcPr>
          <w:p>
            <w:pPr>
              <w:spacing w:after="20"/>
            </w:pPr>
            <w:r/>
            <w:r>
              <w:rPr>
                <w:sz w:val="19"/>
              </w:rPr>
              <w:t>Unit of analysis</w:t>
            </w:r>
          </w:p>
        </w:tc>
        <w:tc>
          <w:tcPr>
            <w:tcW w:type="dxa" w:w="4355"/>
          </w:tcPr>
          <w:p>
            <w:pPr>
              <w:spacing w:after="20"/>
            </w:pPr>
            <w:r/>
            <w:r>
              <w:rPr>
                <w:sz w:val="19"/>
              </w:rPr>
              <w:t>Branch (probably branch-month)</w:t>
            </w:r>
          </w:p>
        </w:tc>
        <w:tc>
          <w:tcPr>
            <w:tcW w:type="dxa" w:w="2739"/>
          </w:tcPr>
          <w:p>
            <w:pPr>
              <w:spacing w:after="20"/>
            </w:pPr>
            <w:r/>
            <w:r>
              <w:rPr>
                <w:b/>
                <w:color w:val="B36B00"/>
                <w:sz w:val="19"/>
              </w:rPr>
              <w:t>[Assumed]</w:t>
            </w:r>
          </w:p>
        </w:tc>
      </w:tr>
      <w:tr>
        <w:tc>
          <w:tcPr>
            <w:tcW w:type="dxa" w:w="2544"/>
            <w:shd w:val="clear" w:color="auto" w:fill="F2F5F9"/>
          </w:tcPr>
          <w:p>
            <w:pPr>
              <w:spacing w:after="20"/>
            </w:pPr>
            <w:r/>
            <w:r>
              <w:rPr>
                <w:sz w:val="19"/>
              </w:rPr>
              <w:t>Outcome / "performance"</w:t>
            </w:r>
          </w:p>
        </w:tc>
        <w:tc>
          <w:tcPr>
            <w:tcW w:type="dxa" w:w="4355"/>
            <w:shd w:val="clear" w:color="auto" w:fill="F2F5F9"/>
          </w:tcPr>
          <w:p>
            <w:pPr>
              <w:spacing w:after="20"/>
            </w:pPr>
            <w:r/>
            <w:r>
              <w:rPr>
                <w:sz w:val="19"/>
              </w:rPr>
              <w:t>Unknown. Candidates: deposit growth, loan growth, NPA/overdue rate, cost-to-income, customer attrition, service quality</w:t>
            </w:r>
          </w:p>
        </w:tc>
        <w:tc>
          <w:tcPr>
            <w:tcW w:type="dxa" w:w="2739"/>
            <w:shd w:val="clear" w:color="auto" w:fill="F2F5F9"/>
          </w:tcPr>
          <w:p>
            <w:pPr>
              <w:spacing w:after="20"/>
            </w:pPr>
            <w:r/>
            <w:r>
              <w:rPr>
                <w:b/>
                <w:color w:val="C0392B"/>
                <w:sz w:val="19"/>
              </w:rPr>
              <w:t>[TBD with client]</w:t>
            </w:r>
          </w:p>
        </w:tc>
      </w:tr>
      <w:tr>
        <w:tc>
          <w:tcPr>
            <w:tcW w:type="dxa" w:w="2544"/>
          </w:tcPr>
          <w:p>
            <w:pPr>
              <w:spacing w:after="20"/>
            </w:pPr>
            <w:r/>
            <w:r>
              <w:rPr>
                <w:sz w:val="19"/>
              </w:rPr>
              <w:t>Capacity to act</w:t>
            </w:r>
          </w:p>
        </w:tc>
        <w:tc>
          <w:tcPr>
            <w:tcW w:type="dxa" w:w="4355"/>
          </w:tcPr>
          <w:p>
            <w:pPr>
              <w:spacing w:after="20"/>
            </w:pPr>
            <w:r/>
            <w:r>
              <w:rPr>
                <w:sz w:val="19"/>
              </w:rPr>
              <w:t>Unknown</w:t>
            </w:r>
          </w:p>
        </w:tc>
        <w:tc>
          <w:tcPr>
            <w:tcW w:type="dxa" w:w="2739"/>
          </w:tcPr>
          <w:p>
            <w:pPr>
              <w:spacing w:after="20"/>
            </w:pPr>
            <w:r/>
            <w:r>
              <w:rPr>
                <w:b/>
                <w:color w:val="C0392B"/>
                <w:sz w:val="19"/>
              </w:rPr>
              <w:t>[TBD with client]</w:t>
            </w:r>
          </w:p>
        </w:tc>
      </w:tr>
      <w:tr>
        <w:tc>
          <w:tcPr>
            <w:tcW w:type="dxa" w:w="2544"/>
            <w:shd w:val="clear" w:color="auto" w:fill="F2F5F9"/>
          </w:tcPr>
          <w:p>
            <w:pPr>
              <w:spacing w:after="20"/>
            </w:pPr>
            <w:r/>
            <w:r>
              <w:rPr>
                <w:sz w:val="19"/>
              </w:rPr>
              <w:t>Cost of errors</w:t>
            </w:r>
          </w:p>
        </w:tc>
        <w:tc>
          <w:tcPr>
            <w:tcW w:type="dxa" w:w="4355"/>
            <w:shd w:val="clear" w:color="auto" w:fill="F2F5F9"/>
          </w:tcPr>
          <w:p>
            <w:pPr>
              <w:spacing w:after="20"/>
            </w:pPr>
            <w:r/>
            <w:r>
              <w:rPr>
                <w:sz w:val="19"/>
              </w:rPr>
              <w:t>Unknown</w:t>
            </w:r>
          </w:p>
        </w:tc>
        <w:tc>
          <w:tcPr>
            <w:tcW w:type="dxa" w:w="2739"/>
            <w:shd w:val="clear" w:color="auto" w:fill="F2F5F9"/>
          </w:tcPr>
          <w:p>
            <w:pPr>
              <w:spacing w:after="20"/>
            </w:pPr>
            <w:r/>
            <w:r>
              <w:rPr>
                <w:b/>
                <w:color w:val="C0392B"/>
                <w:sz w:val="19"/>
              </w:rPr>
              <w:t>[TBD with client]</w:t>
            </w:r>
          </w:p>
        </w:tc>
      </w:tr>
      <w:tr>
        <w:tc>
          <w:tcPr>
            <w:tcW w:type="dxa" w:w="2544"/>
          </w:tcPr>
          <w:p>
            <w:pPr>
              <w:spacing w:after="20"/>
            </w:pPr>
            <w:r/>
            <w:r>
              <w:rPr>
                <w:sz w:val="19"/>
              </w:rPr>
              <w:t>Success criteria</w:t>
            </w:r>
          </w:p>
        </w:tc>
        <w:tc>
          <w:tcPr>
            <w:tcW w:type="dxa" w:w="4355"/>
          </w:tcPr>
          <w:p>
            <w:pPr>
              <w:spacing w:after="20"/>
            </w:pPr>
            <w:r/>
            <w:r>
              <w:rPr>
                <w:sz w:val="19"/>
              </w:rPr>
              <w:t xml:space="preserve">None stated. Any improvement target is </w:t>
            </w:r>
            <w:r>
              <w:rPr>
                <w:b/>
                <w:color w:val="C0392B"/>
                <w:sz w:val="19"/>
              </w:rPr>
              <w:t>[TBD with client]</w:t>
            </w:r>
          </w:p>
        </w:tc>
        <w:tc>
          <w:tcPr>
            <w:tcW w:type="dxa" w:w="2739"/>
          </w:tcPr>
          <w:p>
            <w:pPr>
              <w:spacing w:after="20"/>
            </w:pPr>
            <w:r/>
            <w:r>
              <w:rPr>
                <w:b/>
                <w:color w:val="C0392B"/>
                <w:sz w:val="19"/>
              </w:rPr>
              <w:t>[TBD with client]</w:t>
            </w:r>
          </w:p>
        </w:tc>
      </w:tr>
      <w:tr>
        <w:tc>
          <w:tcPr>
            <w:tcW w:type="dxa" w:w="2544"/>
            <w:shd w:val="clear" w:color="auto" w:fill="F2F5F9"/>
          </w:tcPr>
          <w:p>
            <w:pPr>
              <w:spacing w:after="20"/>
            </w:pPr>
            <w:r/>
            <w:r>
              <w:rPr>
                <w:sz w:val="19"/>
              </w:rPr>
              <w:t>Constraints</w:t>
            </w:r>
          </w:p>
        </w:tc>
        <w:tc>
          <w:tcPr>
            <w:tcW w:type="dxa" w:w="4355"/>
            <w:shd w:val="clear" w:color="auto" w:fill="F2F5F9"/>
          </w:tcPr>
          <w:p>
            <w:pPr>
              <w:spacing w:after="20"/>
            </w:pPr>
            <w:r/>
            <w:r>
              <w:rPr>
                <w:sz w:val="19"/>
              </w:rPr>
              <w:t>Cooperative bank: likely regulated by RBI and state cooperative authorities. Data protection (DPDP Act 2023) applies. Details unverified</w:t>
            </w:r>
          </w:p>
        </w:tc>
        <w:tc>
          <w:tcPr>
            <w:tcW w:type="dxa" w:w="2739"/>
            <w:shd w:val="clear" w:color="auto" w:fill="F2F5F9"/>
          </w:tcPr>
          <w:p>
            <w:pPr>
              <w:spacing w:after="20"/>
            </w:pPr>
            <w:r/>
            <w:r>
              <w:rPr>
                <w:b/>
                <w:color w:val="C0392B"/>
                <w:sz w:val="19"/>
              </w:rPr>
              <w:t>[To investigate]</w:t>
            </w:r>
          </w:p>
        </w:tc>
      </w:tr>
    </w:tbl>
    <w:p>
      <w:pPr>
        <w:spacing w:after="40"/>
      </w:pPr>
    </w:p>
    <w:p>
      <w:pPr>
        <w:pStyle w:val="Heading2"/>
      </w:pPr>
      <w:r>
        <w:rPr/>
        <w:t>3. Analytical Problem Classification</w:t>
      </w:r>
    </w:p>
    <w:p>
      <w:r>
        <w:rPr/>
        <w:t>The request fits several lenses. Each candidate framing below is a separate analysis.</w:t>
      </w:r>
    </w:p>
    <w:tbl>
      <w:tblPr>
        <w:tblStyle w:val="TableGrid"/>
        <w:tblW w:type="auto" w:w="0"/>
        <w:jc w:val="center"/>
        <w:tblLayout w:type="fixed"/>
        <w:tblLook w:firstColumn="1" w:firstRow="1" w:lastColumn="0" w:lastRow="0" w:noHBand="0" w:noVBand="1" w:val="04A0"/>
        <w:tblLayout w:type="fixed"/>
      </w:tblPr>
      <w:tblGrid>
        <w:gridCol w:w="959"/>
        <w:gridCol w:w="2635"/>
        <w:gridCol w:w="1235"/>
        <w:gridCol w:w="1867"/>
        <w:gridCol w:w="1686"/>
        <w:gridCol w:w="1256"/>
      </w:tblGrid>
      <w:tr>
        <w:trPr>
          <w:tblHeader w:val="true"/>
        </w:trPr>
        <w:tc>
          <w:tcPr>
            <w:tcW w:type="dxa" w:w="959"/>
            <w:shd w:val="clear" w:color="auto" w:fill="1F3A5F"/>
          </w:tcPr>
          <w:p>
            <w:r/>
            <w:r>
              <w:rPr>
                <w:b/>
                <w:color w:val="FFFFFF"/>
                <w:sz w:val="17"/>
              </w:rPr>
              <w:t>ID</w:t>
            </w:r>
          </w:p>
        </w:tc>
        <w:tc>
          <w:tcPr>
            <w:tcW w:type="dxa" w:w="2635"/>
            <w:shd w:val="clear" w:color="auto" w:fill="1F3A5F"/>
          </w:tcPr>
          <w:p>
            <w:r/>
            <w:r>
              <w:rPr>
                <w:b/>
                <w:color w:val="FFFFFF"/>
                <w:sz w:val="17"/>
              </w:rPr>
              <w:t>Candidate framing</w:t>
            </w:r>
          </w:p>
        </w:tc>
        <w:tc>
          <w:tcPr>
            <w:tcW w:type="dxa" w:w="1235"/>
            <w:shd w:val="clear" w:color="auto" w:fill="1F3A5F"/>
          </w:tcPr>
          <w:p>
            <w:r/>
            <w:r>
              <w:rPr>
                <w:b/>
                <w:color w:val="FFFFFF"/>
                <w:sz w:val="17"/>
              </w:rPr>
              <w:t>Lens</w:t>
            </w:r>
          </w:p>
        </w:tc>
        <w:tc>
          <w:tcPr>
            <w:tcW w:type="dxa" w:w="1867"/>
            <w:shd w:val="clear" w:color="auto" w:fill="1F3A5F"/>
          </w:tcPr>
          <w:p>
            <w:r/>
            <w:r>
              <w:rPr>
                <w:b/>
                <w:color w:val="FFFFFF"/>
                <w:sz w:val="17"/>
              </w:rPr>
              <w:t>ML formulation</w:t>
            </w:r>
          </w:p>
        </w:tc>
        <w:tc>
          <w:tcPr>
            <w:tcW w:type="dxa" w:w="1686"/>
            <w:shd w:val="clear" w:color="auto" w:fill="1F3A5F"/>
          </w:tcPr>
          <w:p>
            <w:r/>
            <w:r>
              <w:rPr>
                <w:b/>
                <w:color w:val="FFFFFF"/>
                <w:sz w:val="17"/>
              </w:rPr>
              <w:t>Needs</w:t>
            </w:r>
          </w:p>
        </w:tc>
        <w:tc>
          <w:tcPr>
            <w:tcW w:type="dxa" w:w="1256"/>
            <w:shd w:val="clear" w:color="auto" w:fill="1F3A5F"/>
          </w:tcPr>
          <w:p>
            <w:r/>
            <w:r>
              <w:rPr>
                <w:b/>
                <w:color w:val="FFFFFF"/>
                <w:sz w:val="17"/>
              </w:rPr>
              <w:t>Best if the MD means…</w:t>
            </w:r>
          </w:p>
        </w:tc>
      </w:tr>
      <w:tr>
        <w:tc>
          <w:tcPr>
            <w:tcW w:type="dxa" w:w="959"/>
          </w:tcPr>
          <w:p>
            <w:pPr>
              <w:spacing w:after="20"/>
            </w:pPr>
            <w:r/>
            <w:r>
              <w:rPr>
                <w:sz w:val="17"/>
              </w:rPr>
              <w:t>A1</w:t>
            </w:r>
          </w:p>
        </w:tc>
        <w:tc>
          <w:tcPr>
            <w:tcW w:type="dxa" w:w="2635"/>
          </w:tcPr>
          <w:p>
            <w:pPr>
              <w:spacing w:after="20"/>
            </w:pPr>
            <w:r/>
            <w:r>
              <w:rPr>
                <w:sz w:val="17"/>
              </w:rPr>
              <w:t>Peer-adjusted performance diagnostic: which branches under- or over-perform given their market and size, and why</w:t>
            </w:r>
          </w:p>
        </w:tc>
        <w:tc>
          <w:tcPr>
            <w:tcW w:type="dxa" w:w="1235"/>
          </w:tcPr>
          <w:p>
            <w:pPr>
              <w:spacing w:after="20"/>
            </w:pPr>
            <w:r/>
            <w:r>
              <w:rPr>
                <w:sz w:val="17"/>
              </w:rPr>
              <w:t>Exploratory (descriptive)</w:t>
            </w:r>
          </w:p>
        </w:tc>
        <w:tc>
          <w:tcPr>
            <w:tcW w:type="dxa" w:w="1867"/>
          </w:tcPr>
          <w:p>
            <w:pPr>
              <w:spacing w:after="20"/>
            </w:pPr>
            <w:r/>
            <w:r>
              <w:rPr>
                <w:sz w:val="17"/>
              </w:rPr>
              <w:t>Regression or ranking of branch KPIs against context; benchmarking with peer groups; clustering</w:t>
            </w:r>
          </w:p>
        </w:tc>
        <w:tc>
          <w:tcPr>
            <w:tcW w:type="dxa" w:w="1686"/>
          </w:tcPr>
          <w:p>
            <w:pPr>
              <w:spacing w:after="20"/>
            </w:pPr>
            <w:r/>
            <w:r>
              <w:rPr>
                <w:sz w:val="17"/>
              </w:rPr>
              <w:t>Branch KPIs, branch attributes, catchment/market data</w:t>
            </w:r>
          </w:p>
        </w:tc>
        <w:tc>
          <w:tcPr>
            <w:tcW w:type="dxa" w:w="1256"/>
          </w:tcPr>
          <w:p>
            <w:pPr>
              <w:spacing w:after="20"/>
            </w:pPr>
            <w:r/>
            <w:r>
              <w:rPr>
                <w:sz w:val="17"/>
              </w:rPr>
              <w:t>"Show us where we are weak"</w:t>
            </w:r>
          </w:p>
        </w:tc>
      </w:tr>
      <w:tr>
        <w:tc>
          <w:tcPr>
            <w:tcW w:type="dxa" w:w="959"/>
            <w:shd w:val="clear" w:color="auto" w:fill="F2F5F9"/>
          </w:tcPr>
          <w:p>
            <w:pPr>
              <w:spacing w:after="20"/>
            </w:pPr>
            <w:r/>
            <w:r>
              <w:rPr>
                <w:sz w:val="17"/>
              </w:rPr>
              <w:t>A2</w:t>
            </w:r>
          </w:p>
        </w:tc>
        <w:tc>
          <w:tcPr>
            <w:tcW w:type="dxa" w:w="2635"/>
            <w:shd w:val="clear" w:color="auto" w:fill="F2F5F9"/>
          </w:tcPr>
          <w:p>
            <w:pPr>
              <w:spacing w:after="20"/>
            </w:pPr>
            <w:r/>
            <w:r>
              <w:rPr>
                <w:sz w:val="17"/>
              </w:rPr>
              <w:t>Forecasting branch KPIs (deposits, loans, cash demand, footfall)</w:t>
            </w:r>
          </w:p>
        </w:tc>
        <w:tc>
          <w:tcPr>
            <w:tcW w:type="dxa" w:w="1235"/>
            <w:shd w:val="clear" w:color="auto" w:fill="F2F5F9"/>
          </w:tcPr>
          <w:p>
            <w:pPr>
              <w:spacing w:after="20"/>
            </w:pPr>
            <w:r/>
            <w:r>
              <w:rPr>
                <w:sz w:val="17"/>
              </w:rPr>
              <w:t>Predictive</w:t>
            </w:r>
          </w:p>
        </w:tc>
        <w:tc>
          <w:tcPr>
            <w:tcW w:type="dxa" w:w="1867"/>
            <w:shd w:val="clear" w:color="auto" w:fill="F2F5F9"/>
          </w:tcPr>
          <w:p>
            <w:pPr>
              <w:spacing w:after="20"/>
            </w:pPr>
            <w:r/>
            <w:r>
              <w:rPr>
                <w:sz w:val="17"/>
              </w:rPr>
              <w:t>Time-series forecasting</w:t>
            </w:r>
          </w:p>
        </w:tc>
        <w:tc>
          <w:tcPr>
            <w:tcW w:type="dxa" w:w="1686"/>
            <w:shd w:val="clear" w:color="auto" w:fill="F2F5F9"/>
          </w:tcPr>
          <w:p>
            <w:pPr>
              <w:spacing w:after="20"/>
            </w:pPr>
            <w:r/>
            <w:r>
              <w:rPr>
                <w:sz w:val="17"/>
              </w:rPr>
              <w:t>2+ years of monthly history per branch</w:t>
            </w:r>
          </w:p>
        </w:tc>
        <w:tc>
          <w:tcPr>
            <w:tcW w:type="dxa" w:w="1256"/>
            <w:shd w:val="clear" w:color="auto" w:fill="F2F5F9"/>
          </w:tcPr>
          <w:p>
            <w:pPr>
              <w:spacing w:after="20"/>
            </w:pPr>
            <w:r/>
            <w:r>
              <w:rPr>
                <w:sz w:val="17"/>
              </w:rPr>
              <w:t>"Plan ahead" or "set realistic targets"</w:t>
            </w:r>
          </w:p>
        </w:tc>
      </w:tr>
      <w:tr>
        <w:tc>
          <w:tcPr>
            <w:tcW w:type="dxa" w:w="959"/>
          </w:tcPr>
          <w:p>
            <w:pPr>
              <w:spacing w:after="20"/>
            </w:pPr>
            <w:r/>
            <w:r>
              <w:rPr>
                <w:sz w:val="17"/>
              </w:rPr>
              <w:t>A3</w:t>
            </w:r>
          </w:p>
        </w:tc>
        <w:tc>
          <w:tcPr>
            <w:tcW w:type="dxa" w:w="2635"/>
          </w:tcPr>
          <w:p>
            <w:pPr>
              <w:spacing w:after="20"/>
            </w:pPr>
            <w:r/>
            <w:r>
              <w:rPr>
                <w:sz w:val="17"/>
              </w:rPr>
              <w:t>Early warning of branch deterioration (for example rising overdue loans or deposit outflow)</w:t>
            </w:r>
          </w:p>
        </w:tc>
        <w:tc>
          <w:tcPr>
            <w:tcW w:type="dxa" w:w="1235"/>
          </w:tcPr>
          <w:p>
            <w:pPr>
              <w:spacing w:after="20"/>
            </w:pPr>
            <w:r/>
            <w:r>
              <w:rPr>
                <w:sz w:val="17"/>
              </w:rPr>
              <w:t>Predictive</w:t>
            </w:r>
          </w:p>
        </w:tc>
        <w:tc>
          <w:tcPr>
            <w:tcW w:type="dxa" w:w="1867"/>
          </w:tcPr>
          <w:p>
            <w:pPr>
              <w:spacing w:after="20"/>
            </w:pPr>
            <w:r/>
            <w:r>
              <w:rPr>
                <w:sz w:val="17"/>
              </w:rPr>
              <w:t>Classification or survival on branch-month, or loan/customer-level risk</w:t>
            </w:r>
          </w:p>
        </w:tc>
        <w:tc>
          <w:tcPr>
            <w:tcW w:type="dxa" w:w="1686"/>
          </w:tcPr>
          <w:p>
            <w:pPr>
              <w:spacing w:after="20"/>
            </w:pPr>
            <w:r/>
            <w:r>
              <w:rPr>
                <w:sz w:val="17"/>
              </w:rPr>
              <w:t>Defined event, history of events, enough branches</w:t>
            </w:r>
          </w:p>
        </w:tc>
        <w:tc>
          <w:tcPr>
            <w:tcW w:type="dxa" w:w="1256"/>
          </w:tcPr>
          <w:p>
            <w:pPr>
              <w:spacing w:after="20"/>
            </w:pPr>
            <w:r/>
            <w:r>
              <w:rPr>
                <w:sz w:val="17"/>
              </w:rPr>
              <w:t>"Catch problems early"</w:t>
            </w:r>
          </w:p>
        </w:tc>
      </w:tr>
      <w:tr>
        <w:tc>
          <w:tcPr>
            <w:tcW w:type="dxa" w:w="959"/>
            <w:shd w:val="clear" w:color="auto" w:fill="F2F5F9"/>
          </w:tcPr>
          <w:p>
            <w:pPr>
              <w:spacing w:after="20"/>
            </w:pPr>
            <w:r/>
            <w:r>
              <w:rPr>
                <w:sz w:val="17"/>
              </w:rPr>
              <w:t>A4</w:t>
            </w:r>
          </w:p>
        </w:tc>
        <w:tc>
          <w:tcPr>
            <w:tcW w:type="dxa" w:w="2635"/>
            <w:shd w:val="clear" w:color="auto" w:fill="F2F5F9"/>
          </w:tcPr>
          <w:p>
            <w:pPr>
              <w:spacing w:after="20"/>
            </w:pPr>
            <w:r/>
            <w:r>
              <w:rPr>
                <w:sz w:val="17"/>
              </w:rPr>
              <w:t>Customer-level models (churn, cross-sell, credit risk) aggregated to branch uplift</w:t>
            </w:r>
          </w:p>
        </w:tc>
        <w:tc>
          <w:tcPr>
            <w:tcW w:type="dxa" w:w="1235"/>
            <w:shd w:val="clear" w:color="auto" w:fill="F2F5F9"/>
          </w:tcPr>
          <w:p>
            <w:pPr>
              <w:spacing w:after="20"/>
            </w:pPr>
            <w:r/>
            <w:r>
              <w:rPr>
                <w:sz w:val="17"/>
              </w:rPr>
              <w:t>Predictive (+ causal for offers)</w:t>
            </w:r>
          </w:p>
        </w:tc>
        <w:tc>
          <w:tcPr>
            <w:tcW w:type="dxa" w:w="1867"/>
            <w:shd w:val="clear" w:color="auto" w:fill="F2F5F9"/>
          </w:tcPr>
          <w:p>
            <w:pPr>
              <w:spacing w:after="20"/>
            </w:pPr>
            <w:r/>
            <w:r>
              <w:rPr>
                <w:sz w:val="17"/>
              </w:rPr>
              <w:t>Propensity or uplift models</w:t>
            </w:r>
          </w:p>
        </w:tc>
        <w:tc>
          <w:tcPr>
            <w:tcW w:type="dxa" w:w="1686"/>
            <w:shd w:val="clear" w:color="auto" w:fill="F2F5F9"/>
          </w:tcPr>
          <w:p>
            <w:pPr>
              <w:spacing w:after="20"/>
            </w:pPr>
            <w:r/>
            <w:r>
              <w:rPr>
                <w:sz w:val="17"/>
              </w:rPr>
              <w:t>Customer/account data, consent, campaign history</w:t>
            </w:r>
          </w:p>
        </w:tc>
        <w:tc>
          <w:tcPr>
            <w:tcW w:type="dxa" w:w="1256"/>
            <w:shd w:val="clear" w:color="auto" w:fill="F2F5F9"/>
          </w:tcPr>
          <w:p>
            <w:pPr>
              <w:spacing w:after="20"/>
            </w:pPr>
            <w:r/>
            <w:r>
              <w:rPr>
                <w:sz w:val="17"/>
              </w:rPr>
              <w:t>"Grow business per branch"</w:t>
            </w:r>
          </w:p>
        </w:tc>
      </w:tr>
      <w:tr>
        <w:tc>
          <w:tcPr>
            <w:tcW w:type="dxa" w:w="959"/>
          </w:tcPr>
          <w:p>
            <w:pPr>
              <w:spacing w:after="20"/>
            </w:pPr>
            <w:r/>
            <w:r>
              <w:rPr>
                <w:sz w:val="17"/>
              </w:rPr>
              <w:t>A5</w:t>
            </w:r>
          </w:p>
        </w:tc>
        <w:tc>
          <w:tcPr>
            <w:tcW w:type="dxa" w:w="2635"/>
          </w:tcPr>
          <w:p>
            <w:pPr>
              <w:spacing w:after="20"/>
            </w:pPr>
            <w:r/>
            <w:r>
              <w:rPr>
                <w:sz w:val="17"/>
              </w:rPr>
              <w:t>"What would improve performance?" (staffing, hours, closing or opening branches, incentives)</w:t>
            </w:r>
          </w:p>
        </w:tc>
        <w:tc>
          <w:tcPr>
            <w:tcW w:type="dxa" w:w="1235"/>
          </w:tcPr>
          <w:p>
            <w:pPr>
              <w:spacing w:after="20"/>
            </w:pPr>
            <w:r/>
            <w:r>
              <w:rPr>
                <w:sz w:val="17"/>
              </w:rPr>
              <w:t>Causal / Prescriptive</w:t>
            </w:r>
          </w:p>
        </w:tc>
        <w:tc>
          <w:tcPr>
            <w:tcW w:type="dxa" w:w="1867"/>
          </w:tcPr>
          <w:p>
            <w:pPr>
              <w:spacing w:after="20"/>
            </w:pPr>
            <w:r/>
            <w:r>
              <w:rPr>
                <w:sz w:val="17"/>
              </w:rPr>
              <w:t>Quasi-experiment, DiD, synthetic control, or pilot</w:t>
            </w:r>
          </w:p>
        </w:tc>
        <w:tc>
          <w:tcPr>
            <w:tcW w:type="dxa" w:w="1686"/>
          </w:tcPr>
          <w:p>
            <w:pPr>
              <w:spacing w:after="20"/>
            </w:pPr>
            <w:r/>
            <w:r>
              <w:rPr>
                <w:sz w:val="17"/>
              </w:rPr>
              <w:t>Intervention history or willingness to run pilots</w:t>
            </w:r>
          </w:p>
        </w:tc>
        <w:tc>
          <w:tcPr>
            <w:tcW w:type="dxa" w:w="1256"/>
          </w:tcPr>
          <w:p>
            <w:pPr>
              <w:spacing w:after="20"/>
            </w:pPr>
            <w:r/>
            <w:r>
              <w:rPr>
                <w:sz w:val="17"/>
              </w:rPr>
              <w:t>"Tell us what to change"</w:t>
            </w:r>
          </w:p>
        </w:tc>
      </w:tr>
    </w:tbl>
    <w:p>
      <w:pPr>
        <w:spacing w:after="40"/>
      </w:pPr>
    </w:p>
    <w:p>
      <w:pPr>
        <w:shd w:val="clear" w:color="auto" w:fill="F2F2F2"/>
        <w:pBdr>
          <w:left w:val="single" w:sz="18" w:space="8" w:color="2E75B6"/>
        </w:pBdr>
        <w:spacing w:before="80" w:after="120"/>
        <w:ind w:left="170"/>
      </w:pPr>
      <w:r>
        <w:rPr>
          <w:b/>
        </w:rPr>
        <w:t>Note:</w:t>
      </w:r>
      <w:r>
        <w:rPr/>
        <w:t xml:space="preserve"> A5 is the question the MD is probably asking, but a predictive or diagnostic model cannot answer it. Associations between branch features and performance will not show that changing a feature changes performance. The plan must keep this distinction in front of the client.</w:t>
      </w:r>
    </w:p>
    <w:p>
      <w:r>
        <w:rPr>
          <w:b/>
        </w:rPr>
        <w:t>Baseline and validation (to be fixed after Q2/Q4):</w:t>
      </w:r>
      <w:r>
        <w:rPr/>
        <w:t xml:space="preserve"> the bar to beat for A1 is today's branch ranking or scorecard, or a naive peer-group median. Any later model is validated with temporal or branch-grouped splits and a locked test period. Experiment cards and tracking come with the full plan.</w:t>
      </w:r>
    </w:p>
    <w:p>
      <w:r>
        <w:rPr>
          <w:b/>
        </w:rPr>
        <w:t xml:space="preserve">Recommended sequence </w:t>
      </w:r>
      <w:r>
        <w:rPr>
          <w:b/>
          <w:color w:val="B36B00"/>
        </w:rPr>
        <w:t>[Assumed]</w:t>
      </w:r>
      <w:r>
        <w:rPr>
          <w:b/>
        </w:rPr>
        <w:t>:</w:t>
      </w:r>
      <w:r>
        <w:rPr/>
        <w:t xml:space="preserve"> A1 first (cheap, builds data foundations, defines "performance"). Then A2 or A3 depending on the answers in §4. A5 only through pilots with comparison branches.</w:t>
      </w:r>
    </w:p>
    <w:p>
      <w:r>
        <w:rPr>
          <w:b/>
        </w:rPr>
        <w:t>Red flags:</w:t>
      </w:r>
    </w:p>
    <w:p>
      <w:pPr>
        <w:pStyle w:val="ListBullet"/>
        <w:spacing w:after="40"/>
        <w:ind w:left="357" w:hanging="357"/>
      </w:pPr>
      <w:r>
        <w:rPr/>
        <w:t>Leakage and label maturity for A2–A4: event definitions and campaign history must be dated at the prediction point; recent periods may not have matured outcomes.</w:t>
      </w:r>
    </w:p>
    <w:p>
      <w:pPr>
        <w:pStyle w:val="ListBullet"/>
        <w:spacing w:after="40"/>
        <w:ind w:left="357" w:hanging="357"/>
      </w:pPr>
      <w:r>
        <w:rPr/>
        <w:t>No named decision or owner.</w:t>
      </w:r>
    </w:p>
    <w:p>
      <w:pPr>
        <w:pStyle w:val="ListBullet"/>
        <w:spacing w:after="40"/>
        <w:ind w:left="357" w:hanging="357"/>
      </w:pPr>
      <w:r>
        <w:rPr/>
        <w:t>A vague, possibly multi-dimensional target.</w:t>
      </w:r>
    </w:p>
    <w:p>
      <w:pPr>
        <w:pStyle w:val="ListBullet"/>
        <w:spacing w:after="40"/>
        <w:ind w:left="357" w:hanging="357"/>
      </w:pPr>
      <w:r>
        <w:rPr/>
        <w:t>Small branch count, so overfitting is likely at branch level.</w:t>
      </w:r>
    </w:p>
    <w:p>
      <w:pPr>
        <w:pStyle w:val="ListBullet"/>
        <w:spacing w:after="40"/>
        <w:ind w:left="357" w:hanging="357"/>
      </w:pPr>
      <w:r>
        <w:rPr/>
        <w:t>A "lots of data" claim not yet backed by any specific source.</w:t>
      </w:r>
    </w:p>
    <w:p>
      <w:pPr>
        <w:pStyle w:val="ListBullet"/>
        <w:spacing w:after="40"/>
        <w:ind w:left="357" w:hanging="357"/>
      </w:pPr>
      <w:r>
        <w:rPr/>
        <w:t>Causal expectation attached to a descriptive or predictive tool.</w:t>
      </w:r>
    </w:p>
    <w:p>
      <w:pPr>
        <w:pStyle w:val="Heading2"/>
      </w:pPr>
      <w:r>
        <w:rPr/>
        <w:t>4. Assumptions, Unknowns &amp; Client Clarification Questions</w:t>
      </w:r>
    </w:p>
    <w:tbl>
      <w:tblPr>
        <w:tblStyle w:val="TableGrid"/>
        <w:tblW w:type="auto" w:w="0"/>
        <w:jc w:val="center"/>
        <w:tblLayout w:type="fixed"/>
        <w:tblLook w:firstColumn="1" w:firstRow="1" w:lastColumn="0" w:lastRow="0" w:noHBand="0" w:noVBand="1" w:val="04A0"/>
        <w:tblLayout w:type="fixed"/>
      </w:tblPr>
      <w:tblGrid>
        <w:gridCol w:w="969"/>
        <w:gridCol w:w="3440"/>
        <w:gridCol w:w="1202"/>
        <w:gridCol w:w="1744"/>
        <w:gridCol w:w="1202"/>
        <w:gridCol w:w="1082"/>
      </w:tblGrid>
      <w:tr>
        <w:trPr>
          <w:tblHeader w:val="true"/>
        </w:trPr>
        <w:tc>
          <w:tcPr>
            <w:tcW w:type="dxa" w:w="969"/>
            <w:shd w:val="clear" w:color="auto" w:fill="1F3A5F"/>
          </w:tcPr>
          <w:p>
            <w:r/>
            <w:r>
              <w:rPr>
                <w:b/>
                <w:color w:val="FFFFFF"/>
                <w:sz w:val="17"/>
              </w:rPr>
              <w:t>ID</w:t>
            </w:r>
          </w:p>
        </w:tc>
        <w:tc>
          <w:tcPr>
            <w:tcW w:type="dxa" w:w="3440"/>
            <w:shd w:val="clear" w:color="auto" w:fill="1F3A5F"/>
          </w:tcPr>
          <w:p>
            <w:r/>
            <w:r>
              <w:rPr>
                <w:b/>
                <w:color w:val="FFFFFF"/>
                <w:sz w:val="17"/>
              </w:rPr>
              <w:t>Statement</w:t>
            </w:r>
          </w:p>
        </w:tc>
        <w:tc>
          <w:tcPr>
            <w:tcW w:type="dxa" w:w="1202"/>
            <w:shd w:val="clear" w:color="auto" w:fill="1F3A5F"/>
          </w:tcPr>
          <w:p>
            <w:r/>
            <w:r>
              <w:rPr>
                <w:b/>
                <w:color w:val="FFFFFF"/>
                <w:sz w:val="17"/>
              </w:rPr>
              <w:t>Type</w:t>
            </w:r>
          </w:p>
        </w:tc>
        <w:tc>
          <w:tcPr>
            <w:tcW w:type="dxa" w:w="1744"/>
            <w:shd w:val="clear" w:color="auto" w:fill="1F3A5F"/>
          </w:tcPr>
          <w:p>
            <w:r/>
            <w:r>
              <w:rPr>
                <w:b/>
                <w:color w:val="FFFFFF"/>
                <w:sz w:val="17"/>
              </w:rPr>
              <w:t>Impact if wrong</w:t>
            </w:r>
          </w:p>
        </w:tc>
        <w:tc>
          <w:tcPr>
            <w:tcW w:type="dxa" w:w="1202"/>
            <w:shd w:val="clear" w:color="auto" w:fill="1F3A5F"/>
          </w:tcPr>
          <w:p>
            <w:r/>
            <w:r>
              <w:rPr>
                <w:b/>
                <w:color w:val="FFFFFF"/>
                <w:sz w:val="17"/>
              </w:rPr>
              <w:t>Owner</w:t>
            </w:r>
          </w:p>
        </w:tc>
        <w:tc>
          <w:tcPr>
            <w:tcW w:type="dxa" w:w="1082"/>
            <w:shd w:val="clear" w:color="auto" w:fill="1F3A5F"/>
          </w:tcPr>
          <w:p>
            <w:r/>
            <w:r>
              <w:rPr>
                <w:b/>
                <w:color w:val="FFFFFF"/>
                <w:sz w:val="17"/>
              </w:rPr>
              <w:t>Needed by</w:t>
            </w:r>
          </w:p>
        </w:tc>
      </w:tr>
      <w:tr>
        <w:tc>
          <w:tcPr>
            <w:tcW w:type="dxa" w:w="969"/>
          </w:tcPr>
          <w:p>
            <w:pPr>
              <w:spacing w:after="20"/>
            </w:pPr>
            <w:r/>
            <w:r>
              <w:rPr>
                <w:sz w:val="17"/>
              </w:rPr>
              <w:t>Q1</w:t>
            </w:r>
          </w:p>
        </w:tc>
        <w:tc>
          <w:tcPr>
            <w:tcW w:type="dxa" w:w="3440"/>
          </w:tcPr>
          <w:p>
            <w:pPr>
              <w:spacing w:after="20"/>
            </w:pPr>
            <w:r/>
            <w:r>
              <w:rPr>
                <w:b/>
                <w:sz w:val="17"/>
              </w:rPr>
              <w:t>Which decision should the output change, and who takes it?</w:t>
            </w:r>
            <w:r>
              <w:rPr>
                <w:sz w:val="17"/>
              </w:rPr>
              <w:t xml:space="preserve"> (branch targets, staffing, network, products)</w:t>
            </w:r>
          </w:p>
        </w:tc>
        <w:tc>
          <w:tcPr>
            <w:tcW w:type="dxa" w:w="1202"/>
          </w:tcPr>
          <w:p>
            <w:pPr>
              <w:spacing w:after="20"/>
            </w:pPr>
            <w:r/>
            <w:r>
              <w:rPr>
                <w:sz w:val="17"/>
              </w:rPr>
              <w:t>Open question</w:t>
            </w:r>
          </w:p>
        </w:tc>
        <w:tc>
          <w:tcPr>
            <w:tcW w:type="dxa" w:w="1744"/>
          </w:tcPr>
          <w:p>
            <w:pPr>
              <w:spacing w:after="20"/>
            </w:pPr>
            <w:r/>
            <w:r>
              <w:rPr>
                <w:sz w:val="17"/>
              </w:rPr>
              <w:t>Determines the whole plan</w:t>
            </w:r>
          </w:p>
        </w:tc>
        <w:tc>
          <w:tcPr>
            <w:tcW w:type="dxa" w:w="1202"/>
          </w:tcPr>
          <w:p>
            <w:pPr>
              <w:spacing w:after="20"/>
            </w:pPr>
            <w:r/>
            <w:r>
              <w:rPr>
                <w:sz w:val="17"/>
              </w:rPr>
              <w:t>MD</w:t>
            </w:r>
          </w:p>
        </w:tc>
        <w:tc>
          <w:tcPr>
            <w:tcW w:type="dxa" w:w="1082"/>
          </w:tcPr>
          <w:p>
            <w:pPr>
              <w:spacing w:after="20"/>
            </w:pPr>
            <w:r/>
            <w:r>
              <w:rPr>
                <w:sz w:val="17"/>
              </w:rPr>
              <w:t>Before discovery ends</w:t>
            </w:r>
          </w:p>
        </w:tc>
      </w:tr>
      <w:tr>
        <w:tc>
          <w:tcPr>
            <w:tcW w:type="dxa" w:w="969"/>
            <w:shd w:val="clear" w:color="auto" w:fill="F2F5F9"/>
          </w:tcPr>
          <w:p>
            <w:pPr>
              <w:spacing w:after="20"/>
            </w:pPr>
            <w:r/>
            <w:r>
              <w:rPr>
                <w:sz w:val="17"/>
              </w:rPr>
              <w:t>Q2</w:t>
            </w:r>
          </w:p>
        </w:tc>
        <w:tc>
          <w:tcPr>
            <w:tcW w:type="dxa" w:w="3440"/>
            <w:shd w:val="clear" w:color="auto" w:fill="F2F5F9"/>
          </w:tcPr>
          <w:p>
            <w:pPr>
              <w:spacing w:after="20"/>
            </w:pPr>
            <w:r/>
            <w:r>
              <w:rPr>
                <w:b/>
                <w:sz w:val="17"/>
              </w:rPr>
              <w:t>What does "branch performance" mean?</w:t>
            </w:r>
            <w:r>
              <w:rPr>
                <w:sz w:val="17"/>
              </w:rPr>
              <w:t xml:space="preserve"> Which 3–5 KPIs, and how are branches judged today? Blocks A1–A3 (target and baseline)</w:t>
            </w:r>
          </w:p>
        </w:tc>
        <w:tc>
          <w:tcPr>
            <w:tcW w:type="dxa" w:w="1202"/>
            <w:shd w:val="clear" w:color="auto" w:fill="F2F5F9"/>
          </w:tcPr>
          <w:p>
            <w:pPr>
              <w:spacing w:after="20"/>
            </w:pPr>
            <w:r/>
            <w:r>
              <w:rPr>
                <w:sz w:val="17"/>
              </w:rPr>
              <w:t>Open question</w:t>
            </w:r>
          </w:p>
        </w:tc>
        <w:tc>
          <w:tcPr>
            <w:tcW w:type="dxa" w:w="1744"/>
            <w:shd w:val="clear" w:color="auto" w:fill="F2F5F9"/>
          </w:tcPr>
          <w:p>
            <w:pPr>
              <w:spacing w:after="20"/>
            </w:pPr>
            <w:r/>
            <w:r>
              <w:rPr>
                <w:sz w:val="17"/>
              </w:rPr>
              <w:t>Wrong target, wasted modelling</w:t>
            </w:r>
          </w:p>
        </w:tc>
        <w:tc>
          <w:tcPr>
            <w:tcW w:type="dxa" w:w="1202"/>
            <w:shd w:val="clear" w:color="auto" w:fill="F2F5F9"/>
          </w:tcPr>
          <w:p>
            <w:pPr>
              <w:spacing w:after="20"/>
            </w:pPr>
            <w:r/>
            <w:r>
              <w:rPr>
                <w:sz w:val="17"/>
              </w:rPr>
              <w:t>MD / Head of Operations</w:t>
            </w:r>
          </w:p>
        </w:tc>
        <w:tc>
          <w:tcPr>
            <w:tcW w:type="dxa" w:w="1082"/>
            <w:shd w:val="clear" w:color="auto" w:fill="F2F5F9"/>
          </w:tcPr>
          <w:p>
            <w:pPr>
              <w:spacing w:after="20"/>
            </w:pPr>
            <w:r/>
            <w:r>
              <w:rPr>
                <w:sz w:val="17"/>
              </w:rPr>
              <w:t>Week 1 gate</w:t>
            </w:r>
          </w:p>
        </w:tc>
      </w:tr>
      <w:tr>
        <w:tc>
          <w:tcPr>
            <w:tcW w:type="dxa" w:w="969"/>
          </w:tcPr>
          <w:p>
            <w:pPr>
              <w:spacing w:after="20"/>
            </w:pPr>
            <w:r/>
            <w:r>
              <w:rPr>
                <w:sz w:val="17"/>
              </w:rPr>
              <w:t>Q3</w:t>
            </w:r>
          </w:p>
        </w:tc>
        <w:tc>
          <w:tcPr>
            <w:tcW w:type="dxa" w:w="3440"/>
          </w:tcPr>
          <w:p>
            <w:pPr>
              <w:spacing w:after="20"/>
            </w:pPr>
            <w:r/>
            <w:r>
              <w:rPr>
                <w:b/>
                <w:sz w:val="17"/>
              </w:rPr>
              <w:t>What data exists?</w:t>
            </w:r>
            <w:r>
              <w:rPr>
                <w:sz w:val="17"/>
              </w:rPr>
              <w:t xml:space="preserve"> Core banking, loan system, CRM, HR/staffing, branch costs; history length; can it be extracted at branch-month grain?</w:t>
            </w:r>
          </w:p>
        </w:tc>
        <w:tc>
          <w:tcPr>
            <w:tcW w:type="dxa" w:w="1202"/>
          </w:tcPr>
          <w:p>
            <w:pPr>
              <w:spacing w:after="20"/>
            </w:pPr>
            <w:r/>
            <w:r>
              <w:rPr>
                <w:sz w:val="17"/>
              </w:rPr>
              <w:t>Open question</w:t>
            </w:r>
          </w:p>
        </w:tc>
        <w:tc>
          <w:tcPr>
            <w:tcW w:type="dxa" w:w="1744"/>
          </w:tcPr>
          <w:p>
            <w:pPr>
              <w:spacing w:after="20"/>
            </w:pPr>
            <w:r/>
            <w:r>
              <w:rPr>
                <w:sz w:val="17"/>
              </w:rPr>
              <w:t>Feasibility</w:t>
            </w:r>
          </w:p>
        </w:tc>
        <w:tc>
          <w:tcPr>
            <w:tcW w:type="dxa" w:w="1202"/>
          </w:tcPr>
          <w:p>
            <w:pPr>
              <w:spacing w:after="20"/>
            </w:pPr>
            <w:r/>
            <w:r>
              <w:rPr>
                <w:sz w:val="17"/>
              </w:rPr>
              <w:t>IT / Head of Data</w:t>
            </w:r>
          </w:p>
        </w:tc>
        <w:tc>
          <w:tcPr>
            <w:tcW w:type="dxa" w:w="1082"/>
          </w:tcPr>
          <w:p>
            <w:pPr>
              <w:spacing w:after="20"/>
            </w:pPr>
            <w:r/>
            <w:r>
              <w:rPr>
                <w:sz w:val="17"/>
              </w:rPr>
              <w:t>Week 1</w:t>
            </w:r>
          </w:p>
        </w:tc>
      </w:tr>
      <w:tr>
        <w:tc>
          <w:tcPr>
            <w:tcW w:type="dxa" w:w="969"/>
            <w:shd w:val="clear" w:color="auto" w:fill="F2F5F9"/>
          </w:tcPr>
          <w:p>
            <w:pPr>
              <w:spacing w:after="20"/>
            </w:pPr>
            <w:r/>
            <w:r>
              <w:rPr>
                <w:sz w:val="17"/>
              </w:rPr>
              <w:t>Q4</w:t>
            </w:r>
          </w:p>
        </w:tc>
        <w:tc>
          <w:tcPr>
            <w:tcW w:type="dxa" w:w="3440"/>
            <w:shd w:val="clear" w:color="auto" w:fill="F2F5F9"/>
          </w:tcPr>
          <w:p>
            <w:pPr>
              <w:spacing w:after="20"/>
            </w:pPr>
            <w:r/>
            <w:r>
              <w:rPr>
                <w:b/>
                <w:sz w:val="17"/>
              </w:rPr>
              <w:t>How many branches does the bank have, and how much history per branch?</w:t>
            </w:r>
          </w:p>
        </w:tc>
        <w:tc>
          <w:tcPr>
            <w:tcW w:type="dxa" w:w="1202"/>
            <w:shd w:val="clear" w:color="auto" w:fill="F2F5F9"/>
          </w:tcPr>
          <w:p>
            <w:pPr>
              <w:spacing w:after="20"/>
            </w:pPr>
            <w:r/>
            <w:r>
              <w:rPr>
                <w:sz w:val="17"/>
              </w:rPr>
              <w:t>Open question</w:t>
            </w:r>
          </w:p>
        </w:tc>
        <w:tc>
          <w:tcPr>
            <w:tcW w:type="dxa" w:w="1744"/>
            <w:shd w:val="clear" w:color="auto" w:fill="F2F5F9"/>
          </w:tcPr>
          <w:p>
            <w:pPr>
              <w:spacing w:after="20"/>
            </w:pPr>
            <w:r/>
            <w:r>
              <w:rPr>
                <w:sz w:val="17"/>
              </w:rPr>
              <w:t>Rule of thumb, unsourced: with few branches (say under ~50), branch-level models are weak and simple benchmarking or pilots are preferable</w:t>
            </w:r>
          </w:p>
        </w:tc>
        <w:tc>
          <w:tcPr>
            <w:tcW w:type="dxa" w:w="1202"/>
            <w:shd w:val="clear" w:color="auto" w:fill="F2F5F9"/>
          </w:tcPr>
          <w:p>
            <w:pPr>
              <w:spacing w:after="20"/>
            </w:pPr>
            <w:r/>
            <w:r>
              <w:rPr>
                <w:sz w:val="17"/>
              </w:rPr>
              <w:t>Operations</w:t>
            </w:r>
          </w:p>
        </w:tc>
        <w:tc>
          <w:tcPr>
            <w:tcW w:type="dxa" w:w="1082"/>
            <w:shd w:val="clear" w:color="auto" w:fill="F2F5F9"/>
          </w:tcPr>
          <w:p>
            <w:pPr>
              <w:spacing w:after="20"/>
            </w:pPr>
            <w:r/>
            <w:r>
              <w:rPr>
                <w:sz w:val="17"/>
              </w:rPr>
              <w:t>Week 1</w:t>
            </w:r>
          </w:p>
        </w:tc>
      </w:tr>
      <w:tr>
        <w:tc>
          <w:tcPr>
            <w:tcW w:type="dxa" w:w="969"/>
          </w:tcPr>
          <w:p>
            <w:pPr>
              <w:spacing w:after="20"/>
            </w:pPr>
            <w:r/>
            <w:r>
              <w:rPr>
                <w:sz w:val="17"/>
              </w:rPr>
              <w:t>Q5</w:t>
            </w:r>
          </w:p>
        </w:tc>
        <w:tc>
          <w:tcPr>
            <w:tcW w:type="dxa" w:w="3440"/>
          </w:tcPr>
          <w:p>
            <w:pPr>
              <w:spacing w:after="20"/>
            </w:pPr>
            <w:r/>
            <w:r>
              <w:rPr>
                <w:b/>
                <w:sz w:val="17"/>
              </w:rPr>
              <w:t>Has the bank made interventions in some branches (new managers, hours, renovations, incentive schemes)?</w:t>
            </w:r>
            <w:r>
              <w:rPr>
                <w:sz w:val="17"/>
              </w:rPr>
              <w:t xml:space="preserve"> Is it willing to pilot?</w:t>
            </w:r>
          </w:p>
        </w:tc>
        <w:tc>
          <w:tcPr>
            <w:tcW w:type="dxa" w:w="1202"/>
          </w:tcPr>
          <w:p>
            <w:pPr>
              <w:spacing w:after="20"/>
            </w:pPr>
            <w:r/>
            <w:r>
              <w:rPr>
                <w:sz w:val="17"/>
              </w:rPr>
              <w:t>Open question</w:t>
            </w:r>
          </w:p>
        </w:tc>
        <w:tc>
          <w:tcPr>
            <w:tcW w:type="dxa" w:w="1744"/>
          </w:tcPr>
          <w:p>
            <w:pPr>
              <w:spacing w:after="20"/>
            </w:pPr>
            <w:r/>
            <w:r>
              <w:rPr>
                <w:sz w:val="17"/>
              </w:rPr>
              <w:t>Whether any causal claim is possible</w:t>
            </w:r>
          </w:p>
        </w:tc>
        <w:tc>
          <w:tcPr>
            <w:tcW w:type="dxa" w:w="1202"/>
          </w:tcPr>
          <w:p>
            <w:pPr>
              <w:spacing w:after="20"/>
            </w:pPr>
            <w:r/>
            <w:r>
              <w:rPr>
                <w:sz w:val="17"/>
              </w:rPr>
              <w:t>MD</w:t>
            </w:r>
          </w:p>
        </w:tc>
        <w:tc>
          <w:tcPr>
            <w:tcW w:type="dxa" w:w="1082"/>
          </w:tcPr>
          <w:p>
            <w:pPr>
              <w:spacing w:after="20"/>
            </w:pPr>
            <w:r/>
            <w:r>
              <w:rPr>
                <w:sz w:val="17"/>
              </w:rPr>
              <w:t>Before discovery ends</w:t>
            </w:r>
          </w:p>
        </w:tc>
      </w:tr>
      <w:tr>
        <w:tc>
          <w:tcPr>
            <w:tcW w:type="dxa" w:w="969"/>
            <w:shd w:val="clear" w:color="auto" w:fill="F2F5F9"/>
          </w:tcPr>
          <w:p>
            <w:pPr>
              <w:spacing w:after="20"/>
            </w:pPr>
            <w:r/>
            <w:r>
              <w:rPr>
                <w:sz w:val="17"/>
              </w:rPr>
              <w:t>A-1</w:t>
            </w:r>
          </w:p>
        </w:tc>
        <w:tc>
          <w:tcPr>
            <w:tcW w:type="dxa" w:w="3440"/>
            <w:shd w:val="clear" w:color="auto" w:fill="F2F5F9"/>
          </w:tcPr>
          <w:p>
            <w:pPr>
              <w:spacing w:after="20"/>
            </w:pPr>
            <w:r/>
            <w:r>
              <w:rPr>
                <w:sz w:val="17"/>
              </w:rPr>
              <w:t>Unit of analysis is branch-month</w:t>
            </w:r>
          </w:p>
        </w:tc>
        <w:tc>
          <w:tcPr>
            <w:tcW w:type="dxa" w:w="1202"/>
            <w:shd w:val="clear" w:color="auto" w:fill="F2F5F9"/>
          </w:tcPr>
          <w:p>
            <w:pPr>
              <w:spacing w:after="20"/>
            </w:pPr>
            <w:r/>
            <w:r>
              <w:rPr>
                <w:sz w:val="17"/>
              </w:rPr>
              <w:t>Assumption</w:t>
            </w:r>
          </w:p>
        </w:tc>
        <w:tc>
          <w:tcPr>
            <w:tcW w:type="dxa" w:w="1744"/>
            <w:shd w:val="clear" w:color="auto" w:fill="F2F5F9"/>
          </w:tcPr>
          <w:p>
            <w:pPr>
              <w:spacing w:after="20"/>
            </w:pPr>
            <w:r/>
            <w:r>
              <w:rPr>
                <w:sz w:val="17"/>
              </w:rPr>
              <w:t>Grain of all datasets</w:t>
            </w:r>
          </w:p>
        </w:tc>
        <w:tc>
          <w:tcPr>
            <w:tcW w:type="dxa" w:w="1202"/>
            <w:shd w:val="clear" w:color="auto" w:fill="F2F5F9"/>
          </w:tcPr>
          <w:p>
            <w:pPr>
              <w:spacing w:after="20"/>
            </w:pPr>
            <w:r/>
            <w:r>
              <w:rPr>
                <w:sz w:val="17"/>
              </w:rPr>
              <w:t>DS team</w:t>
            </w:r>
          </w:p>
        </w:tc>
        <w:tc>
          <w:tcPr>
            <w:tcW w:type="dxa" w:w="1082"/>
            <w:shd w:val="clear" w:color="auto" w:fill="F2F5F9"/>
          </w:tcPr>
          <w:p>
            <w:pPr>
              <w:spacing w:after="20"/>
            </w:pPr>
            <w:r/>
            <w:r>
              <w:rPr>
                <w:sz w:val="17"/>
              </w:rPr>
              <w:t>Week 1</w:t>
            </w:r>
          </w:p>
        </w:tc>
      </w:tr>
      <w:tr>
        <w:tc>
          <w:tcPr>
            <w:tcW w:type="dxa" w:w="969"/>
          </w:tcPr>
          <w:p>
            <w:pPr>
              <w:spacing w:after="20"/>
            </w:pPr>
            <w:r/>
            <w:r>
              <w:rPr>
                <w:sz w:val="17"/>
              </w:rPr>
              <w:t>A-2</w:t>
            </w:r>
          </w:p>
        </w:tc>
        <w:tc>
          <w:tcPr>
            <w:tcW w:type="dxa" w:w="3440"/>
          </w:tcPr>
          <w:p>
            <w:pPr>
              <w:spacing w:after="20"/>
            </w:pPr>
            <w:r/>
            <w:r>
              <w:rPr>
                <w:sz w:val="17"/>
              </w:rPr>
              <w:t>Data lives in a core banking system with monthly extracts possible</w:t>
            </w:r>
          </w:p>
        </w:tc>
        <w:tc>
          <w:tcPr>
            <w:tcW w:type="dxa" w:w="1202"/>
          </w:tcPr>
          <w:p>
            <w:pPr>
              <w:spacing w:after="20"/>
            </w:pPr>
            <w:r/>
            <w:r>
              <w:rPr>
                <w:sz w:val="17"/>
              </w:rPr>
              <w:t>Assumption</w:t>
            </w:r>
          </w:p>
        </w:tc>
        <w:tc>
          <w:tcPr>
            <w:tcW w:type="dxa" w:w="1744"/>
          </w:tcPr>
          <w:p>
            <w:pPr>
              <w:spacing w:after="20"/>
            </w:pPr>
            <w:r/>
            <w:r>
              <w:rPr>
                <w:sz w:val="17"/>
              </w:rPr>
              <w:t>Effort and timeline</w:t>
            </w:r>
          </w:p>
        </w:tc>
        <w:tc>
          <w:tcPr>
            <w:tcW w:type="dxa" w:w="1202"/>
          </w:tcPr>
          <w:p>
            <w:pPr>
              <w:spacing w:after="20"/>
            </w:pPr>
            <w:r/>
            <w:r>
              <w:rPr>
                <w:sz w:val="17"/>
              </w:rPr>
              <w:t>IT</w:t>
            </w:r>
          </w:p>
        </w:tc>
        <w:tc>
          <w:tcPr>
            <w:tcW w:type="dxa" w:w="1082"/>
          </w:tcPr>
          <w:p>
            <w:pPr>
              <w:spacing w:after="20"/>
            </w:pPr>
            <w:r/>
            <w:r>
              <w:rPr>
                <w:sz w:val="17"/>
              </w:rPr>
              <w:t>Week 1</w:t>
            </w:r>
          </w:p>
        </w:tc>
      </w:tr>
      <w:tr>
        <w:tc>
          <w:tcPr>
            <w:tcW w:type="dxa" w:w="969"/>
            <w:shd w:val="clear" w:color="auto" w:fill="F2F5F9"/>
          </w:tcPr>
          <w:p>
            <w:pPr>
              <w:spacing w:after="20"/>
            </w:pPr>
            <w:r/>
            <w:r>
              <w:rPr>
                <w:sz w:val="17"/>
              </w:rPr>
              <w:t>A-3</w:t>
            </w:r>
          </w:p>
        </w:tc>
        <w:tc>
          <w:tcPr>
            <w:tcW w:type="dxa" w:w="3440"/>
            <w:shd w:val="clear" w:color="auto" w:fill="F2F5F9"/>
          </w:tcPr>
          <w:p>
            <w:pPr>
              <w:spacing w:after="20"/>
            </w:pPr>
            <w:r/>
            <w:r>
              <w:rPr>
                <w:sz w:val="17"/>
              </w:rPr>
              <w:t>The bank is India-based and falls under RBI and state cooperative regulation</w:t>
            </w:r>
          </w:p>
        </w:tc>
        <w:tc>
          <w:tcPr>
            <w:tcW w:type="dxa" w:w="1202"/>
            <w:shd w:val="clear" w:color="auto" w:fill="F2F5F9"/>
          </w:tcPr>
          <w:p>
            <w:pPr>
              <w:spacing w:after="20"/>
            </w:pPr>
            <w:r/>
            <w:r>
              <w:rPr>
                <w:sz w:val="17"/>
              </w:rPr>
              <w:t>Assumption</w:t>
            </w:r>
          </w:p>
        </w:tc>
        <w:tc>
          <w:tcPr>
            <w:tcW w:type="dxa" w:w="1744"/>
            <w:shd w:val="clear" w:color="auto" w:fill="F2F5F9"/>
          </w:tcPr>
          <w:p>
            <w:pPr>
              <w:spacing w:after="20"/>
            </w:pPr>
            <w:r/>
            <w:r>
              <w:rPr>
                <w:sz w:val="17"/>
              </w:rPr>
              <w:t>Compliance controls</w:t>
            </w:r>
          </w:p>
        </w:tc>
        <w:tc>
          <w:tcPr>
            <w:tcW w:type="dxa" w:w="1202"/>
            <w:shd w:val="clear" w:color="auto" w:fill="F2F5F9"/>
          </w:tcPr>
          <w:p>
            <w:pPr>
              <w:spacing w:after="20"/>
            </w:pPr>
            <w:r/>
            <w:r>
              <w:rPr>
                <w:sz w:val="17"/>
              </w:rPr>
              <w:t>Compliance</w:t>
            </w:r>
          </w:p>
        </w:tc>
        <w:tc>
          <w:tcPr>
            <w:tcW w:type="dxa" w:w="1082"/>
            <w:shd w:val="clear" w:color="auto" w:fill="F2F5F9"/>
          </w:tcPr>
          <w:p>
            <w:pPr>
              <w:spacing w:after="20"/>
            </w:pPr>
            <w:r/>
            <w:r>
              <w:rPr>
                <w:sz w:val="17"/>
              </w:rPr>
              <w:t>Week 1</w:t>
            </w:r>
          </w:p>
        </w:tc>
      </w:tr>
      <w:tr>
        <w:tc>
          <w:tcPr>
            <w:tcW w:type="dxa" w:w="969"/>
          </w:tcPr>
          <w:p>
            <w:pPr>
              <w:spacing w:after="20"/>
            </w:pPr>
            <w:r/>
            <w:r>
              <w:rPr>
                <w:sz w:val="17"/>
              </w:rPr>
              <w:t>A-4</w:t>
            </w:r>
          </w:p>
        </w:tc>
        <w:tc>
          <w:tcPr>
            <w:tcW w:type="dxa" w:w="3440"/>
          </w:tcPr>
          <w:p>
            <w:pPr>
              <w:spacing w:after="20"/>
            </w:pPr>
            <w:r/>
            <w:r>
              <w:rPr>
                <w:sz w:val="17"/>
              </w:rPr>
              <w:t>No existing branch analytics or scorecard is in use</w:t>
            </w:r>
          </w:p>
        </w:tc>
        <w:tc>
          <w:tcPr>
            <w:tcW w:type="dxa" w:w="1202"/>
          </w:tcPr>
          <w:p>
            <w:pPr>
              <w:spacing w:after="20"/>
            </w:pPr>
            <w:r/>
            <w:r>
              <w:rPr>
                <w:sz w:val="17"/>
              </w:rPr>
              <w:t>Assumption</w:t>
            </w:r>
          </w:p>
        </w:tc>
        <w:tc>
          <w:tcPr>
            <w:tcW w:type="dxa" w:w="1744"/>
          </w:tcPr>
          <w:p>
            <w:pPr>
              <w:spacing w:after="20"/>
            </w:pPr>
            <w:r/>
            <w:r>
              <w:rPr>
                <w:sz w:val="17"/>
              </w:rPr>
              <w:t>Baseline to beat</w:t>
            </w:r>
          </w:p>
        </w:tc>
        <w:tc>
          <w:tcPr>
            <w:tcW w:type="dxa" w:w="1202"/>
          </w:tcPr>
          <w:p>
            <w:pPr>
              <w:spacing w:after="20"/>
            </w:pPr>
            <w:r/>
            <w:r>
              <w:rPr>
                <w:sz w:val="17"/>
              </w:rPr>
              <w:t>Operations</w:t>
            </w:r>
          </w:p>
        </w:tc>
        <w:tc>
          <w:tcPr>
            <w:tcW w:type="dxa" w:w="1082"/>
          </w:tcPr>
          <w:p>
            <w:pPr>
              <w:spacing w:after="20"/>
            </w:pPr>
            <w:r/>
            <w:r>
              <w:rPr>
                <w:sz w:val="17"/>
              </w:rPr>
              <w:t>Week 1</w:t>
            </w:r>
          </w:p>
        </w:tc>
      </w:tr>
      <w:tr>
        <w:tc>
          <w:tcPr>
            <w:tcW w:type="dxa" w:w="969"/>
            <w:shd w:val="clear" w:color="auto" w:fill="F2F5F9"/>
          </w:tcPr>
          <w:p>
            <w:pPr>
              <w:spacing w:after="20"/>
            </w:pPr>
            <w:r/>
            <w:r>
              <w:rPr>
                <w:sz w:val="17"/>
              </w:rPr>
              <w:t>F-1</w:t>
            </w:r>
          </w:p>
        </w:tc>
        <w:tc>
          <w:tcPr>
            <w:tcW w:type="dxa" w:w="3440"/>
            <w:shd w:val="clear" w:color="auto" w:fill="F2F5F9"/>
          </w:tcPr>
          <w:p>
            <w:pPr>
              <w:spacing w:after="20"/>
            </w:pPr>
            <w:r/>
            <w:r>
              <w:rPr>
                <w:sz w:val="17"/>
              </w:rPr>
              <w:t>Client's statement: "use AI and ML to improve branch performance; we have lots of data"</w:t>
            </w:r>
          </w:p>
        </w:tc>
        <w:tc>
          <w:tcPr>
            <w:tcW w:type="dxa" w:w="1202"/>
            <w:shd w:val="clear" w:color="auto" w:fill="F2F5F9"/>
          </w:tcPr>
          <w:p>
            <w:pPr>
              <w:spacing w:after="20"/>
            </w:pPr>
            <w:r/>
            <w:r>
              <w:rPr>
                <w:sz w:val="17"/>
              </w:rPr>
              <w:t>Fact</w:t>
            </w:r>
          </w:p>
        </w:tc>
        <w:tc>
          <w:tcPr>
            <w:tcW w:type="dxa" w:w="1744"/>
            <w:shd w:val="clear" w:color="auto" w:fill="F2F5F9"/>
          </w:tcPr>
          <w:p>
            <w:pPr>
              <w:spacing w:after="20"/>
            </w:pPr>
            <w:r/>
            <w:r>
              <w:rPr>
                <w:sz w:val="17"/>
              </w:rPr>
              <w:t>n/a</w:t>
            </w:r>
          </w:p>
        </w:tc>
        <w:tc>
          <w:tcPr>
            <w:tcW w:type="dxa" w:w="1202"/>
            <w:shd w:val="clear" w:color="auto" w:fill="F2F5F9"/>
          </w:tcPr>
          <w:p>
            <w:pPr>
              <w:spacing w:after="20"/>
            </w:pPr>
            <w:r/>
            <w:r>
              <w:rPr>
                <w:sz w:val="17"/>
              </w:rPr>
              <w:t>n/a</w:t>
            </w:r>
          </w:p>
        </w:tc>
        <w:tc>
          <w:tcPr>
            <w:tcW w:type="dxa" w:w="1082"/>
            <w:shd w:val="clear" w:color="auto" w:fill="F2F5F9"/>
          </w:tcPr>
          <w:p>
            <w:pPr>
              <w:spacing w:after="20"/>
            </w:pPr>
            <w:r/>
            <w:r>
              <w:rPr>
                <w:sz w:val="17"/>
              </w:rPr>
              <w:t>n/a</w:t>
            </w:r>
          </w:p>
        </w:tc>
      </w:tr>
    </w:tbl>
    <w:p>
      <w:pPr>
        <w:spacing w:after="40"/>
      </w:pPr>
    </w:p>
    <w:p>
      <w:pPr>
        <w:pStyle w:val="Heading2"/>
      </w:pPr>
      <w:r>
        <w:rPr/>
        <w:t>5. Data Inventory &amp; Feasibility Assessment (short)</w:t>
      </w:r>
    </w:p>
    <w:p>
      <w:r>
        <w:rPr/>
        <w:t>No data source has been confirmed. All entries are candidates to check in discovery.</w:t>
      </w:r>
    </w:p>
    <w:tbl>
      <w:tblPr>
        <w:tblStyle w:val="TableGrid"/>
        <w:tblW w:type="auto" w:w="0"/>
        <w:jc w:val="center"/>
        <w:tblLayout w:type="fixed"/>
        <w:tblLook w:firstColumn="1" w:firstRow="1" w:lastColumn="0" w:lastRow="0" w:noHBand="0" w:noVBand="1" w:val="04A0"/>
        <w:tblLayout w:type="fixed"/>
      </w:tblPr>
      <w:tblGrid>
        <w:gridCol w:w="2949"/>
        <w:gridCol w:w="2341"/>
        <w:gridCol w:w="2007"/>
        <w:gridCol w:w="2341"/>
      </w:tblGrid>
      <w:tr>
        <w:trPr>
          <w:tblHeader w:val="true"/>
        </w:trPr>
        <w:tc>
          <w:tcPr>
            <w:tcW w:type="dxa" w:w="2949"/>
            <w:shd w:val="clear" w:color="auto" w:fill="1F3A5F"/>
          </w:tcPr>
          <w:p>
            <w:r/>
            <w:r>
              <w:rPr>
                <w:b/>
                <w:color w:val="FFFFFF"/>
                <w:sz w:val="19"/>
              </w:rPr>
              <w:t>Candidate source</w:t>
            </w:r>
          </w:p>
        </w:tc>
        <w:tc>
          <w:tcPr>
            <w:tcW w:type="dxa" w:w="2341"/>
            <w:shd w:val="clear" w:color="auto" w:fill="1F3A5F"/>
          </w:tcPr>
          <w:p>
            <w:r/>
            <w:r>
              <w:rPr>
                <w:b/>
                <w:color w:val="FFFFFF"/>
                <w:sz w:val="19"/>
              </w:rPr>
              <w:t>Why useful</w:t>
            </w:r>
          </w:p>
        </w:tc>
        <w:tc>
          <w:tcPr>
            <w:tcW w:type="dxa" w:w="2007"/>
            <w:shd w:val="clear" w:color="auto" w:fill="1F3A5F"/>
          </w:tcPr>
          <w:p>
            <w:r/>
            <w:r>
              <w:rPr>
                <w:b/>
                <w:color w:val="FFFFFF"/>
                <w:sz w:val="19"/>
              </w:rPr>
              <w:t>Grain</w:t>
            </w:r>
          </w:p>
        </w:tc>
        <w:tc>
          <w:tcPr>
            <w:tcW w:type="dxa" w:w="2341"/>
            <w:shd w:val="clear" w:color="auto" w:fill="1F3A5F"/>
          </w:tcPr>
          <w:p>
            <w:r/>
            <w:r>
              <w:rPr>
                <w:b/>
                <w:color w:val="FFFFFF"/>
                <w:sz w:val="19"/>
              </w:rPr>
              <w:t>Status</w:t>
            </w:r>
          </w:p>
        </w:tc>
      </w:tr>
      <w:tr>
        <w:tc>
          <w:tcPr>
            <w:tcW w:type="dxa" w:w="2949"/>
          </w:tcPr>
          <w:p>
            <w:pPr>
              <w:spacing w:after="20"/>
            </w:pPr>
            <w:r/>
            <w:r>
              <w:rPr>
                <w:sz w:val="19"/>
              </w:rPr>
              <w:t>Core banking: deposits, loans, balances, transactions</w:t>
            </w:r>
          </w:p>
        </w:tc>
        <w:tc>
          <w:tcPr>
            <w:tcW w:type="dxa" w:w="2341"/>
          </w:tcPr>
          <w:p>
            <w:pPr>
              <w:spacing w:after="20"/>
            </w:pPr>
            <w:r/>
            <w:r>
              <w:rPr>
                <w:sz w:val="19"/>
              </w:rPr>
              <w:t>Core KPIs</w:t>
            </w:r>
          </w:p>
        </w:tc>
        <w:tc>
          <w:tcPr>
            <w:tcW w:type="dxa" w:w="2007"/>
          </w:tcPr>
          <w:p>
            <w:pPr>
              <w:spacing w:after="20"/>
            </w:pPr>
            <w:r/>
            <w:r>
              <w:rPr>
                <w:sz w:val="19"/>
              </w:rPr>
              <w:t>Account / day, aggregable to branch-month</w:t>
            </w:r>
          </w:p>
        </w:tc>
        <w:tc>
          <w:tcPr>
            <w:tcW w:type="dxa" w:w="2341"/>
          </w:tcPr>
          <w:p>
            <w:pPr>
              <w:spacing w:after="20"/>
            </w:pPr>
            <w:r/>
            <w:r>
              <w:rPr>
                <w:b/>
                <w:color w:val="B36B00"/>
                <w:sz w:val="19"/>
              </w:rPr>
              <w:t>[Assumed]</w:t>
            </w:r>
          </w:p>
        </w:tc>
      </w:tr>
      <w:tr>
        <w:tc>
          <w:tcPr>
            <w:tcW w:type="dxa" w:w="2949"/>
            <w:shd w:val="clear" w:color="auto" w:fill="F2F5F9"/>
          </w:tcPr>
          <w:p>
            <w:pPr>
              <w:spacing w:after="20"/>
            </w:pPr>
            <w:r/>
            <w:r>
              <w:rPr>
                <w:sz w:val="19"/>
              </w:rPr>
              <w:t>Loan management / collections</w:t>
            </w:r>
          </w:p>
        </w:tc>
        <w:tc>
          <w:tcPr>
            <w:tcW w:type="dxa" w:w="2341"/>
            <w:shd w:val="clear" w:color="auto" w:fill="F2F5F9"/>
          </w:tcPr>
          <w:p>
            <w:pPr>
              <w:spacing w:after="20"/>
            </w:pPr>
            <w:r/>
            <w:r>
              <w:rPr>
                <w:sz w:val="19"/>
              </w:rPr>
              <w:t>Overdue and NPA measures</w:t>
            </w:r>
          </w:p>
        </w:tc>
        <w:tc>
          <w:tcPr>
            <w:tcW w:type="dxa" w:w="2007"/>
            <w:shd w:val="clear" w:color="auto" w:fill="F2F5F9"/>
          </w:tcPr>
          <w:p>
            <w:pPr>
              <w:spacing w:after="20"/>
            </w:pPr>
            <w:r/>
            <w:r>
              <w:rPr>
                <w:sz w:val="19"/>
              </w:rPr>
              <w:t>Loan / month</w:t>
            </w:r>
          </w:p>
        </w:tc>
        <w:tc>
          <w:tcPr>
            <w:tcW w:type="dxa" w:w="2341"/>
            <w:shd w:val="clear" w:color="auto" w:fill="F2F5F9"/>
          </w:tcPr>
          <w:p>
            <w:pPr>
              <w:spacing w:after="20"/>
            </w:pPr>
            <w:r/>
            <w:r>
              <w:rPr>
                <w:b/>
                <w:color w:val="B36B00"/>
                <w:sz w:val="19"/>
              </w:rPr>
              <w:t>[Assumed]</w:t>
            </w:r>
          </w:p>
        </w:tc>
      </w:tr>
      <w:tr>
        <w:tc>
          <w:tcPr>
            <w:tcW w:type="dxa" w:w="2949"/>
          </w:tcPr>
          <w:p>
            <w:pPr>
              <w:spacing w:after="20"/>
            </w:pPr>
            <w:r/>
            <w:r>
              <w:rPr>
                <w:sz w:val="19"/>
              </w:rPr>
              <w:t>Branch master (location, size, age, staff count, type)</w:t>
            </w:r>
          </w:p>
        </w:tc>
        <w:tc>
          <w:tcPr>
            <w:tcW w:type="dxa" w:w="2341"/>
          </w:tcPr>
          <w:p>
            <w:pPr>
              <w:spacing w:after="20"/>
            </w:pPr>
            <w:r/>
            <w:r>
              <w:rPr>
                <w:sz w:val="19"/>
              </w:rPr>
              <w:t>Peer groups and context</w:t>
            </w:r>
          </w:p>
        </w:tc>
        <w:tc>
          <w:tcPr>
            <w:tcW w:type="dxa" w:w="2007"/>
          </w:tcPr>
          <w:p>
            <w:pPr>
              <w:spacing w:after="20"/>
            </w:pPr>
            <w:r/>
            <w:r>
              <w:rPr>
                <w:sz w:val="19"/>
              </w:rPr>
              <w:t>Branch</w:t>
            </w:r>
          </w:p>
        </w:tc>
        <w:tc>
          <w:tcPr>
            <w:tcW w:type="dxa" w:w="2341"/>
          </w:tcPr>
          <w:p>
            <w:pPr>
              <w:spacing w:after="20"/>
            </w:pPr>
            <w:r/>
            <w:r>
              <w:rPr>
                <w:b/>
                <w:color w:val="C0392B"/>
                <w:sz w:val="19"/>
              </w:rPr>
              <w:t>[To investigate]</w:t>
            </w:r>
          </w:p>
        </w:tc>
      </w:tr>
      <w:tr>
        <w:tc>
          <w:tcPr>
            <w:tcW w:type="dxa" w:w="2949"/>
            <w:shd w:val="clear" w:color="auto" w:fill="F2F5F9"/>
          </w:tcPr>
          <w:p>
            <w:pPr>
              <w:spacing w:after="20"/>
            </w:pPr>
            <w:r/>
            <w:r>
              <w:rPr>
                <w:sz w:val="19"/>
              </w:rPr>
              <w:t>HR / staffing and cost data</w:t>
            </w:r>
          </w:p>
        </w:tc>
        <w:tc>
          <w:tcPr>
            <w:tcW w:type="dxa" w:w="2341"/>
            <w:shd w:val="clear" w:color="auto" w:fill="F2F5F9"/>
          </w:tcPr>
          <w:p>
            <w:pPr>
              <w:spacing w:after="20"/>
            </w:pPr>
            <w:r/>
            <w:r>
              <w:rPr>
                <w:sz w:val="19"/>
              </w:rPr>
              <w:t>Productivity, cost-to-income</w:t>
            </w:r>
          </w:p>
        </w:tc>
        <w:tc>
          <w:tcPr>
            <w:tcW w:type="dxa" w:w="2007"/>
            <w:shd w:val="clear" w:color="auto" w:fill="F2F5F9"/>
          </w:tcPr>
          <w:p>
            <w:pPr>
              <w:spacing w:after="20"/>
            </w:pPr>
            <w:r/>
            <w:r>
              <w:rPr>
                <w:sz w:val="19"/>
              </w:rPr>
              <w:t>Branch-month</w:t>
            </w:r>
          </w:p>
        </w:tc>
        <w:tc>
          <w:tcPr>
            <w:tcW w:type="dxa" w:w="2341"/>
            <w:shd w:val="clear" w:color="auto" w:fill="F2F5F9"/>
          </w:tcPr>
          <w:p>
            <w:pPr>
              <w:spacing w:after="20"/>
            </w:pPr>
            <w:r/>
            <w:r>
              <w:rPr>
                <w:b/>
                <w:color w:val="C0392B"/>
                <w:sz w:val="19"/>
              </w:rPr>
              <w:t>[To investigate]</w:t>
            </w:r>
          </w:p>
        </w:tc>
      </w:tr>
      <w:tr>
        <w:tc>
          <w:tcPr>
            <w:tcW w:type="dxa" w:w="2949"/>
          </w:tcPr>
          <w:p>
            <w:pPr>
              <w:spacing w:after="20"/>
            </w:pPr>
            <w:r/>
            <w:r>
              <w:rPr>
                <w:sz w:val="19"/>
              </w:rPr>
              <w:t>CRM / complaints / service data</w:t>
            </w:r>
          </w:p>
        </w:tc>
        <w:tc>
          <w:tcPr>
            <w:tcW w:type="dxa" w:w="2341"/>
          </w:tcPr>
          <w:p>
            <w:pPr>
              <w:spacing w:after="20"/>
            </w:pPr>
            <w:r/>
            <w:r>
              <w:rPr>
                <w:sz w:val="19"/>
              </w:rPr>
              <w:t>Quality of service</w:t>
            </w:r>
          </w:p>
        </w:tc>
        <w:tc>
          <w:tcPr>
            <w:tcW w:type="dxa" w:w="2007"/>
          </w:tcPr>
          <w:p>
            <w:pPr>
              <w:spacing w:after="20"/>
            </w:pPr>
            <w:r/>
            <w:r>
              <w:rPr>
                <w:sz w:val="19"/>
              </w:rPr>
              <w:t>Customer / event</w:t>
            </w:r>
          </w:p>
        </w:tc>
        <w:tc>
          <w:tcPr>
            <w:tcW w:type="dxa" w:w="2341"/>
          </w:tcPr>
          <w:p>
            <w:pPr>
              <w:spacing w:after="20"/>
            </w:pPr>
            <w:r/>
            <w:r>
              <w:rPr>
                <w:b/>
                <w:color w:val="C0392B"/>
                <w:sz w:val="19"/>
              </w:rPr>
              <w:t>[To investigate]</w:t>
            </w:r>
          </w:p>
        </w:tc>
      </w:tr>
      <w:tr>
        <w:tc>
          <w:tcPr>
            <w:tcW w:type="dxa" w:w="2949"/>
            <w:shd w:val="clear" w:color="auto" w:fill="F2F5F9"/>
          </w:tcPr>
          <w:p>
            <w:pPr>
              <w:spacing w:after="20"/>
            </w:pPr>
            <w:r/>
            <w:r>
              <w:rPr>
                <w:sz w:val="19"/>
              </w:rPr>
              <w:t>External: local demographics, competitor branches, economic indicators</w:t>
            </w:r>
          </w:p>
        </w:tc>
        <w:tc>
          <w:tcPr>
            <w:tcW w:type="dxa" w:w="2341"/>
            <w:shd w:val="clear" w:color="auto" w:fill="F2F5F9"/>
          </w:tcPr>
          <w:p>
            <w:pPr>
              <w:spacing w:after="20"/>
            </w:pPr>
            <w:r/>
            <w:r>
              <w:rPr>
                <w:sz w:val="19"/>
              </w:rPr>
              <w:t>Market adjustment</w:t>
            </w:r>
          </w:p>
        </w:tc>
        <w:tc>
          <w:tcPr>
            <w:tcW w:type="dxa" w:w="2007"/>
            <w:shd w:val="clear" w:color="auto" w:fill="F2F5F9"/>
          </w:tcPr>
          <w:p>
            <w:pPr>
              <w:spacing w:after="20"/>
            </w:pPr>
            <w:r/>
            <w:r>
              <w:rPr>
                <w:sz w:val="19"/>
              </w:rPr>
              <w:t>District / pin code</w:t>
            </w:r>
          </w:p>
        </w:tc>
        <w:tc>
          <w:tcPr>
            <w:tcW w:type="dxa" w:w="2341"/>
            <w:shd w:val="clear" w:color="auto" w:fill="F2F5F9"/>
          </w:tcPr>
          <w:p>
            <w:pPr>
              <w:spacing w:after="20"/>
            </w:pPr>
            <w:r/>
            <w:r>
              <w:rPr>
                <w:b/>
                <w:color w:val="C0392B"/>
                <w:sz w:val="19"/>
              </w:rPr>
              <w:t>[To investigate]</w:t>
            </w:r>
          </w:p>
        </w:tc>
      </w:tr>
    </w:tbl>
    <w:p>
      <w:pPr>
        <w:spacing w:after="40"/>
      </w:pPr>
    </w:p>
    <w:p>
      <w:r>
        <w:rPr/>
        <w:t>For each source, discovery records history length and as-of (point-in-time) availability. The first pass uses branch-level aggregates only; customer-level data (A4) is out of scope until consent and governance are confirmed.</w:t>
      </w:r>
    </w:p>
    <w:p>
      <w:r>
        <w:rPr>
          <w:b/>
        </w:rPr>
        <w:t>Feasibility verdict:</w:t>
      </w:r>
      <w:r>
        <w:rPr/>
        <w:t xml:space="preserve"> unknown. "Lots of data" often means many transactions but few branches and little structured branch context. That is a risk, not a finding. Sensitive customer data should stay in the bank's environment, with branch-level aggregates used wherever possible.</w:t>
      </w:r>
    </w:p>
    <w:p>
      <w:pPr>
        <w:pStyle w:val="Heading2"/>
      </w:pPr>
      <w:r>
        <w:rPr/>
        <w:t>18. Risks, Mitigations, Dependencies &amp; Open Decisions</w:t>
      </w:r>
    </w:p>
    <w:tbl>
      <w:tblPr>
        <w:tblStyle w:val="TableGrid"/>
        <w:tblW w:type="auto" w:w="0"/>
        <w:jc w:val="center"/>
        <w:tblLayout w:type="fixed"/>
        <w:tblLook w:firstColumn="1" w:firstRow="1" w:lastColumn="0" w:lastRow="0" w:noHBand="0" w:noVBand="1" w:val="04A0"/>
        <w:tblLayout w:type="fixed"/>
      </w:tblPr>
      <w:tblGrid>
        <w:gridCol w:w="3037"/>
        <w:gridCol w:w="1301"/>
        <w:gridCol w:w="998"/>
        <w:gridCol w:w="3001"/>
        <w:gridCol w:w="1301"/>
      </w:tblGrid>
      <w:tr>
        <w:trPr>
          <w:tblHeader w:val="true"/>
        </w:trPr>
        <w:tc>
          <w:tcPr>
            <w:tcW w:type="dxa" w:w="3037"/>
            <w:shd w:val="clear" w:color="auto" w:fill="1F3A5F"/>
          </w:tcPr>
          <w:p>
            <w:r/>
            <w:r>
              <w:rPr>
                <w:b/>
                <w:color w:val="FFFFFF"/>
                <w:sz w:val="17"/>
              </w:rPr>
              <w:t>Risk</w:t>
            </w:r>
          </w:p>
        </w:tc>
        <w:tc>
          <w:tcPr>
            <w:tcW w:type="dxa" w:w="1301"/>
            <w:shd w:val="clear" w:color="auto" w:fill="1F3A5F"/>
          </w:tcPr>
          <w:p>
            <w:r/>
            <w:r>
              <w:rPr>
                <w:b/>
                <w:color w:val="FFFFFF"/>
                <w:sz w:val="17"/>
              </w:rPr>
              <w:t>Likelihood</w:t>
            </w:r>
          </w:p>
        </w:tc>
        <w:tc>
          <w:tcPr>
            <w:tcW w:type="dxa" w:w="998"/>
            <w:shd w:val="clear" w:color="auto" w:fill="1F3A5F"/>
          </w:tcPr>
          <w:p>
            <w:r/>
            <w:r>
              <w:rPr>
                <w:b/>
                <w:color w:val="FFFFFF"/>
                <w:sz w:val="17"/>
              </w:rPr>
              <w:t>Impact</w:t>
            </w:r>
          </w:p>
        </w:tc>
        <w:tc>
          <w:tcPr>
            <w:tcW w:type="dxa" w:w="3001"/>
            <w:shd w:val="clear" w:color="auto" w:fill="1F3A5F"/>
          </w:tcPr>
          <w:p>
            <w:r/>
            <w:r>
              <w:rPr>
                <w:b/>
                <w:color w:val="FFFFFF"/>
                <w:sz w:val="17"/>
              </w:rPr>
              <w:t>Mitigation</w:t>
            </w:r>
          </w:p>
        </w:tc>
        <w:tc>
          <w:tcPr>
            <w:tcW w:type="dxa" w:w="1301"/>
            <w:shd w:val="clear" w:color="auto" w:fill="1F3A5F"/>
          </w:tcPr>
          <w:p>
            <w:r/>
            <w:r>
              <w:rPr>
                <w:b/>
                <w:color w:val="FFFFFF"/>
                <w:sz w:val="17"/>
              </w:rPr>
              <w:t>Owner</w:t>
            </w:r>
          </w:p>
        </w:tc>
      </w:tr>
      <w:tr>
        <w:tc>
          <w:tcPr>
            <w:tcW w:type="dxa" w:w="3037"/>
          </w:tcPr>
          <w:p>
            <w:pPr>
              <w:spacing w:after="20"/>
            </w:pPr>
            <w:r/>
            <w:r>
              <w:rPr>
                <w:sz w:val="17"/>
              </w:rPr>
              <w:t>Target ambiguity: optimising the wrong KPI</w:t>
            </w:r>
          </w:p>
        </w:tc>
        <w:tc>
          <w:tcPr>
            <w:tcW w:type="dxa" w:w="1301"/>
          </w:tcPr>
          <w:p>
            <w:pPr>
              <w:spacing w:after="20"/>
            </w:pPr>
            <w:r/>
            <w:r>
              <w:rPr>
                <w:sz w:val="17"/>
              </w:rPr>
              <w:t>High</w:t>
            </w:r>
          </w:p>
        </w:tc>
        <w:tc>
          <w:tcPr>
            <w:tcW w:type="dxa" w:w="998"/>
          </w:tcPr>
          <w:p>
            <w:pPr>
              <w:spacing w:after="20"/>
            </w:pPr>
            <w:r/>
            <w:r>
              <w:rPr>
                <w:sz w:val="17"/>
              </w:rPr>
              <w:t>High</w:t>
            </w:r>
          </w:p>
        </w:tc>
        <w:tc>
          <w:tcPr>
            <w:tcW w:type="dxa" w:w="3001"/>
          </w:tcPr>
          <w:p>
            <w:pPr>
              <w:spacing w:after="20"/>
            </w:pPr>
            <w:r/>
            <w:r>
              <w:rPr>
                <w:sz w:val="17"/>
              </w:rPr>
              <w:t>Settle KPIs in discovery (Q2); agree on a scorecard</w:t>
            </w:r>
          </w:p>
        </w:tc>
        <w:tc>
          <w:tcPr>
            <w:tcW w:type="dxa" w:w="1301"/>
          </w:tcPr>
          <w:p>
            <w:pPr>
              <w:spacing w:after="20"/>
            </w:pPr>
            <w:r/>
            <w:r>
              <w:rPr>
                <w:sz w:val="17"/>
              </w:rPr>
              <w:t>MD / DS lead</w:t>
            </w:r>
          </w:p>
        </w:tc>
      </w:tr>
      <w:tr>
        <w:tc>
          <w:tcPr>
            <w:tcW w:type="dxa" w:w="3037"/>
            <w:shd w:val="clear" w:color="auto" w:fill="F2F5F9"/>
          </w:tcPr>
          <w:p>
            <w:pPr>
              <w:spacing w:after="20"/>
            </w:pPr>
            <w:r/>
            <w:r>
              <w:rPr>
                <w:sz w:val="17"/>
              </w:rPr>
              <w:t>Few branches, so models overfit</w:t>
            </w:r>
          </w:p>
        </w:tc>
        <w:tc>
          <w:tcPr>
            <w:tcW w:type="dxa" w:w="1301"/>
            <w:shd w:val="clear" w:color="auto" w:fill="F2F5F9"/>
          </w:tcPr>
          <w:p>
            <w:pPr>
              <w:spacing w:after="20"/>
            </w:pPr>
            <w:r/>
            <w:r>
              <w:rPr>
                <w:sz w:val="17"/>
              </w:rPr>
              <w:t>Medium (unknown)</w:t>
            </w:r>
          </w:p>
        </w:tc>
        <w:tc>
          <w:tcPr>
            <w:tcW w:type="dxa" w:w="998"/>
            <w:shd w:val="clear" w:color="auto" w:fill="F2F5F9"/>
          </w:tcPr>
          <w:p>
            <w:pPr>
              <w:spacing w:after="20"/>
            </w:pPr>
            <w:r/>
            <w:r>
              <w:rPr>
                <w:sz w:val="17"/>
              </w:rPr>
              <w:t>High</w:t>
            </w:r>
          </w:p>
        </w:tc>
        <w:tc>
          <w:tcPr>
            <w:tcW w:type="dxa" w:w="3001"/>
            <w:shd w:val="clear" w:color="auto" w:fill="F2F5F9"/>
          </w:tcPr>
          <w:p>
            <w:pPr>
              <w:spacing w:after="20"/>
            </w:pPr>
            <w:r/>
            <w:r>
              <w:rPr>
                <w:sz w:val="17"/>
              </w:rPr>
              <w:t>Peer benchmarking, simple regularised models, report uncertainty</w:t>
            </w:r>
          </w:p>
        </w:tc>
        <w:tc>
          <w:tcPr>
            <w:tcW w:type="dxa" w:w="1301"/>
            <w:shd w:val="clear" w:color="auto" w:fill="F2F5F9"/>
          </w:tcPr>
          <w:p>
            <w:pPr>
              <w:spacing w:after="20"/>
            </w:pPr>
            <w:r/>
            <w:r>
              <w:rPr>
                <w:sz w:val="17"/>
              </w:rPr>
              <w:t>DS lead</w:t>
            </w:r>
          </w:p>
        </w:tc>
      </w:tr>
      <w:tr>
        <w:tc>
          <w:tcPr>
            <w:tcW w:type="dxa" w:w="3037"/>
          </w:tcPr>
          <w:p>
            <w:pPr>
              <w:spacing w:after="20"/>
            </w:pPr>
            <w:r/>
            <w:r>
              <w:rPr>
                <w:sz w:val="17"/>
              </w:rPr>
              <w:t>Correlation presented as cause</w:t>
            </w:r>
          </w:p>
        </w:tc>
        <w:tc>
          <w:tcPr>
            <w:tcW w:type="dxa" w:w="1301"/>
          </w:tcPr>
          <w:p>
            <w:pPr>
              <w:spacing w:after="20"/>
            </w:pPr>
            <w:r/>
            <w:r>
              <w:rPr>
                <w:sz w:val="17"/>
              </w:rPr>
              <w:t>High</w:t>
            </w:r>
          </w:p>
        </w:tc>
        <w:tc>
          <w:tcPr>
            <w:tcW w:type="dxa" w:w="998"/>
          </w:tcPr>
          <w:p>
            <w:pPr>
              <w:spacing w:after="20"/>
            </w:pPr>
            <w:r/>
            <w:r>
              <w:rPr>
                <w:sz w:val="17"/>
              </w:rPr>
              <w:t>High</w:t>
            </w:r>
          </w:p>
        </w:tc>
        <w:tc>
          <w:tcPr>
            <w:tcW w:type="dxa" w:w="3001"/>
          </w:tcPr>
          <w:p>
            <w:pPr>
              <w:spacing w:after="20"/>
            </w:pPr>
            <w:r/>
            <w:r>
              <w:rPr>
                <w:sz w:val="17"/>
              </w:rPr>
              <w:t>Label findings as associations; use pilots for A5</w:t>
            </w:r>
          </w:p>
        </w:tc>
        <w:tc>
          <w:tcPr>
            <w:tcW w:type="dxa" w:w="1301"/>
          </w:tcPr>
          <w:p>
            <w:pPr>
              <w:spacing w:after="20"/>
            </w:pPr>
            <w:r/>
            <w:r>
              <w:rPr>
                <w:sz w:val="17"/>
              </w:rPr>
              <w:t>DS lead</w:t>
            </w:r>
          </w:p>
        </w:tc>
      </w:tr>
      <w:tr>
        <w:tc>
          <w:tcPr>
            <w:tcW w:type="dxa" w:w="3037"/>
            <w:shd w:val="clear" w:color="auto" w:fill="F2F5F9"/>
          </w:tcPr>
          <w:p>
            <w:pPr>
              <w:spacing w:after="20"/>
            </w:pPr>
            <w:r/>
            <w:r>
              <w:rPr>
                <w:sz w:val="17"/>
              </w:rPr>
              <w:t>Data fragmented or low quality across systems</w:t>
            </w:r>
          </w:p>
        </w:tc>
        <w:tc>
          <w:tcPr>
            <w:tcW w:type="dxa" w:w="1301"/>
            <w:shd w:val="clear" w:color="auto" w:fill="F2F5F9"/>
          </w:tcPr>
          <w:p>
            <w:pPr>
              <w:spacing w:after="20"/>
            </w:pPr>
            <w:r/>
            <w:r>
              <w:rPr>
                <w:sz w:val="17"/>
              </w:rPr>
              <w:t>Medium</w:t>
            </w:r>
          </w:p>
        </w:tc>
        <w:tc>
          <w:tcPr>
            <w:tcW w:type="dxa" w:w="998"/>
            <w:shd w:val="clear" w:color="auto" w:fill="F2F5F9"/>
          </w:tcPr>
          <w:p>
            <w:pPr>
              <w:spacing w:after="20"/>
            </w:pPr>
            <w:r/>
            <w:r>
              <w:rPr>
                <w:sz w:val="17"/>
              </w:rPr>
              <w:t>High</w:t>
            </w:r>
          </w:p>
        </w:tc>
        <w:tc>
          <w:tcPr>
            <w:tcW w:type="dxa" w:w="3001"/>
            <w:shd w:val="clear" w:color="auto" w:fill="F2F5F9"/>
          </w:tcPr>
          <w:p>
            <w:pPr>
              <w:spacing w:after="20"/>
            </w:pPr>
            <w:r/>
            <w:r>
              <w:rPr>
                <w:sz w:val="17"/>
              </w:rPr>
              <w:t>Data audit in discovery before commitments</w:t>
            </w:r>
          </w:p>
        </w:tc>
        <w:tc>
          <w:tcPr>
            <w:tcW w:type="dxa" w:w="1301"/>
            <w:shd w:val="clear" w:color="auto" w:fill="F2F5F9"/>
          </w:tcPr>
          <w:p>
            <w:pPr>
              <w:spacing w:after="20"/>
            </w:pPr>
            <w:r/>
            <w:r>
              <w:rPr>
                <w:sz w:val="17"/>
              </w:rPr>
              <w:t>IT / DS</w:t>
            </w:r>
          </w:p>
        </w:tc>
      </w:tr>
      <w:tr>
        <w:tc>
          <w:tcPr>
            <w:tcW w:type="dxa" w:w="3037"/>
          </w:tcPr>
          <w:p>
            <w:pPr>
              <w:spacing w:after="20"/>
            </w:pPr>
            <w:r/>
            <w:r>
              <w:rPr>
                <w:sz w:val="17"/>
              </w:rPr>
              <w:t>Branch rankings used punitively, harming staff or gaming behaviour</w:t>
            </w:r>
          </w:p>
        </w:tc>
        <w:tc>
          <w:tcPr>
            <w:tcW w:type="dxa" w:w="1301"/>
          </w:tcPr>
          <w:p>
            <w:pPr>
              <w:spacing w:after="20"/>
            </w:pPr>
            <w:r/>
            <w:r>
              <w:rPr>
                <w:sz w:val="17"/>
              </w:rPr>
              <w:t>Medium</w:t>
            </w:r>
          </w:p>
        </w:tc>
        <w:tc>
          <w:tcPr>
            <w:tcW w:type="dxa" w:w="998"/>
          </w:tcPr>
          <w:p>
            <w:pPr>
              <w:spacing w:after="20"/>
            </w:pPr>
            <w:r/>
            <w:r>
              <w:rPr>
                <w:sz w:val="17"/>
              </w:rPr>
              <w:t>Medium</w:t>
            </w:r>
          </w:p>
        </w:tc>
        <w:tc>
          <w:tcPr>
            <w:tcW w:type="dxa" w:w="3001"/>
          </w:tcPr>
          <w:p>
            <w:pPr>
              <w:spacing w:after="20"/>
            </w:pPr>
            <w:r/>
            <w:r>
              <w:rPr>
                <w:sz w:val="17"/>
              </w:rPr>
              <w:t>Adjust for market context; governance on use of scores</w:t>
            </w:r>
          </w:p>
        </w:tc>
        <w:tc>
          <w:tcPr>
            <w:tcW w:type="dxa" w:w="1301"/>
          </w:tcPr>
          <w:p>
            <w:pPr>
              <w:spacing w:after="20"/>
            </w:pPr>
            <w:r/>
            <w:r>
              <w:rPr>
                <w:sz w:val="17"/>
              </w:rPr>
              <w:t>MD / HR</w:t>
            </w:r>
          </w:p>
        </w:tc>
      </w:tr>
      <w:tr>
        <w:tc>
          <w:tcPr>
            <w:tcW w:type="dxa" w:w="3037"/>
            <w:shd w:val="clear" w:color="auto" w:fill="F2F5F9"/>
          </w:tcPr>
          <w:p>
            <w:pPr>
              <w:spacing w:after="20"/>
            </w:pPr>
            <w:r/>
            <w:r>
              <w:rPr>
                <w:sz w:val="17"/>
              </w:rPr>
              <w:t>Regulatory and data protection (RBI, state cooperative rules and the DPDP Act are named from general knowledge; confirm with compliance): PII, consent, residency</w:t>
            </w:r>
          </w:p>
        </w:tc>
        <w:tc>
          <w:tcPr>
            <w:tcW w:type="dxa" w:w="1301"/>
            <w:shd w:val="clear" w:color="auto" w:fill="F2F5F9"/>
          </w:tcPr>
          <w:p>
            <w:pPr>
              <w:spacing w:after="20"/>
            </w:pPr>
            <w:r/>
            <w:r>
              <w:rPr>
                <w:sz w:val="17"/>
              </w:rPr>
              <w:t>Medium</w:t>
            </w:r>
          </w:p>
        </w:tc>
        <w:tc>
          <w:tcPr>
            <w:tcW w:type="dxa" w:w="998"/>
            <w:shd w:val="clear" w:color="auto" w:fill="F2F5F9"/>
          </w:tcPr>
          <w:p>
            <w:pPr>
              <w:spacing w:after="20"/>
            </w:pPr>
            <w:r/>
            <w:r>
              <w:rPr>
                <w:sz w:val="17"/>
              </w:rPr>
              <w:t>High</w:t>
            </w:r>
          </w:p>
        </w:tc>
        <w:tc>
          <w:tcPr>
            <w:tcW w:type="dxa" w:w="3001"/>
            <w:shd w:val="clear" w:color="auto" w:fill="F2F5F9"/>
          </w:tcPr>
          <w:p>
            <w:pPr>
              <w:spacing w:after="20"/>
            </w:pPr>
            <w:r/>
            <w:r>
              <w:rPr>
                <w:sz w:val="17"/>
              </w:rPr>
              <w:t>Compliance review before data access; aggregate data; keep data in the bank's environment</w:t>
            </w:r>
          </w:p>
        </w:tc>
        <w:tc>
          <w:tcPr>
            <w:tcW w:type="dxa" w:w="1301"/>
            <w:shd w:val="clear" w:color="auto" w:fill="F2F5F9"/>
          </w:tcPr>
          <w:p>
            <w:pPr>
              <w:spacing w:after="20"/>
            </w:pPr>
            <w:r/>
            <w:r>
              <w:rPr>
                <w:sz w:val="17"/>
              </w:rPr>
              <w:t>Compliance</w:t>
            </w:r>
          </w:p>
        </w:tc>
      </w:tr>
      <w:tr>
        <w:tc>
          <w:tcPr>
            <w:tcW w:type="dxa" w:w="3037"/>
          </w:tcPr>
          <w:p>
            <w:pPr>
              <w:spacing w:after="20"/>
            </w:pPr>
            <w:r/>
            <w:r>
              <w:rPr>
                <w:sz w:val="17"/>
              </w:rPr>
              <w:t>Unfair or opaque branch rankings (explainability, human oversight, subgroup effects such as rural/urban or branch type)</w:t>
            </w:r>
          </w:p>
        </w:tc>
        <w:tc>
          <w:tcPr>
            <w:tcW w:type="dxa" w:w="1301"/>
          </w:tcPr>
          <w:p>
            <w:pPr>
              <w:spacing w:after="20"/>
            </w:pPr>
            <w:r/>
            <w:r>
              <w:rPr>
                <w:sz w:val="17"/>
              </w:rPr>
              <w:t>Medium</w:t>
            </w:r>
          </w:p>
        </w:tc>
        <w:tc>
          <w:tcPr>
            <w:tcW w:type="dxa" w:w="998"/>
          </w:tcPr>
          <w:p>
            <w:pPr>
              <w:spacing w:after="20"/>
            </w:pPr>
            <w:r/>
            <w:r>
              <w:rPr>
                <w:sz w:val="17"/>
              </w:rPr>
              <w:t>High</w:t>
            </w:r>
          </w:p>
        </w:tc>
        <w:tc>
          <w:tcPr>
            <w:tcW w:type="dxa" w:w="3001"/>
          </w:tcPr>
          <w:p>
            <w:pPr>
              <w:spacing w:after="20"/>
            </w:pPr>
            <w:r/>
            <w:r>
              <w:rPr>
                <w:sz w:val="17"/>
              </w:rPr>
              <w:t>Peer-adjusted, explainable scorecards; human review before any staff-facing use; subgroup checks</w:t>
            </w:r>
          </w:p>
        </w:tc>
        <w:tc>
          <w:tcPr>
            <w:tcW w:type="dxa" w:w="1301"/>
          </w:tcPr>
          <w:p>
            <w:pPr>
              <w:spacing w:after="20"/>
            </w:pPr>
            <w:r/>
            <w:r>
              <w:rPr>
                <w:sz w:val="17"/>
              </w:rPr>
              <w:t>MD / HR / DS lead</w:t>
            </w:r>
          </w:p>
        </w:tc>
      </w:tr>
      <w:tr>
        <w:tc>
          <w:tcPr>
            <w:tcW w:type="dxa" w:w="3037"/>
            <w:shd w:val="clear" w:color="auto" w:fill="F2F5F9"/>
          </w:tcPr>
          <w:p>
            <w:pPr>
              <w:spacing w:after="20"/>
            </w:pPr>
            <w:r/>
            <w:r>
              <w:rPr>
                <w:sz w:val="17"/>
              </w:rPr>
              <w:t>Statistical: ranking noise, multiple comparisons, underpowered pilots</w:t>
            </w:r>
          </w:p>
        </w:tc>
        <w:tc>
          <w:tcPr>
            <w:tcW w:type="dxa" w:w="1301"/>
            <w:shd w:val="clear" w:color="auto" w:fill="F2F5F9"/>
          </w:tcPr>
          <w:p>
            <w:pPr>
              <w:spacing w:after="20"/>
            </w:pPr>
            <w:r/>
            <w:r>
              <w:rPr>
                <w:sz w:val="17"/>
              </w:rPr>
              <w:t>High</w:t>
            </w:r>
          </w:p>
        </w:tc>
        <w:tc>
          <w:tcPr>
            <w:tcW w:type="dxa" w:w="998"/>
            <w:shd w:val="clear" w:color="auto" w:fill="F2F5F9"/>
          </w:tcPr>
          <w:p>
            <w:pPr>
              <w:spacing w:after="20"/>
            </w:pPr>
            <w:r/>
            <w:r>
              <w:rPr>
                <w:sz w:val="17"/>
              </w:rPr>
              <w:t>Medium</w:t>
            </w:r>
          </w:p>
        </w:tc>
        <w:tc>
          <w:tcPr>
            <w:tcW w:type="dxa" w:w="3001"/>
            <w:shd w:val="clear" w:color="auto" w:fill="F2F5F9"/>
          </w:tcPr>
          <w:p>
            <w:pPr>
              <w:spacing w:after="20"/>
            </w:pPr>
            <w:r/>
            <w:r>
              <w:rPr>
                <w:sz w:val="17"/>
              </w:rPr>
              <w:t>Uncertainty bands on rankings; multiple-comparison caveat; power/MDE check before any A5 pilot</w:t>
            </w:r>
          </w:p>
        </w:tc>
        <w:tc>
          <w:tcPr>
            <w:tcW w:type="dxa" w:w="1301"/>
            <w:shd w:val="clear" w:color="auto" w:fill="F2F5F9"/>
          </w:tcPr>
          <w:p>
            <w:pPr>
              <w:spacing w:after="20"/>
            </w:pPr>
            <w:r/>
            <w:r>
              <w:rPr>
                <w:sz w:val="17"/>
              </w:rPr>
              <w:t>DS lead</w:t>
            </w:r>
          </w:p>
        </w:tc>
      </w:tr>
      <w:tr>
        <w:tc>
          <w:tcPr>
            <w:tcW w:type="dxa" w:w="3037"/>
          </w:tcPr>
          <w:p>
            <w:pPr>
              <w:spacing w:after="20"/>
            </w:pPr>
            <w:r/>
            <w:r>
              <w:rPr>
                <w:sz w:val="17"/>
              </w:rPr>
              <w:t>Dependence on key stakeholders</w:t>
            </w:r>
          </w:p>
        </w:tc>
        <w:tc>
          <w:tcPr>
            <w:tcW w:type="dxa" w:w="1301"/>
          </w:tcPr>
          <w:p>
            <w:pPr>
              <w:spacing w:after="20"/>
            </w:pPr>
            <w:r/>
            <w:r>
              <w:rPr>
                <w:sz w:val="17"/>
              </w:rPr>
              <w:t>Medium</w:t>
            </w:r>
          </w:p>
        </w:tc>
        <w:tc>
          <w:tcPr>
            <w:tcW w:type="dxa" w:w="998"/>
          </w:tcPr>
          <w:p>
            <w:pPr>
              <w:spacing w:after="20"/>
            </w:pPr>
            <w:r/>
            <w:r>
              <w:rPr>
                <w:sz w:val="17"/>
              </w:rPr>
              <w:t>Medium</w:t>
            </w:r>
          </w:p>
        </w:tc>
        <w:tc>
          <w:tcPr>
            <w:tcW w:type="dxa" w:w="3001"/>
          </w:tcPr>
          <w:p>
            <w:pPr>
              <w:spacing w:after="20"/>
            </w:pPr>
            <w:r/>
            <w:r>
              <w:rPr>
                <w:sz w:val="17"/>
              </w:rPr>
              <w:t>Name a single sponsor and a data owner</w:t>
            </w:r>
          </w:p>
        </w:tc>
        <w:tc>
          <w:tcPr>
            <w:tcW w:type="dxa" w:w="1301"/>
          </w:tcPr>
          <w:p>
            <w:pPr>
              <w:spacing w:after="20"/>
            </w:pPr>
            <w:r/>
            <w:r>
              <w:rPr>
                <w:sz w:val="17"/>
              </w:rPr>
              <w:t>MD</w:t>
            </w:r>
          </w:p>
        </w:tc>
      </w:tr>
    </w:tbl>
    <w:p>
      <w:pPr>
        <w:spacing w:after="40"/>
      </w:pPr>
    </w:p>
    <w:p>
      <w:pPr>
        <w:pStyle w:val="Heading2"/>
      </w:pPr>
      <w:r>
        <w:rPr/>
        <w:t>19. Phased Implementation Roadmap (discovery phase only)</w:t>
      </w:r>
    </w:p>
    <w:p>
      <w:r>
        <w:rPr/>
        <w:t xml:space="preserve">Effort ranges are </w:t>
      </w:r>
      <w:r>
        <w:rPr>
          <w:b/>
        </w:rPr>
        <w:t>provisional</w:t>
      </w:r>
      <w:r>
        <w:rPr/>
        <w:t>: team, infrastructure and data are unknown.</w:t>
      </w:r>
    </w:p>
    <w:tbl>
      <w:tblPr>
        <w:tblStyle w:val="TableGrid"/>
        <w:tblW w:type="auto" w:w="0"/>
        <w:jc w:val="center"/>
        <w:tblLayout w:type="fixed"/>
        <w:tblLook w:firstColumn="1" w:firstRow="1" w:lastColumn="0" w:lastRow="0" w:noHBand="0" w:noVBand="1" w:val="04A0"/>
        <w:tblLayout w:type="fixed"/>
      </w:tblPr>
      <w:tblGrid>
        <w:gridCol w:w="1051"/>
        <w:gridCol w:w="1928"/>
        <w:gridCol w:w="1401"/>
        <w:gridCol w:w="2152"/>
        <w:gridCol w:w="1588"/>
        <w:gridCol w:w="1518"/>
      </w:tblGrid>
      <w:tr>
        <w:trPr>
          <w:tblHeader w:val="true"/>
        </w:trPr>
        <w:tc>
          <w:tcPr>
            <w:tcW w:type="dxa" w:w="1051"/>
            <w:shd w:val="clear" w:color="auto" w:fill="1F3A5F"/>
          </w:tcPr>
          <w:p>
            <w:r/>
            <w:r>
              <w:rPr>
                <w:b/>
                <w:color w:val="FFFFFF"/>
                <w:sz w:val="17"/>
              </w:rPr>
              <w:t>Phase</w:t>
            </w:r>
          </w:p>
        </w:tc>
        <w:tc>
          <w:tcPr>
            <w:tcW w:type="dxa" w:w="1928"/>
            <w:shd w:val="clear" w:color="auto" w:fill="1F3A5F"/>
          </w:tcPr>
          <w:p>
            <w:r/>
            <w:r>
              <w:rPr>
                <w:b/>
                <w:color w:val="FFFFFF"/>
                <w:sz w:val="17"/>
              </w:rPr>
              <w:t>Work package</w:t>
            </w:r>
          </w:p>
        </w:tc>
        <w:tc>
          <w:tcPr>
            <w:tcW w:type="dxa" w:w="1401"/>
            <w:shd w:val="clear" w:color="auto" w:fill="1F3A5F"/>
          </w:tcPr>
          <w:p>
            <w:r/>
            <w:r>
              <w:rPr>
                <w:b/>
                <w:color w:val="FFFFFF"/>
                <w:sz w:val="17"/>
              </w:rPr>
              <w:t>Dependencies</w:t>
            </w:r>
          </w:p>
        </w:tc>
        <w:tc>
          <w:tcPr>
            <w:tcW w:type="dxa" w:w="2152"/>
            <w:shd w:val="clear" w:color="auto" w:fill="1F3A5F"/>
          </w:tcPr>
          <w:p>
            <w:r/>
            <w:r>
              <w:rPr>
                <w:b/>
                <w:color w:val="FFFFFF"/>
                <w:sz w:val="17"/>
              </w:rPr>
              <w:t>Deliverables</w:t>
            </w:r>
          </w:p>
        </w:tc>
        <w:tc>
          <w:tcPr>
            <w:tcW w:type="dxa" w:w="1588"/>
            <w:shd w:val="clear" w:color="auto" w:fill="1F3A5F"/>
          </w:tcPr>
          <w:p>
            <w:r/>
            <w:r>
              <w:rPr>
                <w:b/>
                <w:color w:val="FFFFFF"/>
                <w:sz w:val="17"/>
              </w:rPr>
              <w:t>Acceptance criteria</w:t>
            </w:r>
          </w:p>
        </w:tc>
        <w:tc>
          <w:tcPr>
            <w:tcW w:type="dxa" w:w="1518"/>
            <w:shd w:val="clear" w:color="auto" w:fill="1F3A5F"/>
          </w:tcPr>
          <w:p>
            <w:r/>
            <w:r>
              <w:rPr>
                <w:b/>
                <w:color w:val="FFFFFF"/>
                <w:sz w:val="17"/>
              </w:rPr>
              <w:t>Indicative effort (provisional)</w:t>
            </w:r>
          </w:p>
        </w:tc>
      </w:tr>
      <w:tr>
        <w:tc>
          <w:tcPr>
            <w:tcW w:type="dxa" w:w="1051"/>
          </w:tcPr>
          <w:p>
            <w:pPr>
              <w:spacing w:after="20"/>
            </w:pPr>
            <w:r/>
            <w:r>
              <w:rPr>
                <w:sz w:val="17"/>
              </w:rPr>
              <w:t>Discovery</w:t>
            </w:r>
          </w:p>
        </w:tc>
        <w:tc>
          <w:tcPr>
            <w:tcW w:type="dxa" w:w="1928"/>
          </w:tcPr>
          <w:p>
            <w:pPr>
              <w:spacing w:after="20"/>
            </w:pPr>
            <w:r/>
            <w:r>
              <w:rPr>
                <w:sz w:val="17"/>
              </w:rPr>
              <w:t>Stakeholder session on Q1, Q2, Q5</w:t>
            </w:r>
          </w:p>
        </w:tc>
        <w:tc>
          <w:tcPr>
            <w:tcW w:type="dxa" w:w="1401"/>
          </w:tcPr>
          <w:p>
            <w:pPr>
              <w:spacing w:after="20"/>
            </w:pPr>
            <w:r/>
            <w:r>
              <w:rPr>
                <w:sz w:val="17"/>
              </w:rPr>
              <w:t>MD availability</w:t>
            </w:r>
          </w:p>
        </w:tc>
        <w:tc>
          <w:tcPr>
            <w:tcW w:type="dxa" w:w="2152"/>
          </w:tcPr>
          <w:p>
            <w:pPr>
              <w:spacing w:after="20"/>
            </w:pPr>
            <w:r/>
            <w:r>
              <w:rPr>
                <w:sz w:val="17"/>
              </w:rPr>
              <w:t>Written decision and KPI definitions</w:t>
            </w:r>
          </w:p>
        </w:tc>
        <w:tc>
          <w:tcPr>
            <w:tcW w:type="dxa" w:w="1588"/>
          </w:tcPr>
          <w:p>
            <w:pPr>
              <w:spacing w:after="20"/>
            </w:pPr>
            <w:r/>
            <w:r>
              <w:rPr>
                <w:sz w:val="17"/>
              </w:rPr>
              <w:t>MD signs off on 3–5 KPIs and a named decision owner</w:t>
            </w:r>
          </w:p>
        </w:tc>
        <w:tc>
          <w:tcPr>
            <w:tcW w:type="dxa" w:w="1518"/>
          </w:tcPr>
          <w:p>
            <w:pPr>
              <w:spacing w:after="20"/>
            </w:pPr>
            <w:r/>
            <w:r>
              <w:rPr>
                <w:sz w:val="17"/>
              </w:rPr>
              <w:t>1 week</w:t>
            </w:r>
          </w:p>
        </w:tc>
      </w:tr>
      <w:tr>
        <w:tc>
          <w:tcPr>
            <w:tcW w:type="dxa" w:w="1051"/>
            <w:shd w:val="clear" w:color="auto" w:fill="F2F5F9"/>
          </w:tcPr>
          <w:p>
            <w:pPr>
              <w:spacing w:after="20"/>
            </w:pPr>
            <w:r/>
            <w:r>
              <w:rPr>
                <w:sz w:val="17"/>
              </w:rPr>
              <w:t>Discovery</w:t>
            </w:r>
          </w:p>
        </w:tc>
        <w:tc>
          <w:tcPr>
            <w:tcW w:type="dxa" w:w="1928"/>
            <w:shd w:val="clear" w:color="auto" w:fill="F2F5F9"/>
          </w:tcPr>
          <w:p>
            <w:pPr>
              <w:spacing w:after="20"/>
            </w:pPr>
            <w:r/>
            <w:r>
              <w:rPr>
                <w:sz w:val="17"/>
              </w:rPr>
              <w:t>Data audit: list systems, owners, history, grain, quality</w:t>
            </w:r>
          </w:p>
        </w:tc>
        <w:tc>
          <w:tcPr>
            <w:tcW w:type="dxa" w:w="1401"/>
            <w:shd w:val="clear" w:color="auto" w:fill="F2F5F9"/>
          </w:tcPr>
          <w:p>
            <w:pPr>
              <w:spacing w:after="20"/>
            </w:pPr>
            <w:r/>
            <w:r>
              <w:rPr>
                <w:sz w:val="17"/>
              </w:rPr>
              <w:t>IT access (Q3, Q4)</w:t>
            </w:r>
          </w:p>
        </w:tc>
        <w:tc>
          <w:tcPr>
            <w:tcW w:type="dxa" w:w="2152"/>
            <w:shd w:val="clear" w:color="auto" w:fill="F2F5F9"/>
          </w:tcPr>
          <w:p>
            <w:pPr>
              <w:spacing w:after="20"/>
            </w:pPr>
            <w:r/>
            <w:r>
              <w:rPr>
                <w:sz w:val="17"/>
              </w:rPr>
              <w:t>Data inventory with statuses upgraded to Confirmed or ruled out</w:t>
            </w:r>
          </w:p>
        </w:tc>
        <w:tc>
          <w:tcPr>
            <w:tcW w:type="dxa" w:w="1588"/>
            <w:shd w:val="clear" w:color="auto" w:fill="F2F5F9"/>
          </w:tcPr>
          <w:p>
            <w:pPr>
              <w:spacing w:after="20"/>
            </w:pPr>
            <w:r/>
            <w:r>
              <w:rPr>
                <w:sz w:val="17"/>
              </w:rPr>
              <w:t>Every candidate source marked</w:t>
            </w:r>
          </w:p>
        </w:tc>
        <w:tc>
          <w:tcPr>
            <w:tcW w:type="dxa" w:w="1518"/>
            <w:shd w:val="clear" w:color="auto" w:fill="F2F5F9"/>
          </w:tcPr>
          <w:p>
            <w:pPr>
              <w:spacing w:after="20"/>
            </w:pPr>
            <w:r/>
            <w:r>
              <w:rPr>
                <w:sz w:val="17"/>
              </w:rPr>
              <w:t>1–2 weeks</w:t>
            </w:r>
          </w:p>
        </w:tc>
      </w:tr>
      <w:tr>
        <w:tc>
          <w:tcPr>
            <w:tcW w:type="dxa" w:w="1051"/>
          </w:tcPr>
          <w:p>
            <w:pPr>
              <w:spacing w:after="20"/>
            </w:pPr>
            <w:r/>
            <w:r>
              <w:rPr>
                <w:sz w:val="17"/>
              </w:rPr>
              <w:t>Discovery</w:t>
            </w:r>
          </w:p>
        </w:tc>
        <w:tc>
          <w:tcPr>
            <w:tcW w:type="dxa" w:w="1928"/>
          </w:tcPr>
          <w:p>
            <w:pPr>
              <w:spacing w:after="20"/>
            </w:pPr>
            <w:r/>
            <w:r>
              <w:rPr>
                <w:sz w:val="17"/>
              </w:rPr>
              <w:t>Baseline: current branch reporting and any scorecard</w:t>
            </w:r>
          </w:p>
        </w:tc>
        <w:tc>
          <w:tcPr>
            <w:tcW w:type="dxa" w:w="1401"/>
          </w:tcPr>
          <w:p>
            <w:pPr>
              <w:spacing w:after="20"/>
            </w:pPr>
            <w:r/>
            <w:r>
              <w:rPr>
                <w:sz w:val="17"/>
              </w:rPr>
              <w:t>Operations</w:t>
            </w:r>
          </w:p>
        </w:tc>
        <w:tc>
          <w:tcPr>
            <w:tcW w:type="dxa" w:w="2152"/>
          </w:tcPr>
          <w:p>
            <w:pPr>
              <w:spacing w:after="20"/>
            </w:pPr>
            <w:r/>
            <w:r>
              <w:rPr>
                <w:sz w:val="17"/>
              </w:rPr>
              <w:t>Description of today's measure of performance</w:t>
            </w:r>
          </w:p>
        </w:tc>
        <w:tc>
          <w:tcPr>
            <w:tcW w:type="dxa" w:w="1588"/>
          </w:tcPr>
          <w:p>
            <w:pPr>
              <w:spacing w:after="20"/>
            </w:pPr>
            <w:r/>
            <w:r>
              <w:rPr>
                <w:sz w:val="17"/>
              </w:rPr>
              <w:t>Documented</w:t>
            </w:r>
          </w:p>
        </w:tc>
        <w:tc>
          <w:tcPr>
            <w:tcW w:type="dxa" w:w="1518"/>
          </w:tcPr>
          <w:p>
            <w:pPr>
              <w:spacing w:after="20"/>
            </w:pPr>
            <w:r/>
            <w:r>
              <w:rPr>
                <w:sz w:val="17"/>
              </w:rPr>
              <w:t>1 week</w:t>
            </w:r>
          </w:p>
        </w:tc>
      </w:tr>
      <w:tr>
        <w:tc>
          <w:tcPr>
            <w:tcW w:type="dxa" w:w="1051"/>
            <w:shd w:val="clear" w:color="auto" w:fill="F2F5F9"/>
          </w:tcPr>
          <w:p>
            <w:pPr>
              <w:spacing w:after="20"/>
            </w:pPr>
            <w:r/>
            <w:r>
              <w:rPr>
                <w:sz w:val="17"/>
              </w:rPr>
              <w:t>Discovery</w:t>
            </w:r>
          </w:p>
        </w:tc>
        <w:tc>
          <w:tcPr>
            <w:tcW w:type="dxa" w:w="1928"/>
            <w:shd w:val="clear" w:color="auto" w:fill="F2F5F9"/>
          </w:tcPr>
          <w:p>
            <w:pPr>
              <w:spacing w:after="20"/>
            </w:pPr>
            <w:r/>
            <w:r>
              <w:rPr>
                <w:sz w:val="17"/>
              </w:rPr>
              <w:t>Recommendation and full plan</w:t>
            </w:r>
          </w:p>
        </w:tc>
        <w:tc>
          <w:tcPr>
            <w:tcW w:type="dxa" w:w="1401"/>
            <w:shd w:val="clear" w:color="auto" w:fill="F2F5F9"/>
          </w:tcPr>
          <w:p>
            <w:pPr>
              <w:spacing w:after="20"/>
            </w:pPr>
            <w:r/>
            <w:r>
              <w:rPr>
                <w:sz w:val="17"/>
              </w:rPr>
              <w:t>All above</w:t>
            </w:r>
          </w:p>
        </w:tc>
        <w:tc>
          <w:tcPr>
            <w:tcW w:type="dxa" w:w="2152"/>
            <w:shd w:val="clear" w:color="auto" w:fill="F2F5F9"/>
          </w:tcPr>
          <w:p>
            <w:pPr>
              <w:spacing w:after="20"/>
            </w:pPr>
            <w:r/>
            <w:r>
              <w:rPr>
                <w:sz w:val="17"/>
              </w:rPr>
              <w:t>Full solution plan covering the chosen framing(s) (A1–A5)</w:t>
            </w:r>
          </w:p>
        </w:tc>
        <w:tc>
          <w:tcPr>
            <w:tcW w:type="dxa" w:w="1588"/>
            <w:shd w:val="clear" w:color="auto" w:fill="F2F5F9"/>
          </w:tcPr>
          <w:p>
            <w:pPr>
              <w:spacing w:after="20"/>
            </w:pPr>
            <w:r/>
            <w:r>
              <w:rPr>
                <w:sz w:val="17"/>
              </w:rPr>
              <w:t>Client sponsor approves scope</w:t>
            </w:r>
          </w:p>
        </w:tc>
        <w:tc>
          <w:tcPr>
            <w:tcW w:type="dxa" w:w="1518"/>
            <w:shd w:val="clear" w:color="auto" w:fill="F2F5F9"/>
          </w:tcPr>
          <w:p>
            <w:pPr>
              <w:spacing w:after="20"/>
            </w:pPr>
            <w:r/>
            <w:r>
              <w:rPr>
                <w:sz w:val="17"/>
              </w:rPr>
              <w:t>1 week</w:t>
            </w:r>
          </w:p>
        </w:tc>
      </w:tr>
    </w:tbl>
    <w:p>
      <w:pPr>
        <w:spacing w:after="40"/>
      </w:pPr>
    </w:p>
    <w:p>
      <w:r>
        <w:rPr/>
        <w:t>Later phases (data engineering, EDA, modelling, validation, deployment, monitoring) are deliberately not planned until discovery completes.</w:t>
      </w: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Page </w:t>
    </w:r>
    <w:r>
      <w:fldChar w:fldCharType="begin"/>
      <w:instrText xml:space="preserve">PAGE</w:instrText>
      <w:fldChar w:fldCharType="separate"/>
      <w:t>1</w:t>
      <w:fldChar w:fldCharType="end"/>
    </w:r>
    <w:r>
      <w:rPr>
        <w:color w:val="595959"/>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Branch Performance with AI/ML — Data Science Solution Plan (Quick Triage)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eastAsia="Calibri"/>
      <w:b/>
      <w:bCs/>
      <w:i/>
      <w:iCs/>
      <w:color w:val="2E75B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