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E75B6"/>
          <w:sz w:val="22"/>
        </w:rPr>
        <w:t>DATA SCIENCE SOLUTION PLAN</w:t>
      </w:r>
    </w:p>
    <w:p>
      <w:pPr>
        <w:spacing w:after="360"/>
        <w:pBdr>
          <w:left w:val="single" w:sz="18" w:space="8" w:color="1F3A5F"/>
        </w:pBdr>
      </w:pPr>
      <w:r>
        <w:rPr>
          <w:b/>
          <w:color w:val="1F3A5F"/>
          <w:sz w:val="52"/>
        </w:rPr>
        <w:t>Credit-Card Attrition — Data Science Solution Plan</w:t>
      </w:r>
    </w:p>
    <w:tbl>
      <w:tblPr>
        <w:tblW w:type="auto" w:w="0"/>
        <w:jc w:val="left"/>
        <w:tblLook w:firstColumn="1" w:firstRow="1" w:lastColumn="0" w:lastRow="0" w:noHBand="0" w:noVBand="1" w:val="04A0"/>
      </w:tblPr>
      <w:tblGrid>
        <w:gridCol w:w="4819"/>
        <w:gridCol w:w="4819"/>
      </w:tblGrid>
      <w:tr>
        <w:tc>
          <w:tcPr>
            <w:tcW w:type="dxa" w:w="2268"/>
          </w:tcPr>
          <w:p>
            <w:r/>
            <w:r>
              <w:rPr>
                <w:b/>
                <w:color w:val="595959"/>
              </w:rPr>
              <w:t>Client</w:t>
            </w:r>
          </w:p>
        </w:tc>
        <w:tc>
          <w:tcPr>
            <w:tcW w:type="dxa" w:w="6236"/>
          </w:tcPr>
          <w:p>
            <w:r/>
            <w:r>
              <w:rPr/>
              <w:t>Client (private-sector bank, credit-card business)</w:t>
            </w:r>
          </w:p>
        </w:tc>
      </w:tr>
      <w:tr>
        <w:tc>
          <w:tcPr>
            <w:tcW w:type="dxa" w:w="2268"/>
          </w:tcPr>
          <w:p>
            <w:r/>
            <w:r>
              <w:rPr>
                <w:b/>
                <w:color w:val="595959"/>
              </w:rPr>
              <w:t>Industry</w:t>
            </w:r>
          </w:p>
        </w:tc>
        <w:tc>
          <w:tcPr>
            <w:tcW w:type="dxa" w:w="6236"/>
          </w:tcPr>
          <w:p>
            <w:r/>
            <w:r>
              <w:rPr/>
              <w:t>BFSI</w:t>
            </w:r>
          </w:p>
        </w:tc>
      </w:tr>
      <w:tr>
        <w:tc>
          <w:tcPr>
            <w:tcW w:type="dxa" w:w="2268"/>
          </w:tcPr>
          <w:p>
            <w:r/>
            <w:r>
              <w:rPr>
                <w:b/>
                <w:color w:val="595959"/>
              </w:rPr>
              <w:t>Prepared by</w:t>
            </w:r>
          </w:p>
        </w:tc>
        <w:tc>
          <w:tcPr>
            <w:tcW w:type="dxa" w:w="6236"/>
          </w:tcPr>
          <w:p>
            <w:r/>
            <w:r>
              <w:rPr/>
              <w:t>Data Science Solution Architecture team</w:t>
            </w:r>
          </w:p>
        </w:tc>
      </w:tr>
      <w:tr>
        <w:tc>
          <w:tcPr>
            <w:tcW w:type="dxa" w:w="2268"/>
          </w:tcPr>
          <w:p>
            <w:r/>
            <w:r>
              <w:rPr>
                <w:b/>
                <w:color w:val="595959"/>
              </w:rPr>
              <w:t>Date</w:t>
            </w:r>
          </w:p>
        </w:tc>
        <w:tc>
          <w:tcPr>
            <w:tcW w:type="dxa" w:w="6236"/>
          </w:tcPr>
          <w:p>
            <w:r/>
            <w:r>
              <w:rPr/>
              <w:t>2026-10-14</w:t>
            </w:r>
          </w:p>
        </w:tc>
      </w:tr>
      <w:tr>
        <w:tc>
          <w:tcPr>
            <w:tcW w:type="dxa" w:w="2268"/>
          </w:tcPr>
          <w:p>
            <w:r/>
            <w:r>
              <w:rPr>
                <w:b/>
                <w:color w:val="595959"/>
              </w:rPr>
              <w:t>Version</w:t>
            </w:r>
          </w:p>
        </w:tc>
        <w:tc>
          <w:tcPr>
            <w:tcW w:type="dxa" w:w="6236"/>
          </w:tcPr>
          <w:p>
            <w:r/>
            <w:r>
              <w:rPr/>
              <w:t>0.1 (draft)</w:t>
            </w:r>
          </w:p>
        </w:tc>
      </w:tr>
      <w:tr>
        <w:tc>
          <w:tcPr>
            <w:tcW w:type="dxa" w:w="2268"/>
          </w:tcPr>
          <w:p>
            <w:r/>
            <w:r>
              <w:rPr>
                <w:b/>
                <w:color w:val="595959"/>
              </w:rPr>
              <w:t>Plan depth</w:t>
            </w:r>
          </w:p>
        </w:tc>
        <w:tc>
          <w:tcPr>
            <w:tcW w:type="dxa" w:w="6236"/>
          </w:tcPr>
          <w:p>
            <w:r/>
            <w:r>
              <w:rPr/>
              <w:t>Standard</w:t>
            </w:r>
          </w:p>
        </w:tc>
      </w:tr>
      <w:tr>
        <w:tc>
          <w:tcPr>
            <w:tcW w:type="dxa" w:w="2268"/>
          </w:tcPr>
          <w:p>
            <w:r/>
            <w:r>
              <w:rPr>
                <w:b/>
                <w:color w:val="595959"/>
              </w:rPr>
              <w:t>Classification</w:t>
            </w:r>
          </w:p>
        </w:tc>
        <w:tc>
          <w:tcPr>
            <w:tcW w:type="dxa" w:w="6236"/>
          </w:tcPr>
          <w:p>
            <w:r/>
            <w:r>
              <w:rPr/>
              <w:t>Confidential</w:t>
            </w:r>
          </w:p>
        </w:tc>
      </w:tr>
    </w:tbl>
    <w:p/>
    <w:p>
      <w:r>
        <w:rPr>
          <w:i/>
          <w:color w:val="595959"/>
          <w:sz w:val="18"/>
        </w:rPr>
        <w:t>Status tags used throughout:</w:t>
      </w:r>
      <w:r>
        <w:rPr>
          <w:color w:val="595959"/>
          <w:sz w:val="18"/>
        </w:rPr>
        <w:t xml:space="preserve"> </w:t>
      </w:r>
      <w:r>
        <w:rPr>
          <w:b/>
          <w:color w:val="1E7B34"/>
          <w:sz w:val="18"/>
        </w:rPr>
        <w:t>[Confirmed]</w:t>
      </w:r>
      <w:r>
        <w:rPr>
          <w:color w:val="595959"/>
          <w:sz w:val="18"/>
        </w:rPr>
        <w:t xml:space="preserve"> stated by client or verified in data · </w:t>
      </w:r>
      <w:r>
        <w:rPr>
          <w:b/>
          <w:color w:val="B36B00"/>
          <w:sz w:val="18"/>
        </w:rPr>
        <w:t>[Assumed]</w:t>
      </w:r>
      <w:r>
        <w:rPr>
          <w:color w:val="595959"/>
          <w:sz w:val="18"/>
        </w:rPr>
        <w:t xml:space="preserve"> working assumption to validate · </w:t>
      </w:r>
      <w:r>
        <w:rPr>
          <w:b/>
          <w:color w:val="C0392B"/>
          <w:sz w:val="18"/>
        </w:rPr>
        <w:t>[To investigate]</w:t>
      </w:r>
      <w:r>
        <w:rPr>
          <w:color w:val="595959"/>
          <w:sz w:val="18"/>
        </w:rPr>
        <w:t xml:space="preserve"> existence or usability unknown.</w:t>
      </w:r>
    </w:p>
    <w:p>
      <w:r>
        <w:br w:type="page"/>
      </w:r>
    </w:p>
    <w:p>
      <w:r>
        <w:rPr>
          <w:b/>
          <w:color w:val="1F3A5F"/>
          <w:sz w:val="30"/>
        </w:rP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2"/>
      </w:pPr>
      <w:r>
        <w:rPr/>
        <w:t>1. Executive Summary</w:t>
      </w:r>
    </w:p>
    <w:p>
      <w:pPr>
        <w:pStyle w:val="ListBullet"/>
        <w:spacing w:after="40"/>
        <w:ind w:left="357" w:hanging="357"/>
      </w:pPr>
      <w:r>
        <w:rPr>
          <w:b/>
        </w:rPr>
        <w:t>Decision supported:</w:t>
      </w:r>
      <w:r>
        <w:rPr/>
        <w:t xml:space="preserve"> each month, which ~20,000 card customers the retention team should call, and which offer (fee waiver or reward points) to make, so as to retain the most profitable customers per call and per rupee of offer cost.</w:t>
      </w:r>
    </w:p>
    <w:p>
      <w:pPr>
        <w:pStyle w:val="ListBullet"/>
        <w:spacing w:after="40"/>
        <w:ind w:left="357" w:hanging="357"/>
      </w:pPr>
      <w:r>
        <w:rPr>
          <w:b/>
        </w:rPr>
        <w:t>The request contains three different questions, and one model cannot answer all three:</w:t>
      </w:r>
    </w:p>
    <w:p>
      <w:pPr>
        <w:pStyle w:val="ListBullet2"/>
        <w:spacing w:after="40"/>
        <w:ind w:left="714" w:hanging="357"/>
      </w:pPr>
      <w:r>
        <w:rPr>
          <w:b/>
        </w:rPr>
        <w:t>A1 (Predictive):</w:t>
      </w:r>
      <w:r>
        <w:rPr/>
        <w:t xml:space="preserve"> who is likely to close their card voluntarily in the next 3 months?</w:t>
      </w:r>
    </w:p>
    <w:p>
      <w:pPr>
        <w:pStyle w:val="ListBullet2"/>
        <w:spacing w:after="40"/>
        <w:ind w:left="714" w:hanging="357"/>
      </w:pPr>
      <w:r>
        <w:rPr>
          <w:b/>
        </w:rPr>
        <w:t>A2 (Inferential / exploratory):</w:t>
      </w:r>
      <w:r>
        <w:rPr/>
        <w:t xml:space="preserve"> what is associated with churn?</w:t>
      </w:r>
    </w:p>
    <w:p>
      <w:pPr>
        <w:pStyle w:val="ListBullet2"/>
        <w:spacing w:after="40"/>
        <w:ind w:left="714" w:hanging="357"/>
      </w:pPr>
      <w:r>
        <w:rPr>
          <w:b/>
        </w:rPr>
        <w:t>A3 (Causal):</w:t>
      </w:r>
      <w:r>
        <w:rPr/>
        <w:t xml:space="preserve"> do the fee-waiver and reward-point offers reduce churn?</w:t>
      </w:r>
    </w:p>
    <w:p>
      <w:pPr>
        <w:pStyle w:val="ListBullet"/>
        <w:spacing w:after="40"/>
        <w:ind w:left="357" w:hanging="357"/>
      </w:pPr>
      <w:r>
        <w:rPr>
          <w:b/>
        </w:rPr>
        <w:t>Why this matters:</w:t>
      </w:r>
      <w:r>
        <w:rPr/>
        <w:t xml:space="preserve"> a churn-risk model finds customers who are likely to leave. It does not show that a call or offer changes the outcome. Customers with the highest risk may have already decided to leave, or may stay anyway. "Drivers" from a churn model are associations, not levers. "Do offers work" can only be answered credibly with a randomised experiment.</w:t>
      </w:r>
    </w:p>
    <w:p>
      <w:pPr>
        <w:pStyle w:val="ListBullet"/>
        <w:spacing w:after="40"/>
        <w:ind w:left="357" w:hanging="357"/>
      </w:pPr>
      <w:r>
        <w:rPr>
          <w:b/>
        </w:rPr>
        <w:t>Recommended approach:</w:t>
      </w:r>
    </w:p>
    <w:p>
      <w:pPr>
        <w:tabs>
          <w:tab w:pos="714" w:val="left"/>
        </w:tabs>
        <w:spacing w:after="40"/>
        <w:ind w:left="714" w:hanging="357"/>
      </w:pPr>
      <w:r>
        <w:rPr/>
        <w:t>1.</w:t>
        <w:tab/>
      </w:r>
      <w:r>
        <w:rPr/>
        <w:t>Build a calibrated 3-month churn-risk model on monthly customer snapshots. Start with a simple baseline and a regularised logistic model, then a gradient-boosted model if it earns its place. Validate strictly out-of-time with a 3-month embargo.</w:t>
      </w:r>
    </w:p>
    <w:p>
      <w:pPr>
        <w:tabs>
          <w:tab w:pos="714" w:val="left"/>
        </w:tabs>
        <w:spacing w:after="40"/>
        <w:ind w:left="714" w:hanging="357"/>
      </w:pPr>
      <w:r>
        <w:rPr/>
        <w:t>2.</w:t>
        <w:tab/>
      </w:r>
      <w:r>
        <w:rPr/>
        <w:t>Answer "what drives churn" with interpretable associational analysis (survival or logistic models, SHAP). Label all of it as association. Test actionable levers causally where a natural experiment exists, such as the annual-fee billing event.</w:t>
      </w:r>
    </w:p>
    <w:p>
      <w:pPr>
        <w:tabs>
          <w:tab w:pos="714" w:val="left"/>
        </w:tabs>
        <w:spacing w:after="40"/>
        <w:ind w:left="714" w:hanging="357"/>
      </w:pPr>
      <w:r>
        <w:rPr/>
        <w:t>3.</w:t>
        <w:tab/>
      </w:r>
      <w:r>
        <w:rPr/>
        <w:t xml:space="preserve">Answer "do offers work" with a </w:t>
      </w:r>
      <w:r>
        <w:rPr>
          <w:b/>
        </w:rPr>
        <w:t>randomised retention experiment built into the monthly campaign</w:t>
      </w:r>
      <w:r>
        <w:rPr/>
        <w:t xml:space="preserve">: a no-call control, a fee-waiver arm and a reward-points arm, randomised inside the high-risk pool. This sets the offer-effect estimate, the incremental ROI and the training data for an </w:t>
      </w:r>
      <w:r>
        <w:rPr>
          <w:b/>
        </w:rPr>
        <w:t>uplift model</w:t>
      </w:r>
      <w:r>
        <w:rPr/>
        <w:t xml:space="preserve">, so that later waves call the customers who are </w:t>
      </w:r>
      <w:r>
        <w:rPr>
          <w:i/>
        </w:rPr>
        <w:t>persuadable</w:t>
      </w:r>
      <w:r>
        <w:rPr/>
        <w:t xml:space="preserve"> rather than just </w:t>
      </w:r>
      <w:r>
        <w:rPr>
          <w:i/>
        </w:rPr>
        <w:t>at risk</w:t>
      </w:r>
      <w:r>
        <w:rPr/>
        <w:t>.</w:t>
      </w:r>
    </w:p>
    <w:p>
      <w:pPr>
        <w:tabs>
          <w:tab w:pos="714" w:val="left"/>
        </w:tabs>
        <w:spacing w:after="40"/>
        <w:ind w:left="714" w:hanging="357"/>
      </w:pPr>
      <w:r>
        <w:rPr/>
        <w:t>4.</w:t>
        <w:tab/>
      </w:r>
      <w:r>
        <w:rPr/>
        <w:t>Deploy as a monthly batch score feeding the CRM call list, with suppression rules, reason codes for agents, a rule-based fallback and a permanent small holdout for ongoing measurement.</w:t>
      </w:r>
    </w:p>
    <w:p>
      <w:pPr>
        <w:pStyle w:val="ListBullet"/>
        <w:spacing w:after="40"/>
        <w:ind w:left="357" w:hanging="357"/>
      </w:pPr>
      <w:r>
        <w:rPr>
          <w:b/>
        </w:rPr>
        <w:t>Capacity arithmetic from the figures given (derived, assuming uniform hazard):</w:t>
      </w:r>
    </w:p>
    <w:p>
      <w:pPr>
        <w:pStyle w:val="ListBullet2"/>
        <w:spacing w:after="40"/>
        <w:ind w:left="714" w:hanging="357"/>
      </w:pPr>
      <w:r>
        <w:rPr/>
        <w:t>1.5% monthly attrition on ~2.4M cards is about 36,000 closures per month.</w:t>
      </w:r>
    </w:p>
    <w:p>
      <w:pPr>
        <w:pStyle w:val="ListBullet2"/>
        <w:spacing w:after="40"/>
        <w:ind w:left="714" w:hanging="357"/>
      </w:pPr>
      <w:r>
        <w:rPr/>
        <w:t>Over 3 months that is about 4.4% of the base, or about 106,000 customers.</w:t>
      </w:r>
    </w:p>
    <w:p>
      <w:pPr>
        <w:pStyle w:val="ListBullet2"/>
        <w:spacing w:after="40"/>
        <w:ind w:left="714" w:hanging="357"/>
      </w:pPr>
      <w:r>
        <w:rPr/>
        <w:t>A random list has about 4.4% precision, so the 20,000-call list is the first thing to beat.</w:t>
      </w:r>
    </w:p>
    <w:p>
      <w:pPr>
        <w:pStyle w:val="ListBullet2"/>
        <w:spacing w:after="40"/>
        <w:ind w:left="714" w:hanging="357"/>
      </w:pPr>
      <w:r>
        <w:rPr/>
        <w:t xml:space="preserve">A single list can contain at most ~19% of the customers who will close in the next 3 months. Success should therefore be judged by </w:t>
      </w:r>
      <w:r>
        <w:rPr>
          <w:b/>
        </w:rPr>
        <w:t>precision/lift at 20,000 and by incremental retained margin</w:t>
      </w:r>
      <w:r>
        <w:rPr/>
        <w:t>, not by AUC or recall.</w:t>
      </w:r>
    </w:p>
    <w:p>
      <w:pPr>
        <w:pStyle w:val="ListBullet"/>
        <w:spacing w:after="40"/>
        <w:ind w:left="357" w:hanging="357"/>
      </w:pPr>
      <w:r>
        <w:rPr>
          <w:b/>
        </w:rPr>
        <w:t>What must be true:</w:t>
      </w:r>
    </w:p>
    <w:p>
      <w:pPr>
        <w:pStyle w:val="ListBullet2"/>
        <w:spacing w:after="40"/>
        <w:ind w:left="714" w:hanging="357"/>
      </w:pPr>
      <w:r>
        <w:rPr/>
        <w:t>A clear definition of "voluntary closure" exists and closure dates are reliable in the data.</w:t>
      </w:r>
    </w:p>
    <w:p>
      <w:pPr>
        <w:pStyle w:val="ListBullet2"/>
        <w:spacing w:after="40"/>
        <w:ind w:left="714" w:hanging="357"/>
      </w:pPr>
      <w:r>
        <w:rPr/>
        <w:t>About 36 months of monthly history (minimum 30) is available (to be confirmed).</w:t>
      </w:r>
    </w:p>
    <w:p>
      <w:pPr>
        <w:pStyle w:val="ListBullet2"/>
        <w:spacing w:after="40"/>
        <w:ind w:left="714" w:hanging="357"/>
      </w:pPr>
      <w:r>
        <w:rPr/>
        <w:t>The bank's compliance and business owners approve randomising offers and holding out a control group.</w:t>
      </w:r>
    </w:p>
    <w:p>
      <w:pPr>
        <w:pStyle w:val="ListBullet2"/>
        <w:spacing w:after="40"/>
        <w:ind w:left="714" w:hanging="357"/>
      </w:pPr>
      <w:r>
        <w:rPr/>
        <w:t>Point-in-time feature snapshots can be rebuilt from the source systems.</w:t>
      </w:r>
    </w:p>
    <w:p>
      <w:pPr>
        <w:pStyle w:val="ListBullet"/>
        <w:spacing w:after="40"/>
        <w:ind w:left="357" w:hanging="357"/>
      </w:pPr>
      <w:r>
        <w:rPr>
          <w:b/>
        </w:rPr>
        <w:t>Top risks:</w:t>
      </w:r>
    </w:p>
    <w:p>
      <w:pPr>
        <w:pStyle w:val="ListBullet2"/>
        <w:spacing w:after="40"/>
        <w:ind w:left="714" w:hanging="357"/>
      </w:pPr>
      <w:r>
        <w:rPr/>
        <w:t>Call-centre "closure request" records leak the label.</w:t>
      </w:r>
    </w:p>
    <w:p>
      <w:pPr>
        <w:pStyle w:val="ListBullet2"/>
        <w:spacing w:after="40"/>
        <w:ind w:left="714" w:hanging="357"/>
      </w:pPr>
      <w:r>
        <w:rPr/>
        <w:t>Past retention calls and offers contaminate the labels and features.</w:t>
      </w:r>
    </w:p>
    <w:p>
      <w:pPr>
        <w:pStyle w:val="ListBullet2"/>
        <w:spacing w:after="40"/>
        <w:ind w:left="714" w:hanging="357"/>
      </w:pPr>
      <w:r>
        <w:rPr/>
        <w:t>Offers are selected by agents for customers who ask to leave, which makes observational comparisons misleading.</w:t>
      </w:r>
    </w:p>
    <w:p>
      <w:pPr>
        <w:pStyle w:val="ListBullet2"/>
        <w:spacing w:after="40"/>
        <w:ind w:left="714" w:hanging="357"/>
      </w:pPr>
      <w:r>
        <w:rPr/>
        <w:t>Silent attrition (stop using but never close) is not captured by a closure label.</w:t>
      </w:r>
    </w:p>
    <w:p>
      <w:pPr>
        <w:pStyle w:val="ListBullet2"/>
        <w:spacing w:after="40"/>
        <w:ind w:left="714" w:hanging="357"/>
      </w:pPr>
      <w:r>
        <w:rPr/>
        <w:t>Fee-waiver benefits may only delay churn by a year.</w:t>
      </w:r>
    </w:p>
    <w:p>
      <w:pPr>
        <w:pStyle w:val="ListBullet"/>
        <w:spacing w:after="40"/>
        <w:ind w:left="357" w:hanging="357"/>
      </w:pPr>
      <w:r>
        <w:rPr>
          <w:b/>
        </w:rPr>
        <w:t>First next steps:</w:t>
      </w:r>
      <w:r>
        <w:rPr/>
        <w:t xml:space="preserve"> confirm the churn definition and the data extracts (§4 questions Q1–Q5); run the EDA and label-maturity audit; get approval for the randomised pilot while the baseline model is built.</w:t>
      </w:r>
    </w:p>
    <w:p>
      <w:pPr>
        <w:pStyle w:val="Heading3"/>
      </w:pPr>
      <w:r>
        <w:rPr/>
        <w:t>Scope of this plan</w:t>
      </w:r>
    </w:p>
    <w:tbl>
      <w:tblPr>
        <w:tblStyle w:val="TableGrid"/>
        <w:tblW w:type="auto" w:w="0"/>
        <w:jc w:val="center"/>
        <w:tblLayout w:type="fixed"/>
        <w:tblLook w:firstColumn="1" w:firstRow="1" w:lastColumn="0" w:lastRow="0" w:noHBand="0" w:noVBand="1" w:val="04A0"/>
        <w:tblLayout w:type="fixed"/>
      </w:tblPr>
      <w:tblGrid>
        <w:gridCol w:w="3269"/>
        <w:gridCol w:w="1731"/>
        <w:gridCol w:w="4638"/>
      </w:tblGrid>
      <w:tr>
        <w:trPr>
          <w:tblHeader w:val="true"/>
        </w:trPr>
        <w:tc>
          <w:tcPr>
            <w:tcW w:type="dxa" w:w="3269"/>
            <w:shd w:val="clear" w:color="auto" w:fill="1F3A5F"/>
          </w:tcPr>
          <w:p>
            <w:r/>
            <w:r>
              <w:rPr>
                <w:b/>
                <w:color w:val="FFFFFF"/>
                <w:sz w:val="19"/>
              </w:rPr>
              <w:t>Section</w:t>
            </w:r>
          </w:p>
        </w:tc>
        <w:tc>
          <w:tcPr>
            <w:tcW w:type="dxa" w:w="1731"/>
            <w:shd w:val="clear" w:color="auto" w:fill="1F3A5F"/>
          </w:tcPr>
          <w:p>
            <w:r/>
            <w:r>
              <w:rPr>
                <w:b/>
                <w:color w:val="FFFFFF"/>
                <w:sz w:val="19"/>
              </w:rPr>
              <w:t>Status</w:t>
            </w:r>
          </w:p>
        </w:tc>
        <w:tc>
          <w:tcPr>
            <w:tcW w:type="dxa" w:w="4638"/>
            <w:shd w:val="clear" w:color="auto" w:fill="1F3A5F"/>
          </w:tcPr>
          <w:p>
            <w:r/>
            <w:r>
              <w:rPr>
                <w:b/>
                <w:color w:val="FFFFFF"/>
                <w:sz w:val="19"/>
              </w:rPr>
              <w:t>Reason</w:t>
            </w:r>
          </w:p>
        </w:tc>
      </w:tr>
      <w:tr>
        <w:tc>
          <w:tcPr>
            <w:tcW w:type="dxa" w:w="3269"/>
          </w:tcPr>
          <w:p>
            <w:pPr>
              <w:spacing w:after="20"/>
            </w:pPr>
            <w:r/>
            <w:r>
              <w:rPr>
                <w:sz w:val="19"/>
              </w:rPr>
              <w:t>2–13</w:t>
            </w:r>
          </w:p>
        </w:tc>
        <w:tc>
          <w:tcPr>
            <w:tcW w:type="dxa" w:w="1731"/>
          </w:tcPr>
          <w:p>
            <w:pPr>
              <w:spacing w:after="20"/>
            </w:pPr>
            <w:r/>
            <w:r>
              <w:rPr>
                <w:sz w:val="19"/>
              </w:rPr>
              <w:t>Included</w:t>
            </w:r>
          </w:p>
        </w:tc>
        <w:tc>
          <w:tcPr>
            <w:tcW w:type="dxa" w:w="4638"/>
          </w:tcPr>
          <w:p>
            <w:pPr>
              <w:spacing w:after="20"/>
            </w:pPr>
            <w:r/>
            <w:r>
              <w:rPr>
                <w:sz w:val="19"/>
              </w:rPr>
              <w:t>Predictive analysis A1 needs framing, data, baselines, metrics, experiments, validation and leakage audit.</w:t>
            </w:r>
          </w:p>
        </w:tc>
      </w:tr>
      <w:tr>
        <w:tc>
          <w:tcPr>
            <w:tcW w:type="dxa" w:w="3269"/>
            <w:shd w:val="clear" w:color="auto" w:fill="F2F5F9"/>
          </w:tcPr>
          <w:p>
            <w:pPr>
              <w:spacing w:after="20"/>
            </w:pPr>
            <w:r/>
            <w:r>
              <w:rPr>
                <w:sz w:val="19"/>
              </w:rPr>
              <w:t>14</w:t>
            </w:r>
          </w:p>
        </w:tc>
        <w:tc>
          <w:tcPr>
            <w:tcW w:type="dxa" w:w="1731"/>
            <w:shd w:val="clear" w:color="auto" w:fill="F2F5F9"/>
          </w:tcPr>
          <w:p>
            <w:pPr>
              <w:spacing w:after="20"/>
            </w:pPr>
            <w:r/>
            <w:r>
              <w:rPr>
                <w:sz w:val="19"/>
              </w:rPr>
              <w:t>Included in full</w:t>
            </w:r>
          </w:p>
        </w:tc>
        <w:tc>
          <w:tcPr>
            <w:tcW w:type="dxa" w:w="4638"/>
            <w:shd w:val="clear" w:color="auto" w:fill="F2F5F9"/>
          </w:tcPr>
          <w:p>
            <w:pPr>
              <w:spacing w:after="20"/>
            </w:pPr>
            <w:r/>
            <w:r>
              <w:rPr>
                <w:sz w:val="19"/>
              </w:rPr>
              <w:t>A2 (drivers) and A3 (offer effectiveness) are inferential and causal questions.</w:t>
            </w:r>
          </w:p>
        </w:tc>
      </w:tr>
      <w:tr>
        <w:tc>
          <w:tcPr>
            <w:tcW w:type="dxa" w:w="3269"/>
          </w:tcPr>
          <w:p>
            <w:pPr>
              <w:spacing w:after="20"/>
            </w:pPr>
            <w:r/>
            <w:r>
              <w:rPr>
                <w:sz w:val="19"/>
              </w:rPr>
              <w:t>15–17</w:t>
            </w:r>
          </w:p>
        </w:tc>
        <w:tc>
          <w:tcPr>
            <w:tcW w:type="dxa" w:w="1731"/>
          </w:tcPr>
          <w:p>
            <w:pPr>
              <w:spacing w:after="20"/>
            </w:pPr>
            <w:r/>
            <w:r>
              <w:rPr>
                <w:sz w:val="19"/>
              </w:rPr>
              <w:t>Included</w:t>
            </w:r>
          </w:p>
        </w:tc>
        <w:tc>
          <w:tcPr>
            <w:tcW w:type="dxa" w:w="4638"/>
          </w:tcPr>
          <w:p>
            <w:pPr>
              <w:spacing w:after="20"/>
            </w:pPr>
            <w:r/>
            <w:r>
              <w:rPr>
                <w:sz w:val="19"/>
              </w:rPr>
              <w:t>Segment robustness, fairness, explainability, deployment and monitoring matter for a customer-facing regulated bank.</w:t>
            </w:r>
          </w:p>
        </w:tc>
      </w:tr>
      <w:tr>
        <w:tc>
          <w:tcPr>
            <w:tcW w:type="dxa" w:w="3269"/>
            <w:shd w:val="clear" w:color="auto" w:fill="F2F5F9"/>
          </w:tcPr>
          <w:p>
            <w:pPr>
              <w:spacing w:after="20"/>
            </w:pPr>
            <w:r/>
            <w:r>
              <w:rPr>
                <w:sz w:val="19"/>
              </w:rPr>
              <w:t>18–21</w:t>
            </w:r>
          </w:p>
        </w:tc>
        <w:tc>
          <w:tcPr>
            <w:tcW w:type="dxa" w:w="1731"/>
            <w:shd w:val="clear" w:color="auto" w:fill="F2F5F9"/>
          </w:tcPr>
          <w:p>
            <w:pPr>
              <w:spacing w:after="20"/>
            </w:pPr>
            <w:r/>
            <w:r>
              <w:rPr>
                <w:sz w:val="19"/>
              </w:rPr>
              <w:t>Included</w:t>
            </w:r>
          </w:p>
        </w:tc>
        <w:tc>
          <w:tcPr>
            <w:tcW w:type="dxa" w:w="4638"/>
            <w:shd w:val="clear" w:color="auto" w:fill="F2F5F9"/>
          </w:tcPr>
          <w:p>
            <w:pPr>
              <w:spacing w:after="20"/>
            </w:pPr>
            <w:r/>
            <w:r>
              <w:rPr>
                <w:sz w:val="19"/>
              </w:rPr>
              <w:t>Risks, roadmap, decision log and references.</w:t>
            </w:r>
          </w:p>
        </w:tc>
      </w:tr>
      <w:tr>
        <w:tc>
          <w:tcPr>
            <w:tcW w:type="dxa" w:w="3269"/>
          </w:tcPr>
          <w:p>
            <w:pPr>
              <w:spacing w:after="20"/>
            </w:pPr>
            <w:r/>
            <w:r>
              <w:rPr>
                <w:sz w:val="19"/>
              </w:rPr>
              <w:t>Hyperparameter detail</w:t>
            </w:r>
          </w:p>
        </w:tc>
        <w:tc>
          <w:tcPr>
            <w:tcW w:type="dxa" w:w="1731"/>
          </w:tcPr>
          <w:p>
            <w:pPr>
              <w:spacing w:after="20"/>
            </w:pPr>
            <w:r/>
            <w:r>
              <w:rPr>
                <w:sz w:val="19"/>
              </w:rPr>
              <w:t>Condensed</w:t>
            </w:r>
          </w:p>
        </w:tc>
        <w:tc>
          <w:tcPr>
            <w:tcW w:type="dxa" w:w="4638"/>
          </w:tcPr>
          <w:p>
            <w:pPr>
              <w:spacing w:after="20"/>
            </w:pPr>
            <w:r/>
            <w:r>
              <w:rPr>
                <w:sz w:val="19"/>
              </w:rPr>
              <w:t>Detailed tuning applies only to A1 and the later uplift model.</w:t>
            </w:r>
          </w:p>
        </w:tc>
      </w:tr>
      <w:tr>
        <w:tc>
          <w:tcPr>
            <w:tcW w:type="dxa" w:w="3269"/>
            <w:shd w:val="clear" w:color="auto" w:fill="F2F5F9"/>
          </w:tcPr>
          <w:p>
            <w:pPr>
              <w:spacing w:after="20"/>
            </w:pPr>
            <w:r/>
            <w:r>
              <w:rPr>
                <w:sz w:val="19"/>
              </w:rPr>
              <w:t>Healthcare/retail packs</w:t>
            </w:r>
          </w:p>
        </w:tc>
        <w:tc>
          <w:tcPr>
            <w:tcW w:type="dxa" w:w="1731"/>
            <w:shd w:val="clear" w:color="auto" w:fill="F2F5F9"/>
          </w:tcPr>
          <w:p>
            <w:pPr>
              <w:spacing w:after="20"/>
            </w:pPr>
            <w:r/>
            <w:r>
              <w:rPr>
                <w:sz w:val="19"/>
              </w:rPr>
              <w:t>Not used</w:t>
            </w:r>
          </w:p>
        </w:tc>
        <w:tc>
          <w:tcPr>
            <w:tcW w:type="dxa" w:w="4638"/>
            <w:shd w:val="clear" w:color="auto" w:fill="F2F5F9"/>
          </w:tcPr>
          <w:p>
            <w:pPr>
              <w:spacing w:after="20"/>
            </w:pPr>
            <w:r/>
            <w:r>
              <w:rPr>
                <w:sz w:val="19"/>
              </w:rPr>
              <w:t>BFSI domain pack applied.</w:t>
            </w:r>
          </w:p>
        </w:tc>
      </w:tr>
    </w:tbl>
    <w:p>
      <w:pPr>
        <w:spacing w:after="40"/>
      </w:pPr>
    </w:p>
    <w:p>
      <w:r>
        <w:rPr>
          <w:b/>
        </w:rPr>
        <w:t>Plain-language glossary.</w:t>
      </w:r>
      <w:r>
        <w:rPr/>
        <w:t xml:space="preserve"> </w:t>
      </w:r>
      <w:r>
        <w:rPr>
          <w:i/>
        </w:rPr>
        <w:t>Precision@K / lift:</w:t>
      </w:r>
      <w:r>
        <w:rPr/>
        <w:t xml:space="preserve"> of the K customers called, the share who would have left (lift = that share divided by the overall rate). </w:t>
      </w:r>
      <w:r>
        <w:rPr>
          <w:i/>
        </w:rPr>
        <w:t>Embargo:</w:t>
      </w:r>
      <w:r>
        <w:rPr/>
        <w:t xml:space="preserve"> a deliberate time gap so training labels never overlap the evaluation period. </w:t>
      </w:r>
      <w:r>
        <w:rPr>
          <w:i/>
        </w:rPr>
        <w:t>ITT (intention-to-treat):</w:t>
      </w:r>
      <w:r>
        <w:rPr/>
        <w:t xml:space="preserve"> compare customers by what they were assigned, whether or not the call connected. </w:t>
      </w:r>
      <w:r>
        <w:rPr>
          <w:i/>
        </w:rPr>
        <w:t>Uplift:</w:t>
      </w:r>
      <w:r>
        <w:rPr/>
        <w:t xml:space="preserve"> how much a call changes the chance of leaving for a given customer. </w:t>
      </w:r>
      <w:r>
        <w:rPr>
          <w:i/>
        </w:rPr>
        <w:t>PSI:</w:t>
      </w:r>
      <w:r>
        <w:rPr/>
        <w:t xml:space="preserve"> a score showing how far today's data has drifted from the data the model was built on. </w:t>
      </w:r>
      <w:r>
        <w:rPr>
          <w:i/>
        </w:rPr>
        <w:t>WoE:</w:t>
      </w:r>
      <w:r>
        <w:rPr/>
        <w:t xml:space="preserve"> a way of binning variables for transparent scorecard-style models.</w:t>
      </w:r>
    </w:p>
    <w:p>
      <w:r>
        <w:rPr/>
        <w:t xml:space="preserve">Depth: </w:t>
      </w:r>
      <w:r>
        <w:rPr>
          <w:b/>
        </w:rPr>
        <w:t>Standard</w:t>
      </w:r>
      <w:r>
        <w:rPr/>
        <w:t>. The brief has an identifiable decision, but the client was unavailable, so key definitions are labelled assumptions in §4.</w:t>
      </w:r>
    </w:p>
    <w:p>
      <w:pPr>
        <w:pStyle w:val="Heading2"/>
      </w:pPr>
      <w:r>
        <w:rPr/>
        <w:t>2. Business Problem &amp; Decision Framing</w:t>
      </w:r>
    </w:p>
    <w:p>
      <w:r>
        <w:rPr>
          <w:b/>
        </w:rPr>
        <w:t>Plain-language restatement.</w:t>
      </w:r>
      <w:r>
        <w:rPr/>
        <w:t xml:space="preserve"> The bank loses a small share of its card customers each month. It can phone about 20,000 customers a month with an offer. It wants to know who is about to leave, why they leave, and whether the offers keep them.</w:t>
      </w:r>
    </w:p>
    <w:tbl>
      <w:tblPr>
        <w:tblStyle w:val="TableGrid"/>
        <w:tblW w:type="auto" w:w="0"/>
        <w:jc w:val="center"/>
        <w:tblLayout w:type="fixed"/>
        <w:tblLook w:firstColumn="1" w:firstRow="1" w:lastColumn="0" w:lastRow="0" w:noHBand="0" w:noVBand="1" w:val="04A0"/>
        <w:tblLayout w:type="fixed"/>
      </w:tblPr>
      <w:tblGrid>
        <w:gridCol w:w="1968"/>
        <w:gridCol w:w="5523"/>
        <w:gridCol w:w="2147"/>
      </w:tblGrid>
      <w:tr>
        <w:trPr>
          <w:tblHeader w:val="true"/>
        </w:trPr>
        <w:tc>
          <w:tcPr>
            <w:tcW w:type="dxa" w:w="1968"/>
            <w:shd w:val="clear" w:color="auto" w:fill="1F3A5F"/>
          </w:tcPr>
          <w:p>
            <w:r/>
            <w:r>
              <w:rPr>
                <w:b/>
                <w:color w:val="FFFFFF"/>
                <w:sz w:val="19"/>
              </w:rPr>
              <w:t>Element</w:t>
            </w:r>
          </w:p>
        </w:tc>
        <w:tc>
          <w:tcPr>
            <w:tcW w:type="dxa" w:w="5523"/>
            <w:shd w:val="clear" w:color="auto" w:fill="1F3A5F"/>
          </w:tcPr>
          <w:p>
            <w:r/>
            <w:r>
              <w:rPr>
                <w:b/>
                <w:color w:val="FFFFFF"/>
                <w:sz w:val="19"/>
              </w:rPr>
              <w:t>Definition for this case</w:t>
            </w:r>
          </w:p>
        </w:tc>
        <w:tc>
          <w:tcPr>
            <w:tcW w:type="dxa" w:w="2147"/>
            <w:shd w:val="clear" w:color="auto" w:fill="1F3A5F"/>
          </w:tcPr>
          <w:p>
            <w:r/>
            <w:r>
              <w:rPr>
                <w:b/>
                <w:color w:val="FFFFFF"/>
                <w:sz w:val="19"/>
              </w:rPr>
              <w:t>Status</w:t>
            </w:r>
          </w:p>
        </w:tc>
      </w:tr>
      <w:tr>
        <w:tc>
          <w:tcPr>
            <w:tcW w:type="dxa" w:w="1968"/>
          </w:tcPr>
          <w:p>
            <w:pPr>
              <w:spacing w:after="20"/>
            </w:pPr>
            <w:r/>
            <w:r>
              <w:rPr>
                <w:sz w:val="19"/>
              </w:rPr>
              <w:t>Decision</w:t>
            </w:r>
          </w:p>
        </w:tc>
        <w:tc>
          <w:tcPr>
            <w:tcW w:type="dxa" w:w="5523"/>
          </w:tcPr>
          <w:p>
            <w:pPr>
              <w:spacing w:after="20"/>
            </w:pPr>
            <w:r/>
            <w:r>
              <w:rPr>
                <w:sz w:val="19"/>
              </w:rPr>
              <w:t>Monthly choice of whom to call (≤20,000) and which offer to make</w:t>
            </w:r>
          </w:p>
        </w:tc>
        <w:tc>
          <w:tcPr>
            <w:tcW w:type="dxa" w:w="2147"/>
          </w:tcPr>
          <w:p>
            <w:pPr>
              <w:spacing w:after="20"/>
            </w:pPr>
            <w:r/>
            <w:r>
              <w:rPr>
                <w:b/>
                <w:color w:val="1E7B34"/>
                <w:sz w:val="19"/>
              </w:rPr>
              <w:t>[Confirmed]</w:t>
            </w:r>
          </w:p>
        </w:tc>
      </w:tr>
      <w:tr>
        <w:tc>
          <w:tcPr>
            <w:tcW w:type="dxa" w:w="1968"/>
            <w:shd w:val="clear" w:color="auto" w:fill="F2F5F9"/>
          </w:tcPr>
          <w:p>
            <w:pPr>
              <w:spacing w:after="20"/>
            </w:pPr>
            <w:r/>
            <w:r>
              <w:rPr>
                <w:sz w:val="19"/>
              </w:rPr>
              <w:t>Decision owner</w:t>
            </w:r>
          </w:p>
        </w:tc>
        <w:tc>
          <w:tcPr>
            <w:tcW w:type="dxa" w:w="5523"/>
            <w:shd w:val="clear" w:color="auto" w:fill="F2F5F9"/>
          </w:tcPr>
          <w:p>
            <w:pPr>
              <w:spacing w:after="20"/>
            </w:pPr>
            <w:r/>
            <w:r>
              <w:rPr>
                <w:sz w:val="19"/>
              </w:rPr>
              <w:t>Retention / portfolio marketing team</w:t>
            </w:r>
          </w:p>
        </w:tc>
        <w:tc>
          <w:tcPr>
            <w:tcW w:type="dxa" w:w="2147"/>
            <w:shd w:val="clear" w:color="auto" w:fill="F2F5F9"/>
          </w:tcPr>
          <w:p>
            <w:pPr>
              <w:spacing w:after="20"/>
            </w:pPr>
            <w:r/>
            <w:r>
              <w:rPr>
                <w:b/>
                <w:color w:val="B36B00"/>
                <w:sz w:val="19"/>
              </w:rPr>
              <w:t>[Assumed]</w:t>
            </w:r>
          </w:p>
        </w:tc>
      </w:tr>
      <w:tr>
        <w:tc>
          <w:tcPr>
            <w:tcW w:type="dxa" w:w="1968"/>
          </w:tcPr>
          <w:p>
            <w:pPr>
              <w:spacing w:after="20"/>
            </w:pPr>
            <w:r/>
            <w:r>
              <w:rPr>
                <w:sz w:val="19"/>
              </w:rPr>
              <w:t>Prediction point (t0)</w:t>
            </w:r>
          </w:p>
        </w:tc>
        <w:tc>
          <w:tcPr>
            <w:tcW w:type="dxa" w:w="5523"/>
          </w:tcPr>
          <w:p>
            <w:pPr>
              <w:spacing w:after="20"/>
            </w:pPr>
            <w:r/>
            <w:r>
              <w:rPr>
                <w:sz w:val="19"/>
              </w:rPr>
              <w:t>Month-end snapshot of each active card. Calls happen during the following month, so the earliest call is about t0 + L days (L = list-to-call lead time, Q7).</w:t>
            </w:r>
          </w:p>
        </w:tc>
        <w:tc>
          <w:tcPr>
            <w:tcW w:type="dxa" w:w="2147"/>
          </w:tcPr>
          <w:p>
            <w:pPr>
              <w:spacing w:after="20"/>
            </w:pPr>
            <w:r/>
            <w:r>
              <w:rPr>
                <w:b/>
                <w:color w:val="B36B00"/>
                <w:sz w:val="19"/>
              </w:rPr>
              <w:t>[Assumed]</w:t>
            </w:r>
          </w:p>
        </w:tc>
      </w:tr>
      <w:tr>
        <w:tc>
          <w:tcPr>
            <w:tcW w:type="dxa" w:w="1968"/>
            <w:shd w:val="clear" w:color="auto" w:fill="F2F5F9"/>
          </w:tcPr>
          <w:p>
            <w:pPr>
              <w:spacing w:after="20"/>
            </w:pPr>
            <w:r/>
            <w:r>
              <w:rPr>
                <w:sz w:val="19"/>
              </w:rPr>
              <w:t>Action space</w:t>
            </w:r>
          </w:p>
        </w:tc>
        <w:tc>
          <w:tcPr>
            <w:tcW w:type="dxa" w:w="5523"/>
            <w:shd w:val="clear" w:color="auto" w:fill="F2F5F9"/>
          </w:tcPr>
          <w:p>
            <w:pPr>
              <w:spacing w:after="20"/>
            </w:pPr>
            <w:r/>
            <w:r>
              <w:rPr>
                <w:sz w:val="19"/>
              </w:rPr>
              <w:t>Call with fee waiver, call with reward points, or no call</w:t>
            </w:r>
          </w:p>
        </w:tc>
        <w:tc>
          <w:tcPr>
            <w:tcW w:type="dxa" w:w="2147"/>
            <w:shd w:val="clear" w:color="auto" w:fill="F2F5F9"/>
          </w:tcPr>
          <w:p>
            <w:pPr>
              <w:spacing w:after="20"/>
            </w:pPr>
            <w:r/>
            <w:r>
              <w:rPr>
                <w:b/>
                <w:color w:val="1E7B34"/>
                <w:sz w:val="19"/>
              </w:rPr>
              <w:t>[Confirmed]</w:t>
            </w:r>
          </w:p>
        </w:tc>
      </w:tr>
      <w:tr>
        <w:tc>
          <w:tcPr>
            <w:tcW w:type="dxa" w:w="1968"/>
          </w:tcPr>
          <w:p>
            <w:pPr>
              <w:spacing w:after="20"/>
            </w:pPr>
            <w:r/>
            <w:r>
              <w:rPr>
                <w:sz w:val="19"/>
              </w:rPr>
              <w:t>Capacity</w:t>
            </w:r>
          </w:p>
        </w:tc>
        <w:tc>
          <w:tcPr>
            <w:tcW w:type="dxa" w:w="5523"/>
          </w:tcPr>
          <w:p>
            <w:pPr>
              <w:spacing w:after="20"/>
            </w:pPr>
            <w:r/>
            <w:r>
              <w:rPr>
                <w:sz w:val="19"/>
              </w:rPr>
              <w:t>~20,000 calls per month</w:t>
            </w:r>
          </w:p>
        </w:tc>
        <w:tc>
          <w:tcPr>
            <w:tcW w:type="dxa" w:w="2147"/>
          </w:tcPr>
          <w:p>
            <w:pPr>
              <w:spacing w:after="20"/>
            </w:pPr>
            <w:r/>
            <w:r>
              <w:rPr>
                <w:b/>
                <w:color w:val="1E7B34"/>
                <w:sz w:val="19"/>
              </w:rPr>
              <w:t>[Confirmed]</w:t>
            </w:r>
          </w:p>
        </w:tc>
      </w:tr>
      <w:tr>
        <w:tc>
          <w:tcPr>
            <w:tcW w:type="dxa" w:w="1968"/>
            <w:shd w:val="clear" w:color="auto" w:fill="F2F5F9"/>
          </w:tcPr>
          <w:p>
            <w:pPr>
              <w:spacing w:after="20"/>
            </w:pPr>
            <w:r/>
            <w:r>
              <w:rPr>
                <w:sz w:val="19"/>
              </w:rPr>
              <w:t>Unit of analysis</w:t>
            </w:r>
          </w:p>
        </w:tc>
        <w:tc>
          <w:tcPr>
            <w:tcW w:type="dxa" w:w="5523"/>
            <w:shd w:val="clear" w:color="auto" w:fill="F2F5F9"/>
          </w:tcPr>
          <w:p>
            <w:pPr>
              <w:spacing w:after="20"/>
            </w:pPr>
            <w:r/>
            <w:r>
              <w:rPr>
                <w:sz w:val="19"/>
              </w:rPr>
              <w:t>Customer-card snapshot (customer–month). Customer is the resampling unit for confidence intervals.</w:t>
            </w:r>
          </w:p>
        </w:tc>
        <w:tc>
          <w:tcPr>
            <w:tcW w:type="dxa" w:w="2147"/>
            <w:shd w:val="clear" w:color="auto" w:fill="F2F5F9"/>
          </w:tcPr>
          <w:p>
            <w:pPr>
              <w:spacing w:after="20"/>
            </w:pPr>
            <w:r/>
            <w:r>
              <w:rPr>
                <w:b/>
                <w:color w:val="B36B00"/>
                <w:sz w:val="19"/>
              </w:rPr>
              <w:t>[Assumed]</w:t>
            </w:r>
            <w:r>
              <w:rPr>
                <w:sz w:val="19"/>
              </w:rPr>
              <w:t>, see Q3</w:t>
            </w:r>
          </w:p>
        </w:tc>
      </w:tr>
      <w:tr>
        <w:tc>
          <w:tcPr>
            <w:tcW w:type="dxa" w:w="1968"/>
          </w:tcPr>
          <w:p>
            <w:pPr>
              <w:spacing w:after="20"/>
            </w:pPr>
            <w:r/>
            <w:r>
              <w:rPr>
                <w:sz w:val="19"/>
              </w:rPr>
              <w:t>Population</w:t>
            </w:r>
          </w:p>
        </w:tc>
        <w:tc>
          <w:tcPr>
            <w:tcW w:type="dxa" w:w="5523"/>
          </w:tcPr>
          <w:p>
            <w:pPr>
              <w:spacing w:after="20"/>
            </w:pPr>
            <w:r/>
            <w:r>
              <w:rPr>
                <w:sz w:val="19"/>
              </w:rPr>
              <w:t>Active, in-good-standing cards at t0. Excludes cards already closed, bank-initiated closures, deceased, fraud-blocked, charged-off and 90+ DPD cases.</w:t>
            </w:r>
          </w:p>
        </w:tc>
        <w:tc>
          <w:tcPr>
            <w:tcW w:type="dxa" w:w="2147"/>
          </w:tcPr>
          <w:p>
            <w:pPr>
              <w:spacing w:after="20"/>
            </w:pPr>
            <w:r/>
            <w:r>
              <w:rPr>
                <w:b/>
                <w:color w:val="B36B00"/>
                <w:sz w:val="19"/>
              </w:rPr>
              <w:t>[Assumed]</w:t>
            </w:r>
          </w:p>
        </w:tc>
      </w:tr>
      <w:tr>
        <w:tc>
          <w:tcPr>
            <w:tcW w:type="dxa" w:w="1968"/>
            <w:shd w:val="clear" w:color="auto" w:fill="F2F5F9"/>
          </w:tcPr>
          <w:p>
            <w:pPr>
              <w:spacing w:after="20"/>
            </w:pPr>
            <w:r/>
            <w:r>
              <w:rPr>
                <w:sz w:val="19"/>
              </w:rPr>
              <w:t>Outcome (A1)</w:t>
            </w:r>
          </w:p>
        </w:tc>
        <w:tc>
          <w:tcPr>
            <w:tcW w:type="dxa" w:w="5523"/>
            <w:shd w:val="clear" w:color="auto" w:fill="F2F5F9"/>
          </w:tcPr>
          <w:p>
            <w:pPr>
              <w:spacing w:after="20"/>
            </w:pPr>
            <w:r/>
            <w:r>
              <w:rPr>
                <w:sz w:val="19"/>
              </w:rPr>
              <w:t>Customer-initiated (voluntary) card closure within 3 months after t0</w:t>
            </w:r>
          </w:p>
        </w:tc>
        <w:tc>
          <w:tcPr>
            <w:tcW w:type="dxa" w:w="2147"/>
            <w:shd w:val="clear" w:color="auto" w:fill="F2F5F9"/>
          </w:tcPr>
          <w:p>
            <w:pPr>
              <w:spacing w:after="20"/>
            </w:pPr>
            <w:r/>
            <w:r>
              <w:rPr>
                <w:sz w:val="19"/>
              </w:rPr>
              <w:t xml:space="preserve">[Confirmed horizon]; exact definition </w:t>
            </w:r>
            <w:r>
              <w:rPr>
                <w:b/>
                <w:color w:val="C0392B"/>
                <w:sz w:val="19"/>
              </w:rPr>
              <w:t>[To investigate]</w:t>
            </w:r>
          </w:p>
        </w:tc>
      </w:tr>
      <w:tr>
        <w:tc>
          <w:tcPr>
            <w:tcW w:type="dxa" w:w="1968"/>
          </w:tcPr>
          <w:p>
            <w:pPr>
              <w:spacing w:after="20"/>
            </w:pPr>
            <w:r/>
            <w:r>
              <w:rPr>
                <w:sz w:val="19"/>
              </w:rPr>
              <w:t>Base rate</w:t>
            </w:r>
          </w:p>
        </w:tc>
        <w:tc>
          <w:tcPr>
            <w:tcW w:type="dxa" w:w="5523"/>
          </w:tcPr>
          <w:p>
            <w:pPr>
              <w:spacing w:after="20"/>
            </w:pPr>
            <w:r/>
            <w:r>
              <w:rPr>
                <w:sz w:val="19"/>
              </w:rPr>
              <w:t>~1.5% monthly, so ≈4.4% over 3 months (derived)</w:t>
            </w:r>
          </w:p>
        </w:tc>
        <w:tc>
          <w:tcPr>
            <w:tcW w:type="dxa" w:w="2147"/>
          </w:tcPr>
          <w:p>
            <w:pPr>
              <w:spacing w:after="20"/>
            </w:pPr>
            <w:r/>
            <w:r>
              <w:rPr>
                <w:sz w:val="19"/>
              </w:rPr>
              <w:t>[Confirmed monthly]; 3-month figure derived</w:t>
            </w:r>
          </w:p>
        </w:tc>
      </w:tr>
      <w:tr>
        <w:tc>
          <w:tcPr>
            <w:tcW w:type="dxa" w:w="1968"/>
            <w:shd w:val="clear" w:color="auto" w:fill="F2F5F9"/>
          </w:tcPr>
          <w:p>
            <w:pPr>
              <w:spacing w:after="20"/>
            </w:pPr>
            <w:r/>
            <w:r>
              <w:rPr>
                <w:sz w:val="19"/>
              </w:rPr>
              <w:t>Estimands</w:t>
            </w:r>
          </w:p>
        </w:tc>
        <w:tc>
          <w:tcPr>
            <w:tcW w:type="dxa" w:w="5523"/>
            <w:shd w:val="clear" w:color="auto" w:fill="F2F5F9"/>
          </w:tcPr>
          <w:p>
            <w:pPr>
              <w:spacing w:after="20"/>
            </w:pPr>
            <w:r/>
            <w:r>
              <w:rPr>
                <w:sz w:val="19"/>
              </w:rPr>
              <w:t>A2: associations. A3: ITT effect and per-reached effect of each offer vs no call on 90-day voluntary closure.</w:t>
            </w:r>
          </w:p>
        </w:tc>
        <w:tc>
          <w:tcPr>
            <w:tcW w:type="dxa" w:w="2147"/>
            <w:shd w:val="clear" w:color="auto" w:fill="F2F5F9"/>
          </w:tcPr>
          <w:p>
            <w:pPr>
              <w:spacing w:after="20"/>
            </w:pPr>
            <w:r/>
            <w:r>
              <w:rPr>
                <w:sz w:val="19"/>
              </w:rPr>
              <w:t>Defined here</w:t>
            </w:r>
          </w:p>
        </w:tc>
      </w:tr>
      <w:tr>
        <w:tc>
          <w:tcPr>
            <w:tcW w:type="dxa" w:w="1968"/>
          </w:tcPr>
          <w:p>
            <w:pPr>
              <w:spacing w:after="20"/>
            </w:pPr>
            <w:r/>
            <w:r>
              <w:rPr>
                <w:sz w:val="19"/>
              </w:rPr>
              <w:t>Cost of errors</w:t>
            </w:r>
          </w:p>
        </w:tc>
        <w:tc>
          <w:tcPr>
            <w:tcW w:type="dxa" w:w="5523"/>
          </w:tcPr>
          <w:p>
            <w:pPr>
              <w:spacing w:after="20"/>
            </w:pPr>
            <w:r/>
            <w:r>
              <w:rPr>
                <w:sz w:val="19"/>
              </w:rPr>
              <w:t xml:space="preserve">False positive: a wasted call plus a possible unneeded offer cost. False negative: lost card margin. Both </w:t>
            </w:r>
            <w:r>
              <w:rPr>
                <w:b/>
                <w:color w:val="C0392B"/>
                <w:sz w:val="19"/>
              </w:rPr>
              <w:t>[TBD with client]</w:t>
            </w:r>
            <w:r>
              <w:rPr>
                <w:sz w:val="19"/>
              </w:rPr>
              <w:t>.</w:t>
            </w:r>
          </w:p>
        </w:tc>
        <w:tc>
          <w:tcPr>
            <w:tcW w:type="dxa" w:w="2147"/>
          </w:tcPr>
          <w:p>
            <w:pPr>
              <w:spacing w:after="20"/>
            </w:pPr>
            <w:r/>
            <w:r>
              <w:rPr>
                <w:b/>
                <w:color w:val="C0392B"/>
                <w:sz w:val="19"/>
              </w:rPr>
              <w:t>[TBD]</w:t>
            </w:r>
          </w:p>
        </w:tc>
      </w:tr>
      <w:tr>
        <w:tc>
          <w:tcPr>
            <w:tcW w:type="dxa" w:w="1968"/>
            <w:shd w:val="clear" w:color="auto" w:fill="F2F5F9"/>
          </w:tcPr>
          <w:p>
            <w:pPr>
              <w:spacing w:after="20"/>
            </w:pPr>
            <w:r/>
            <w:r>
              <w:rPr>
                <w:sz w:val="19"/>
              </w:rPr>
              <w:t>Success criteria</w:t>
            </w:r>
          </w:p>
        </w:tc>
        <w:tc>
          <w:tcPr>
            <w:tcW w:type="dxa" w:w="5523"/>
            <w:shd w:val="clear" w:color="auto" w:fill="F2F5F9"/>
          </w:tcPr>
          <w:p>
            <w:pPr>
              <w:spacing w:after="20"/>
            </w:pPr>
            <w:r/>
            <w:r>
              <w:rPr>
                <w:sz w:val="19"/>
              </w:rPr>
              <w:t xml:space="preserve">Precision/lift at 20,000 beats the agreed baseline. Experiment shows incremental retention with positive net value. All values </w:t>
            </w:r>
            <w:r>
              <w:rPr>
                <w:b/>
                <w:color w:val="C0392B"/>
                <w:sz w:val="19"/>
              </w:rPr>
              <w:t>[TBD with client]</w:t>
            </w:r>
            <w:r>
              <w:rPr>
                <w:sz w:val="19"/>
              </w:rPr>
              <w:t>.</w:t>
            </w:r>
          </w:p>
        </w:tc>
        <w:tc>
          <w:tcPr>
            <w:tcW w:type="dxa" w:w="2147"/>
            <w:shd w:val="clear" w:color="auto" w:fill="F2F5F9"/>
          </w:tcPr>
          <w:p>
            <w:pPr>
              <w:spacing w:after="20"/>
            </w:pPr>
            <w:r/>
            <w:r>
              <w:rPr>
                <w:b/>
                <w:color w:val="C0392B"/>
                <w:sz w:val="19"/>
              </w:rPr>
              <w:t>[TBD]</w:t>
            </w:r>
          </w:p>
        </w:tc>
      </w:tr>
      <w:tr>
        <w:tc>
          <w:tcPr>
            <w:tcW w:type="dxa" w:w="1968"/>
          </w:tcPr>
          <w:p>
            <w:pPr>
              <w:spacing w:after="20"/>
            </w:pPr>
            <w:r/>
            <w:r>
              <w:rPr>
                <w:sz w:val="19"/>
              </w:rPr>
              <w:t>Constraints</w:t>
            </w:r>
          </w:p>
        </w:tc>
        <w:tc>
          <w:tcPr>
            <w:tcW w:type="dxa" w:w="5523"/>
          </w:tcPr>
          <w:p>
            <w:pPr>
              <w:spacing w:after="20"/>
            </w:pPr>
            <w:r/>
            <w:r>
              <w:rPr>
                <w:sz w:val="19"/>
              </w:rPr>
              <w:t>RBI and DPDP data and consent rules, telemarketing and do-not-call rules, fair-treatment of customers, model risk governance (confirm with compliance)</w:t>
            </w:r>
          </w:p>
        </w:tc>
        <w:tc>
          <w:tcPr>
            <w:tcW w:type="dxa" w:w="2147"/>
          </w:tcPr>
          <w:p>
            <w:pPr>
              <w:spacing w:after="20"/>
            </w:pPr>
            <w:r/>
            <w:r>
              <w:rPr>
                <w:b/>
                <w:color w:val="B36B00"/>
                <w:sz w:val="19"/>
              </w:rPr>
              <w:t>[Assumed]</w:t>
            </w:r>
          </w:p>
        </w:tc>
      </w:tr>
    </w:tbl>
    <w:p>
      <w:pPr>
        <w:spacing w:after="40"/>
      </w:pPr>
    </w:p>
    <w:p>
      <w:pPr>
        <w:pStyle w:val="Heading2"/>
      </w:pPr>
      <w:r>
        <w:rPr/>
        <w:t>3. Analytical Problem Classification</w:t>
      </w:r>
    </w:p>
    <w:tbl>
      <w:tblPr>
        <w:tblStyle w:val="TableGrid"/>
        <w:tblW w:type="auto" w:w="0"/>
        <w:jc w:val="center"/>
        <w:tblLayout w:type="fixed"/>
        <w:tblLook w:firstColumn="1" w:firstRow="1" w:lastColumn="0" w:lastRow="0" w:noHBand="0" w:noVBand="1" w:val="04A0"/>
        <w:tblLayout w:type="fixed"/>
      </w:tblPr>
      <w:tblGrid>
        <w:gridCol w:w="1488"/>
        <w:gridCol w:w="1953"/>
        <w:gridCol w:w="3756"/>
        <w:gridCol w:w="2441"/>
      </w:tblGrid>
      <w:tr>
        <w:trPr>
          <w:tblHeader w:val="true"/>
        </w:trPr>
        <w:tc>
          <w:tcPr>
            <w:tcW w:type="dxa" w:w="1488"/>
            <w:shd w:val="clear" w:color="auto" w:fill="1F3A5F"/>
          </w:tcPr>
          <w:p>
            <w:r/>
            <w:r>
              <w:rPr>
                <w:b/>
                <w:color w:val="FFFFFF"/>
                <w:sz w:val="19"/>
              </w:rPr>
              <w:t>Analysis</w:t>
            </w:r>
          </w:p>
        </w:tc>
        <w:tc>
          <w:tcPr>
            <w:tcW w:type="dxa" w:w="1953"/>
            <w:shd w:val="clear" w:color="auto" w:fill="1F3A5F"/>
          </w:tcPr>
          <w:p>
            <w:r/>
            <w:r>
              <w:rPr>
                <w:b/>
                <w:color w:val="FFFFFF"/>
                <w:sz w:val="19"/>
              </w:rPr>
              <w:t>Lens</w:t>
            </w:r>
          </w:p>
        </w:tc>
        <w:tc>
          <w:tcPr>
            <w:tcW w:type="dxa" w:w="3756"/>
            <w:shd w:val="clear" w:color="auto" w:fill="1F3A5F"/>
          </w:tcPr>
          <w:p>
            <w:r/>
            <w:r>
              <w:rPr>
                <w:b/>
                <w:color w:val="FFFFFF"/>
                <w:sz w:val="19"/>
              </w:rPr>
              <w:t>ML / statistical formulation</w:t>
            </w:r>
          </w:p>
        </w:tc>
        <w:tc>
          <w:tcPr>
            <w:tcW w:type="dxa" w:w="2441"/>
            <w:shd w:val="clear" w:color="auto" w:fill="1F3A5F"/>
          </w:tcPr>
          <w:p>
            <w:r/>
            <w:r>
              <w:rPr>
                <w:b/>
                <w:color w:val="FFFFFF"/>
                <w:sz w:val="19"/>
              </w:rPr>
              <w:t>Why</w:t>
            </w:r>
          </w:p>
        </w:tc>
      </w:tr>
      <w:tr>
        <w:tc>
          <w:tcPr>
            <w:tcW w:type="dxa" w:w="1488"/>
          </w:tcPr>
          <w:p>
            <w:pPr>
              <w:spacing w:after="20"/>
            </w:pPr>
            <w:r/>
            <w:r>
              <w:rPr>
                <w:b/>
                <w:sz w:val="19"/>
              </w:rPr>
              <w:t>A1</w:t>
            </w:r>
            <w:r>
              <w:rPr>
                <w:sz w:val="19"/>
              </w:rPr>
              <w:t xml:space="preserve"> Who will close within 3 months?</w:t>
            </w:r>
          </w:p>
        </w:tc>
        <w:tc>
          <w:tcPr>
            <w:tcW w:type="dxa" w:w="1953"/>
          </w:tcPr>
          <w:p>
            <w:pPr>
              <w:spacing w:after="20"/>
            </w:pPr>
            <w:r/>
            <w:r>
              <w:rPr>
                <w:sz w:val="19"/>
              </w:rPr>
              <w:t>Predictive</w:t>
            </w:r>
          </w:p>
        </w:tc>
        <w:tc>
          <w:tcPr>
            <w:tcW w:type="dxa" w:w="3756"/>
          </w:tcPr>
          <w:p>
            <w:pPr>
              <w:spacing w:after="20"/>
            </w:pPr>
            <w:r/>
            <w:r>
              <w:rPr>
                <w:sz w:val="19"/>
              </w:rPr>
              <w:t>Binary classification on monthly snapshots with a 3-month label window and calibrated probabilities. Ranking at top-K = 20,000.</w:t>
            </w:r>
          </w:p>
        </w:tc>
        <w:tc>
          <w:tcPr>
            <w:tcW w:type="dxa" w:w="2441"/>
          </w:tcPr>
          <w:p>
            <w:pPr>
              <w:spacing w:after="20"/>
            </w:pPr>
            <w:r/>
            <w:r>
              <w:rPr>
                <w:sz w:val="19"/>
              </w:rPr>
              <w:t>Capacity-constrained ranking decision</w:t>
            </w:r>
          </w:p>
        </w:tc>
      </w:tr>
      <w:tr>
        <w:tc>
          <w:tcPr>
            <w:tcW w:type="dxa" w:w="1488"/>
            <w:shd w:val="clear" w:color="auto" w:fill="F2F5F9"/>
          </w:tcPr>
          <w:p>
            <w:pPr>
              <w:spacing w:after="20"/>
            </w:pPr>
            <w:r/>
            <w:r>
              <w:rPr>
                <w:b/>
                <w:sz w:val="19"/>
              </w:rPr>
              <w:t>A2</w:t>
            </w:r>
            <w:r>
              <w:rPr>
                <w:sz w:val="19"/>
              </w:rPr>
              <w:t xml:space="preserve"> What drives churn?</w:t>
            </w:r>
          </w:p>
        </w:tc>
        <w:tc>
          <w:tcPr>
            <w:tcW w:type="dxa" w:w="1953"/>
            <w:shd w:val="clear" w:color="auto" w:fill="F2F5F9"/>
          </w:tcPr>
          <w:p>
            <w:pPr>
              <w:spacing w:after="20"/>
            </w:pPr>
            <w:r/>
            <w:r>
              <w:rPr>
                <w:sz w:val="19"/>
              </w:rPr>
              <w:t>Inferential (associational), with exploratory descriptive work</w:t>
            </w:r>
          </w:p>
        </w:tc>
        <w:tc>
          <w:tcPr>
            <w:tcW w:type="dxa" w:w="3756"/>
            <w:shd w:val="clear" w:color="auto" w:fill="F2F5F9"/>
          </w:tcPr>
          <w:p>
            <w:pPr>
              <w:spacing w:after="20"/>
            </w:pPr>
            <w:r/>
            <w:r>
              <w:rPr>
                <w:sz w:val="19"/>
              </w:rPr>
              <w:t>Survival / discrete-time hazard or logistic model with adjustment, plus SHAP on the GBM. Reported as "associated with".</w:t>
            </w:r>
          </w:p>
        </w:tc>
        <w:tc>
          <w:tcPr>
            <w:tcW w:type="dxa" w:w="2441"/>
            <w:shd w:val="clear" w:color="auto" w:fill="F2F5F9"/>
          </w:tcPr>
          <w:p>
            <w:pPr>
              <w:spacing w:after="20"/>
            </w:pPr>
            <w:r/>
            <w:r>
              <w:rPr>
                <w:sz w:val="19"/>
              </w:rPr>
              <w:t>Interpretation, not prediction</w:t>
            </w:r>
          </w:p>
        </w:tc>
      </w:tr>
      <w:tr>
        <w:tc>
          <w:tcPr>
            <w:tcW w:type="dxa" w:w="1488"/>
          </w:tcPr>
          <w:p>
            <w:pPr>
              <w:spacing w:after="20"/>
            </w:pPr>
            <w:r/>
            <w:r>
              <w:rPr>
                <w:b/>
                <w:sz w:val="19"/>
              </w:rPr>
              <w:t>A3</w:t>
            </w:r>
            <w:r>
              <w:rPr>
                <w:sz w:val="19"/>
              </w:rPr>
              <w:t xml:space="preserve"> Do the offers work?</w:t>
            </w:r>
          </w:p>
        </w:tc>
        <w:tc>
          <w:tcPr>
            <w:tcW w:type="dxa" w:w="1953"/>
          </w:tcPr>
          <w:p>
            <w:pPr>
              <w:spacing w:after="20"/>
            </w:pPr>
            <w:r/>
            <w:r>
              <w:rPr>
                <w:sz w:val="19"/>
              </w:rPr>
              <w:t>Causal</w:t>
            </w:r>
          </w:p>
        </w:tc>
        <w:tc>
          <w:tcPr>
            <w:tcW w:type="dxa" w:w="3756"/>
          </w:tcPr>
          <w:p>
            <w:pPr>
              <w:spacing w:after="20"/>
            </w:pPr>
            <w:r/>
            <w:r>
              <w:rPr>
                <w:sz w:val="19"/>
              </w:rPr>
              <w:t>Randomised controlled experiment (ITT, plus CACE via instrument). Later, uplift modelling on the randomised data.</w:t>
            </w:r>
          </w:p>
        </w:tc>
        <w:tc>
          <w:tcPr>
            <w:tcW w:type="dxa" w:w="2441"/>
          </w:tcPr>
          <w:p>
            <w:pPr>
              <w:spacing w:after="20"/>
            </w:pPr>
            <w:r/>
            <w:r>
              <w:rPr>
                <w:sz w:val="19"/>
              </w:rPr>
              <w:t>Only randomisation is credible; offers were not assigned at random historically</w:t>
            </w:r>
          </w:p>
        </w:tc>
      </w:tr>
      <w:tr>
        <w:tc>
          <w:tcPr>
            <w:tcW w:type="dxa" w:w="1488"/>
            <w:shd w:val="clear" w:color="auto" w:fill="F2F5F9"/>
          </w:tcPr>
          <w:p>
            <w:pPr>
              <w:spacing w:after="20"/>
            </w:pPr>
            <w:r/>
            <w:r>
              <w:rPr>
                <w:b/>
                <w:sz w:val="19"/>
              </w:rPr>
              <w:t>A4</w:t>
            </w:r>
            <w:r>
              <w:rPr>
                <w:sz w:val="19"/>
              </w:rPr>
              <w:t xml:space="preserve"> Whom to offer what (follow-on)</w:t>
            </w:r>
          </w:p>
        </w:tc>
        <w:tc>
          <w:tcPr>
            <w:tcW w:type="dxa" w:w="1953"/>
            <w:shd w:val="clear" w:color="auto" w:fill="F2F5F9"/>
          </w:tcPr>
          <w:p>
            <w:pPr>
              <w:spacing w:after="20"/>
            </w:pPr>
            <w:r/>
            <w:r>
              <w:rPr>
                <w:sz w:val="19"/>
              </w:rPr>
              <w:t>Prescriptive</w:t>
            </w:r>
          </w:p>
        </w:tc>
        <w:tc>
          <w:tcPr>
            <w:tcW w:type="dxa" w:w="3756"/>
            <w:shd w:val="clear" w:color="auto" w:fill="F2F5F9"/>
          </w:tcPr>
          <w:p>
            <w:pPr>
              <w:spacing w:after="20"/>
            </w:pPr>
            <w:r/>
            <w:r>
              <w:rPr>
                <w:sz w:val="19"/>
              </w:rPr>
              <w:t>Uplift / CATE model, then a value-based targeting policy</w:t>
            </w:r>
          </w:p>
        </w:tc>
        <w:tc>
          <w:tcPr>
            <w:tcW w:type="dxa" w:w="2441"/>
            <w:shd w:val="clear" w:color="auto" w:fill="F2F5F9"/>
          </w:tcPr>
          <w:p>
            <w:pPr>
              <w:spacing w:after="20"/>
            </w:pPr>
            <w:r/>
            <w:r>
              <w:rPr>
                <w:sz w:val="19"/>
              </w:rPr>
              <w:t>Depends on A3 data</w:t>
            </w:r>
          </w:p>
        </w:tc>
      </w:tr>
    </w:tbl>
    <w:p>
      <w:pPr>
        <w:spacing w:after="40"/>
      </w:pPr>
    </w:p>
    <w:p>
      <w:r>
        <w:rPr>
          <w:b/>
        </w:rPr>
        <w:t>Alternatives considered.</w:t>
      </w:r>
    </w:p>
    <w:p>
      <w:pPr>
        <w:pStyle w:val="ListBullet"/>
        <w:spacing w:after="40"/>
        <w:ind w:left="357" w:hanging="357"/>
      </w:pPr>
      <w:r>
        <w:rPr>
          <w:b/>
        </w:rPr>
        <w:t>Survival / discrete-time hazard instead of 3-month binary classification:</w:t>
      </w:r>
      <w:r>
        <w:rPr/>
        <w:t xml:space="preserve"> better if follow-up varies or if the team wants a risk curve over time. Kept as a challenger because it gives horizon-specific risk and handles censoring of recent snapshots.</w:t>
      </w:r>
    </w:p>
    <w:p>
      <w:pPr>
        <w:pStyle w:val="ListBullet"/>
        <w:spacing w:after="40"/>
        <w:ind w:left="357" w:hanging="357"/>
      </w:pPr>
      <w:r>
        <w:rPr>
          <w:b/>
        </w:rPr>
        <w:t>Predicting inactivity or dormancy instead of closure:</w:t>
      </w:r>
      <w:r>
        <w:rPr/>
        <w:t xml:space="preserve"> better if most real attrition is silent. Kept as a secondary target to compare (Q2).</w:t>
      </w:r>
    </w:p>
    <w:p>
      <w:pPr>
        <w:pStyle w:val="ListBullet"/>
        <w:spacing w:after="40"/>
        <w:ind w:left="357" w:hanging="357"/>
      </w:pPr>
      <w:r>
        <w:rPr>
          <w:b/>
        </w:rPr>
        <w:t>Ranking by expected value</w:t>
      </w:r>
      <w:r>
        <w:rPr/>
        <w:t xml:space="preserve"> (risk × margin) rather than risk alone: preferred once margin data is available. Starts as a sensitivity analysis.</w:t>
      </w:r>
    </w:p>
    <w:p>
      <w:pPr>
        <w:shd w:val="clear" w:color="auto" w:fill="F2F2F2"/>
        <w:pBdr>
          <w:left w:val="single" w:sz="18" w:space="8" w:color="2E75B6"/>
        </w:pBdr>
        <w:spacing w:before="80" w:after="120"/>
        <w:ind w:left="170"/>
      </w:pPr>
      <w:r>
        <w:rPr>
          <w:b/>
        </w:rPr>
        <w:t>Note:</w:t>
      </w:r>
      <w:r>
        <w:rPr/>
        <w:t xml:space="preserve"> A churn model's top-risk list is </w:t>
      </w:r>
      <w:r>
        <w:rPr>
          <w:i/>
        </w:rPr>
        <w:t>not</w:t>
      </w:r>
      <w:r>
        <w:rPr/>
        <w:t xml:space="preserve"> the same as the list of customers who should be offered something. This plan separates the two on purpose.</w:t>
      </w:r>
    </w:p>
    <w:p>
      <w:pPr>
        <w:pStyle w:val="Heading2"/>
      </w:pPr>
      <w:r>
        <w:rPr/>
        <w:t>4. Assumptions, Unknowns &amp; Client Clarification Questions</w:t>
      </w:r>
    </w:p>
    <w:p>
      <w:r>
        <w:rPr/>
        <w:t>The client was not available. The assumptions below are used to proceed. The first five questions would change the plan most if answered differently.</w:t>
      </w:r>
    </w:p>
    <w:tbl>
      <w:tblPr>
        <w:tblStyle w:val="TableGrid"/>
        <w:tblW w:type="auto" w:w="0"/>
        <w:jc w:val="center"/>
        <w:tblLayout w:type="fixed"/>
        <w:tblLook w:firstColumn="1" w:firstRow="1" w:lastColumn="0" w:lastRow="0" w:noHBand="0" w:noVBand="1" w:val="04A0"/>
        <w:tblLayout w:type="fixed"/>
      </w:tblPr>
      <w:tblGrid>
        <w:gridCol w:w="932"/>
        <w:gridCol w:w="3221"/>
        <w:gridCol w:w="1026"/>
        <w:gridCol w:w="2501"/>
        <w:gridCol w:w="1026"/>
        <w:gridCol w:w="932"/>
      </w:tblGrid>
      <w:tr>
        <w:trPr>
          <w:tblHeader w:val="true"/>
        </w:trPr>
        <w:tc>
          <w:tcPr>
            <w:tcW w:type="dxa" w:w="932"/>
            <w:shd w:val="clear" w:color="auto" w:fill="1F3A5F"/>
          </w:tcPr>
          <w:p>
            <w:r/>
            <w:r>
              <w:rPr>
                <w:b/>
                <w:color w:val="FFFFFF"/>
                <w:sz w:val="17"/>
              </w:rPr>
              <w:t>ID</w:t>
            </w:r>
          </w:p>
        </w:tc>
        <w:tc>
          <w:tcPr>
            <w:tcW w:type="dxa" w:w="3221"/>
            <w:shd w:val="clear" w:color="auto" w:fill="1F3A5F"/>
          </w:tcPr>
          <w:p>
            <w:r/>
            <w:r>
              <w:rPr>
                <w:b/>
                <w:color w:val="FFFFFF"/>
                <w:sz w:val="17"/>
              </w:rPr>
              <w:t>Statement</w:t>
            </w:r>
          </w:p>
        </w:tc>
        <w:tc>
          <w:tcPr>
            <w:tcW w:type="dxa" w:w="1026"/>
            <w:shd w:val="clear" w:color="auto" w:fill="1F3A5F"/>
          </w:tcPr>
          <w:p>
            <w:r/>
            <w:r>
              <w:rPr>
                <w:b/>
                <w:color w:val="FFFFFF"/>
                <w:sz w:val="17"/>
              </w:rPr>
              <w:t>Type</w:t>
            </w:r>
          </w:p>
        </w:tc>
        <w:tc>
          <w:tcPr>
            <w:tcW w:type="dxa" w:w="2501"/>
            <w:shd w:val="clear" w:color="auto" w:fill="1F3A5F"/>
          </w:tcPr>
          <w:p>
            <w:r/>
            <w:r>
              <w:rPr>
                <w:b/>
                <w:color w:val="FFFFFF"/>
                <w:sz w:val="17"/>
              </w:rPr>
              <w:t>Impact if wrong</w:t>
            </w:r>
          </w:p>
        </w:tc>
        <w:tc>
          <w:tcPr>
            <w:tcW w:type="dxa" w:w="1026"/>
            <w:shd w:val="clear" w:color="auto" w:fill="1F3A5F"/>
          </w:tcPr>
          <w:p>
            <w:r/>
            <w:r>
              <w:rPr>
                <w:b/>
                <w:color w:val="FFFFFF"/>
                <w:sz w:val="17"/>
              </w:rPr>
              <w:t>Owner</w:t>
            </w:r>
          </w:p>
        </w:tc>
        <w:tc>
          <w:tcPr>
            <w:tcW w:type="dxa" w:w="932"/>
            <w:shd w:val="clear" w:color="auto" w:fill="1F3A5F"/>
          </w:tcPr>
          <w:p>
            <w:r/>
            <w:r>
              <w:rPr>
                <w:b/>
                <w:color w:val="FFFFFF"/>
                <w:sz w:val="17"/>
              </w:rPr>
              <w:t>Needed by</w:t>
            </w:r>
          </w:p>
        </w:tc>
      </w:tr>
      <w:tr>
        <w:tc>
          <w:tcPr>
            <w:tcW w:type="dxa" w:w="932"/>
          </w:tcPr>
          <w:p>
            <w:pPr>
              <w:spacing w:after="20"/>
            </w:pPr>
            <w:r/>
            <w:r>
              <w:rPr>
                <w:sz w:val="17"/>
              </w:rPr>
              <w:t>Q1</w:t>
            </w:r>
          </w:p>
        </w:tc>
        <w:tc>
          <w:tcPr>
            <w:tcW w:type="dxa" w:w="3221"/>
          </w:tcPr>
          <w:p>
            <w:pPr>
              <w:spacing w:after="20"/>
            </w:pPr>
            <w:r/>
            <w:r>
              <w:rPr>
                <w:sz w:val="17"/>
              </w:rPr>
              <w:t>"Churn" means customer-initiated card closure. Bank-initiated closures, dormant-but-open cards and product migrations/upgrades are excluded from the target.</w:t>
            </w:r>
          </w:p>
        </w:tc>
        <w:tc>
          <w:tcPr>
            <w:tcW w:type="dxa" w:w="1026"/>
          </w:tcPr>
          <w:p>
            <w:pPr>
              <w:spacing w:after="20"/>
            </w:pPr>
            <w:r/>
            <w:r>
              <w:rPr>
                <w:sz w:val="17"/>
              </w:rPr>
              <w:t>Assumption</w:t>
            </w:r>
          </w:p>
        </w:tc>
        <w:tc>
          <w:tcPr>
            <w:tcW w:type="dxa" w:w="2501"/>
          </w:tcPr>
          <w:p>
            <w:pPr>
              <w:spacing w:after="20"/>
            </w:pPr>
            <w:r/>
            <w:r>
              <w:rPr>
                <w:sz w:val="17"/>
              </w:rPr>
              <w:t>Changes target, population and value. Needs exact closure reason codes.</w:t>
            </w:r>
          </w:p>
        </w:tc>
        <w:tc>
          <w:tcPr>
            <w:tcW w:type="dxa" w:w="1026"/>
          </w:tcPr>
          <w:p>
            <w:pPr>
              <w:spacing w:after="20"/>
            </w:pPr>
            <w:r/>
            <w:r>
              <w:rPr>
                <w:sz w:val="17"/>
              </w:rPr>
              <w:t>Client business + data owner</w:t>
            </w:r>
          </w:p>
        </w:tc>
        <w:tc>
          <w:tcPr>
            <w:tcW w:type="dxa" w:w="932"/>
          </w:tcPr>
          <w:p>
            <w:pPr>
              <w:spacing w:after="20"/>
            </w:pPr>
            <w:r/>
            <w:r>
              <w:rPr>
                <w:sz w:val="17"/>
              </w:rPr>
              <w:t>Week 1</w:t>
            </w:r>
          </w:p>
        </w:tc>
      </w:tr>
      <w:tr>
        <w:tc>
          <w:tcPr>
            <w:tcW w:type="dxa" w:w="932"/>
            <w:shd w:val="clear" w:color="auto" w:fill="F2F5F9"/>
          </w:tcPr>
          <w:p>
            <w:pPr>
              <w:spacing w:after="20"/>
            </w:pPr>
            <w:r/>
            <w:r>
              <w:rPr>
                <w:sz w:val="17"/>
              </w:rPr>
              <w:t>Q2</w:t>
            </w:r>
          </w:p>
        </w:tc>
        <w:tc>
          <w:tcPr>
            <w:tcW w:type="dxa" w:w="3221"/>
            <w:shd w:val="clear" w:color="auto" w:fill="F2F5F9"/>
          </w:tcPr>
          <w:p>
            <w:pPr>
              <w:spacing w:after="20"/>
            </w:pPr>
            <w:r/>
            <w:r>
              <w:rPr>
                <w:sz w:val="17"/>
              </w:rPr>
              <w:t>Silent attrition (spend stops, card stays open) is not counted as churn in the primary target but is analysed as a secondary outcome.</w:t>
            </w:r>
          </w:p>
        </w:tc>
        <w:tc>
          <w:tcPr>
            <w:tcW w:type="dxa" w:w="1026"/>
            <w:shd w:val="clear" w:color="auto" w:fill="F2F5F9"/>
          </w:tcPr>
          <w:p>
            <w:pPr>
              <w:spacing w:after="20"/>
            </w:pPr>
            <w:r/>
            <w:r>
              <w:rPr>
                <w:sz w:val="17"/>
              </w:rPr>
              <w:t>Open question</w:t>
            </w:r>
          </w:p>
        </w:tc>
        <w:tc>
          <w:tcPr>
            <w:tcW w:type="dxa" w:w="2501"/>
            <w:shd w:val="clear" w:color="auto" w:fill="F2F5F9"/>
          </w:tcPr>
          <w:p>
            <w:pPr>
              <w:spacing w:after="20"/>
            </w:pPr>
            <w:r/>
            <w:r>
              <w:rPr>
                <w:sz w:val="17"/>
              </w:rPr>
              <w:t>If silent attrition is a large share of lost value, the closure model misses it.</w:t>
            </w:r>
          </w:p>
        </w:tc>
        <w:tc>
          <w:tcPr>
            <w:tcW w:type="dxa" w:w="1026"/>
            <w:shd w:val="clear" w:color="auto" w:fill="F2F5F9"/>
          </w:tcPr>
          <w:p>
            <w:pPr>
              <w:spacing w:after="20"/>
            </w:pPr>
            <w:r/>
            <w:r>
              <w:rPr>
                <w:sz w:val="17"/>
              </w:rPr>
              <w:t>Client business</w:t>
            </w:r>
          </w:p>
        </w:tc>
        <w:tc>
          <w:tcPr>
            <w:tcW w:type="dxa" w:w="932"/>
            <w:shd w:val="clear" w:color="auto" w:fill="F2F5F9"/>
          </w:tcPr>
          <w:p>
            <w:pPr>
              <w:spacing w:after="20"/>
            </w:pPr>
            <w:r/>
            <w:r>
              <w:rPr>
                <w:sz w:val="17"/>
              </w:rPr>
              <w:t>Week 1</w:t>
            </w:r>
          </w:p>
        </w:tc>
      </w:tr>
      <w:tr>
        <w:tc>
          <w:tcPr>
            <w:tcW w:type="dxa" w:w="932"/>
          </w:tcPr>
          <w:p>
            <w:pPr>
              <w:spacing w:after="20"/>
            </w:pPr>
            <w:r/>
            <w:r>
              <w:rPr>
                <w:sz w:val="17"/>
              </w:rPr>
              <w:t>Q3</w:t>
            </w:r>
          </w:p>
        </w:tc>
        <w:tc>
          <w:tcPr>
            <w:tcW w:type="dxa" w:w="3221"/>
          </w:tcPr>
          <w:p>
            <w:pPr>
              <w:spacing w:after="20"/>
            </w:pPr>
            <w:r/>
            <w:r>
              <w:rPr>
                <w:sz w:val="17"/>
              </w:rPr>
              <w:t>Unit is the customer–card snapshot, with customer ID as the grouping key. Whether a customer who closes one card but keeps another counts as churn is not known.</w:t>
            </w:r>
          </w:p>
        </w:tc>
        <w:tc>
          <w:tcPr>
            <w:tcW w:type="dxa" w:w="1026"/>
          </w:tcPr>
          <w:p>
            <w:pPr>
              <w:spacing w:after="20"/>
            </w:pPr>
            <w:r/>
            <w:r>
              <w:rPr>
                <w:sz w:val="17"/>
              </w:rPr>
              <w:t>Open question</w:t>
            </w:r>
          </w:p>
        </w:tc>
        <w:tc>
          <w:tcPr>
            <w:tcW w:type="dxa" w:w="2501"/>
          </w:tcPr>
          <w:p>
            <w:pPr>
              <w:spacing w:after="20"/>
            </w:pPr>
            <w:r/>
            <w:r>
              <w:rPr>
                <w:sz w:val="17"/>
              </w:rPr>
              <w:t>Changes label, leakage grouping and cross-sell interactions.</w:t>
            </w:r>
          </w:p>
        </w:tc>
        <w:tc>
          <w:tcPr>
            <w:tcW w:type="dxa" w:w="1026"/>
          </w:tcPr>
          <w:p>
            <w:pPr>
              <w:spacing w:after="20"/>
            </w:pPr>
            <w:r/>
            <w:r>
              <w:rPr>
                <w:sz w:val="17"/>
              </w:rPr>
              <w:t>Client</w:t>
            </w:r>
          </w:p>
        </w:tc>
        <w:tc>
          <w:tcPr>
            <w:tcW w:type="dxa" w:w="932"/>
          </w:tcPr>
          <w:p>
            <w:pPr>
              <w:spacing w:after="20"/>
            </w:pPr>
            <w:r/>
            <w:r>
              <w:rPr>
                <w:sz w:val="17"/>
              </w:rPr>
              <w:t>Week 1</w:t>
            </w:r>
          </w:p>
        </w:tc>
      </w:tr>
      <w:tr>
        <w:tc>
          <w:tcPr>
            <w:tcW w:type="dxa" w:w="932"/>
            <w:shd w:val="clear" w:color="auto" w:fill="F2F5F9"/>
          </w:tcPr>
          <w:p>
            <w:pPr>
              <w:spacing w:after="20"/>
            </w:pPr>
            <w:r/>
            <w:r>
              <w:rPr>
                <w:sz w:val="17"/>
              </w:rPr>
              <w:t>Q4</w:t>
            </w:r>
          </w:p>
        </w:tc>
        <w:tc>
          <w:tcPr>
            <w:tcW w:type="dxa" w:w="3221"/>
            <w:shd w:val="clear" w:color="auto" w:fill="F2F5F9"/>
          </w:tcPr>
          <w:p>
            <w:pPr>
              <w:spacing w:after="20"/>
            </w:pPr>
            <w:r/>
            <w:r>
              <w:rPr>
                <w:sz w:val="17"/>
              </w:rPr>
              <w:t>Past retention calls and offers are logged (who, when, offer, outcome).</w:t>
            </w:r>
          </w:p>
        </w:tc>
        <w:tc>
          <w:tcPr>
            <w:tcW w:type="dxa" w:w="1026"/>
            <w:shd w:val="clear" w:color="auto" w:fill="F2F5F9"/>
          </w:tcPr>
          <w:p>
            <w:pPr>
              <w:spacing w:after="20"/>
            </w:pPr>
            <w:r/>
            <w:r>
              <w:rPr>
                <w:sz w:val="17"/>
              </w:rPr>
              <w:t>Open question</w:t>
            </w:r>
          </w:p>
        </w:tc>
        <w:tc>
          <w:tcPr>
            <w:tcW w:type="dxa" w:w="2501"/>
            <w:shd w:val="clear" w:color="auto" w:fill="F2F5F9"/>
          </w:tcPr>
          <w:p>
            <w:pPr>
              <w:spacing w:after="20"/>
            </w:pPr>
            <w:r/>
            <w:r>
              <w:rPr>
                <w:sz w:val="17"/>
              </w:rPr>
              <w:t>If not logged, history is contaminated with unknown treatment and the observational analysis of offers is infeasible.</w:t>
            </w:r>
          </w:p>
        </w:tc>
        <w:tc>
          <w:tcPr>
            <w:tcW w:type="dxa" w:w="1026"/>
            <w:shd w:val="clear" w:color="auto" w:fill="F2F5F9"/>
          </w:tcPr>
          <w:p>
            <w:pPr>
              <w:spacing w:after="20"/>
            </w:pPr>
            <w:r/>
            <w:r>
              <w:rPr>
                <w:sz w:val="17"/>
              </w:rPr>
              <w:t>Retention team</w:t>
            </w:r>
          </w:p>
        </w:tc>
        <w:tc>
          <w:tcPr>
            <w:tcW w:type="dxa" w:w="932"/>
            <w:shd w:val="clear" w:color="auto" w:fill="F2F5F9"/>
          </w:tcPr>
          <w:p>
            <w:pPr>
              <w:spacing w:after="20"/>
            </w:pPr>
            <w:r/>
            <w:r>
              <w:rPr>
                <w:sz w:val="17"/>
              </w:rPr>
              <w:t>Week 1</w:t>
            </w:r>
          </w:p>
        </w:tc>
      </w:tr>
      <w:tr>
        <w:tc>
          <w:tcPr>
            <w:tcW w:type="dxa" w:w="932"/>
          </w:tcPr>
          <w:p>
            <w:pPr>
              <w:spacing w:after="20"/>
            </w:pPr>
            <w:r/>
            <w:r>
              <w:rPr>
                <w:sz w:val="17"/>
              </w:rPr>
              <w:t>Q5</w:t>
            </w:r>
          </w:p>
        </w:tc>
        <w:tc>
          <w:tcPr>
            <w:tcW w:type="dxa" w:w="3221"/>
          </w:tcPr>
          <w:p>
            <w:pPr>
              <w:spacing w:after="20"/>
            </w:pPr>
            <w:r/>
            <w:r>
              <w:rPr>
                <w:sz w:val="17"/>
              </w:rPr>
              <w:t>The bank approves randomising offers within the risk pool and keeping a control group that receives no call.</w:t>
            </w:r>
          </w:p>
        </w:tc>
        <w:tc>
          <w:tcPr>
            <w:tcW w:type="dxa" w:w="1026"/>
          </w:tcPr>
          <w:p>
            <w:pPr>
              <w:spacing w:after="20"/>
            </w:pPr>
            <w:r/>
            <w:r>
              <w:rPr>
                <w:sz w:val="17"/>
              </w:rPr>
              <w:t>Open question</w:t>
            </w:r>
          </w:p>
        </w:tc>
        <w:tc>
          <w:tcPr>
            <w:tcW w:type="dxa" w:w="2501"/>
          </w:tcPr>
          <w:p>
            <w:pPr>
              <w:spacing w:after="20"/>
            </w:pPr>
            <w:r/>
            <w:r>
              <w:rPr>
                <w:sz w:val="17"/>
              </w:rPr>
              <w:t>Without it, A3 cannot be answered causally and only an observational, hypothesis-generating analysis is possible.</w:t>
            </w:r>
          </w:p>
        </w:tc>
        <w:tc>
          <w:tcPr>
            <w:tcW w:type="dxa" w:w="1026"/>
          </w:tcPr>
          <w:p>
            <w:pPr>
              <w:spacing w:after="20"/>
            </w:pPr>
            <w:r/>
            <w:r>
              <w:rPr>
                <w:sz w:val="17"/>
              </w:rPr>
              <w:t>Business head, compliance</w:t>
            </w:r>
          </w:p>
        </w:tc>
        <w:tc>
          <w:tcPr>
            <w:tcW w:type="dxa" w:w="932"/>
          </w:tcPr>
          <w:p>
            <w:pPr>
              <w:spacing w:after="20"/>
            </w:pPr>
            <w:r/>
            <w:r>
              <w:rPr>
                <w:sz w:val="17"/>
              </w:rPr>
              <w:t>Week 2</w:t>
            </w:r>
          </w:p>
        </w:tc>
      </w:tr>
      <w:tr>
        <w:tc>
          <w:tcPr>
            <w:tcW w:type="dxa" w:w="932"/>
            <w:shd w:val="clear" w:color="auto" w:fill="F2F5F9"/>
          </w:tcPr>
          <w:p>
            <w:pPr>
              <w:spacing w:after="20"/>
            </w:pPr>
            <w:r/>
            <w:r>
              <w:rPr>
                <w:sz w:val="17"/>
              </w:rPr>
              <w:t>S1</w:t>
            </w:r>
          </w:p>
        </w:tc>
        <w:tc>
          <w:tcPr>
            <w:tcW w:type="dxa" w:w="3221"/>
            <w:shd w:val="clear" w:color="auto" w:fill="F2F5F9"/>
          </w:tcPr>
          <w:p>
            <w:pPr>
              <w:spacing w:after="20"/>
            </w:pPr>
            <w:r/>
            <w:r>
              <w:rPr>
                <w:sz w:val="17"/>
              </w:rPr>
              <w:t>At least 36 months of monthly history exist (minimum 30; see §12).</w:t>
            </w:r>
          </w:p>
        </w:tc>
        <w:tc>
          <w:tcPr>
            <w:tcW w:type="dxa" w:w="1026"/>
            <w:shd w:val="clear" w:color="auto" w:fill="F2F5F9"/>
          </w:tcPr>
          <w:p>
            <w:pPr>
              <w:spacing w:after="20"/>
            </w:pPr>
            <w:r/>
            <w:r>
              <w:rPr>
                <w:sz w:val="17"/>
              </w:rPr>
              <w:t>Assumption</w:t>
            </w:r>
          </w:p>
        </w:tc>
        <w:tc>
          <w:tcPr>
            <w:tcW w:type="dxa" w:w="2501"/>
            <w:shd w:val="clear" w:color="auto" w:fill="F2F5F9"/>
          </w:tcPr>
          <w:p>
            <w:pPr>
              <w:spacing w:after="20"/>
            </w:pPr>
            <w:r/>
            <w:r>
              <w:rPr>
                <w:sz w:val="17"/>
              </w:rPr>
              <w:t>If shorter, seasonality and out-of-time validation weaken or become infeasible.</w:t>
            </w:r>
          </w:p>
        </w:tc>
        <w:tc>
          <w:tcPr>
            <w:tcW w:type="dxa" w:w="1026"/>
            <w:shd w:val="clear" w:color="auto" w:fill="F2F5F9"/>
          </w:tcPr>
          <w:p>
            <w:pPr>
              <w:spacing w:after="20"/>
            </w:pPr>
            <w:r/>
            <w:r>
              <w:rPr>
                <w:sz w:val="17"/>
              </w:rPr>
              <w:t>Data owner</w:t>
            </w:r>
          </w:p>
        </w:tc>
        <w:tc>
          <w:tcPr>
            <w:tcW w:type="dxa" w:w="932"/>
            <w:shd w:val="clear" w:color="auto" w:fill="F2F5F9"/>
          </w:tcPr>
          <w:p>
            <w:pPr>
              <w:spacing w:after="20"/>
            </w:pPr>
            <w:r/>
            <w:r>
              <w:rPr>
                <w:sz w:val="17"/>
              </w:rPr>
              <w:t>Week 1</w:t>
            </w:r>
          </w:p>
        </w:tc>
      </w:tr>
      <w:tr>
        <w:tc>
          <w:tcPr>
            <w:tcW w:type="dxa" w:w="932"/>
          </w:tcPr>
          <w:p>
            <w:pPr>
              <w:spacing w:after="20"/>
            </w:pPr>
            <w:r/>
            <w:r>
              <w:rPr>
                <w:sz w:val="17"/>
              </w:rPr>
              <w:t>S2</w:t>
            </w:r>
          </w:p>
        </w:tc>
        <w:tc>
          <w:tcPr>
            <w:tcW w:type="dxa" w:w="3221"/>
          </w:tcPr>
          <w:p>
            <w:pPr>
              <w:spacing w:after="20"/>
            </w:pPr>
            <w:r/>
            <w:r>
              <w:rPr>
                <w:sz w:val="17"/>
              </w:rPr>
              <w:t>Margin / profitability per card is available or can be approximated (interchange, interest, fees, minus rewards cost).</w:t>
            </w:r>
          </w:p>
        </w:tc>
        <w:tc>
          <w:tcPr>
            <w:tcW w:type="dxa" w:w="1026"/>
          </w:tcPr>
          <w:p>
            <w:pPr>
              <w:spacing w:after="20"/>
            </w:pPr>
            <w:r/>
            <w:r>
              <w:rPr>
                <w:sz w:val="17"/>
              </w:rPr>
              <w:t>Assumption</w:t>
            </w:r>
          </w:p>
        </w:tc>
        <w:tc>
          <w:tcPr>
            <w:tcW w:type="dxa" w:w="2501"/>
          </w:tcPr>
          <w:p>
            <w:pPr>
              <w:spacing w:after="20"/>
            </w:pPr>
            <w:r/>
            <w:r>
              <w:rPr>
                <w:sz w:val="17"/>
              </w:rPr>
              <w:t>Targeting stays risk-based, not value-based.</w:t>
            </w:r>
          </w:p>
        </w:tc>
        <w:tc>
          <w:tcPr>
            <w:tcW w:type="dxa" w:w="1026"/>
          </w:tcPr>
          <w:p>
            <w:pPr>
              <w:spacing w:after="20"/>
            </w:pPr>
            <w:r/>
            <w:r>
              <w:rPr>
                <w:sz w:val="17"/>
              </w:rPr>
              <w:t>Finance</w:t>
            </w:r>
          </w:p>
        </w:tc>
        <w:tc>
          <w:tcPr>
            <w:tcW w:type="dxa" w:w="932"/>
          </w:tcPr>
          <w:p>
            <w:pPr>
              <w:spacing w:after="20"/>
            </w:pPr>
            <w:r/>
            <w:r>
              <w:rPr>
                <w:sz w:val="17"/>
              </w:rPr>
              <w:t>Week 3</w:t>
            </w:r>
          </w:p>
        </w:tc>
      </w:tr>
      <w:tr>
        <w:tc>
          <w:tcPr>
            <w:tcW w:type="dxa" w:w="932"/>
            <w:shd w:val="clear" w:color="auto" w:fill="F2F5F9"/>
          </w:tcPr>
          <w:p>
            <w:pPr>
              <w:spacing w:after="20"/>
            </w:pPr>
            <w:r/>
            <w:r>
              <w:rPr>
                <w:sz w:val="17"/>
              </w:rPr>
              <w:t>S3</w:t>
            </w:r>
          </w:p>
        </w:tc>
        <w:tc>
          <w:tcPr>
            <w:tcW w:type="dxa" w:w="3221"/>
            <w:shd w:val="clear" w:color="auto" w:fill="F2F5F9"/>
          </w:tcPr>
          <w:p>
            <w:pPr>
              <w:spacing w:after="20"/>
            </w:pPr>
            <w:r/>
            <w:r>
              <w:rPr>
                <w:sz w:val="17"/>
              </w:rPr>
              <w:t>Data stays in the bank's environment. No client data goes to external services.</w:t>
            </w:r>
          </w:p>
        </w:tc>
        <w:tc>
          <w:tcPr>
            <w:tcW w:type="dxa" w:w="1026"/>
            <w:shd w:val="clear" w:color="auto" w:fill="F2F5F9"/>
          </w:tcPr>
          <w:p>
            <w:pPr>
              <w:spacing w:after="20"/>
            </w:pPr>
            <w:r/>
            <w:r>
              <w:rPr>
                <w:sz w:val="17"/>
              </w:rPr>
              <w:t>Assumption</w:t>
            </w:r>
          </w:p>
        </w:tc>
        <w:tc>
          <w:tcPr>
            <w:tcW w:type="dxa" w:w="2501"/>
            <w:shd w:val="clear" w:color="auto" w:fill="F2F5F9"/>
          </w:tcPr>
          <w:p>
            <w:pPr>
              <w:spacing w:after="20"/>
            </w:pPr>
            <w:r/>
            <w:r>
              <w:rPr>
                <w:sz w:val="17"/>
              </w:rPr>
              <w:t>Tooling choices change.</w:t>
            </w:r>
          </w:p>
        </w:tc>
        <w:tc>
          <w:tcPr>
            <w:tcW w:type="dxa" w:w="1026"/>
            <w:shd w:val="clear" w:color="auto" w:fill="F2F5F9"/>
          </w:tcPr>
          <w:p>
            <w:pPr>
              <w:spacing w:after="20"/>
            </w:pPr>
            <w:r/>
            <w:r>
              <w:rPr>
                <w:sz w:val="17"/>
              </w:rPr>
              <w:t>Security</w:t>
            </w:r>
          </w:p>
        </w:tc>
        <w:tc>
          <w:tcPr>
            <w:tcW w:type="dxa" w:w="932"/>
            <w:shd w:val="clear" w:color="auto" w:fill="F2F5F9"/>
          </w:tcPr>
          <w:p>
            <w:pPr>
              <w:spacing w:after="20"/>
            </w:pPr>
            <w:r/>
            <w:r>
              <w:rPr>
                <w:sz w:val="17"/>
              </w:rPr>
              <w:t>Week 1</w:t>
            </w:r>
          </w:p>
        </w:tc>
      </w:tr>
      <w:tr>
        <w:tc>
          <w:tcPr>
            <w:tcW w:type="dxa" w:w="932"/>
          </w:tcPr>
          <w:p>
            <w:pPr>
              <w:spacing w:after="20"/>
            </w:pPr>
            <w:r/>
            <w:r>
              <w:rPr>
                <w:sz w:val="17"/>
              </w:rPr>
              <w:t>S4</w:t>
            </w:r>
          </w:p>
        </w:tc>
        <w:tc>
          <w:tcPr>
            <w:tcW w:type="dxa" w:w="3221"/>
          </w:tcPr>
          <w:p>
            <w:pPr>
              <w:spacing w:after="20"/>
            </w:pPr>
            <w:r/>
            <w:r>
              <w:rPr>
                <w:sz w:val="17"/>
              </w:rPr>
              <w:t>Currency is INR and the regulator is the RBI.</w:t>
            </w:r>
          </w:p>
        </w:tc>
        <w:tc>
          <w:tcPr>
            <w:tcW w:type="dxa" w:w="1026"/>
          </w:tcPr>
          <w:p>
            <w:pPr>
              <w:spacing w:after="20"/>
            </w:pPr>
            <w:r/>
            <w:r>
              <w:rPr>
                <w:sz w:val="17"/>
              </w:rPr>
              <w:t>Assumption</w:t>
            </w:r>
          </w:p>
        </w:tc>
        <w:tc>
          <w:tcPr>
            <w:tcW w:type="dxa" w:w="2501"/>
          </w:tcPr>
          <w:p>
            <w:pPr>
              <w:spacing w:after="20"/>
            </w:pPr>
            <w:r/>
            <w:r>
              <w:rPr>
                <w:sz w:val="17"/>
              </w:rPr>
              <w:t>Regulatory checklist changes if not.</w:t>
            </w:r>
          </w:p>
        </w:tc>
        <w:tc>
          <w:tcPr>
            <w:tcW w:type="dxa" w:w="1026"/>
          </w:tcPr>
          <w:p>
            <w:pPr>
              <w:spacing w:after="20"/>
            </w:pPr>
            <w:r/>
            <w:r>
              <w:rPr>
                <w:sz w:val="17"/>
              </w:rPr>
              <w:t>Client</w:t>
            </w:r>
          </w:p>
        </w:tc>
        <w:tc>
          <w:tcPr>
            <w:tcW w:type="dxa" w:w="932"/>
          </w:tcPr>
          <w:p>
            <w:pPr>
              <w:spacing w:after="20"/>
            </w:pPr>
            <w:r/>
            <w:r>
              <w:rPr>
                <w:sz w:val="17"/>
              </w:rPr>
              <w:t>Week 1</w:t>
            </w:r>
          </w:p>
        </w:tc>
      </w:tr>
      <w:tr>
        <w:tc>
          <w:tcPr>
            <w:tcW w:type="dxa" w:w="932"/>
            <w:shd w:val="clear" w:color="auto" w:fill="F2F5F9"/>
          </w:tcPr>
          <w:p>
            <w:pPr>
              <w:spacing w:after="20"/>
            </w:pPr>
            <w:r/>
            <w:r>
              <w:rPr>
                <w:sz w:val="17"/>
              </w:rPr>
              <w:t>S5</w:t>
            </w:r>
          </w:p>
        </w:tc>
        <w:tc>
          <w:tcPr>
            <w:tcW w:type="dxa" w:w="3221"/>
            <w:shd w:val="clear" w:color="auto" w:fill="F2F5F9"/>
          </w:tcPr>
          <w:p>
            <w:pPr>
              <w:spacing w:after="20"/>
            </w:pPr>
            <w:r/>
            <w:r>
              <w:rPr>
                <w:sz w:val="17"/>
              </w:rPr>
              <w:t>Call outcomes (reached, accepted, declined) are logged.</w:t>
            </w:r>
          </w:p>
        </w:tc>
        <w:tc>
          <w:tcPr>
            <w:tcW w:type="dxa" w:w="1026"/>
            <w:shd w:val="clear" w:color="auto" w:fill="F2F5F9"/>
          </w:tcPr>
          <w:p>
            <w:pPr>
              <w:spacing w:after="20"/>
            </w:pPr>
            <w:r/>
            <w:r>
              <w:rPr>
                <w:sz w:val="17"/>
              </w:rPr>
              <w:t>Assumption</w:t>
            </w:r>
          </w:p>
        </w:tc>
        <w:tc>
          <w:tcPr>
            <w:tcW w:type="dxa" w:w="2501"/>
            <w:shd w:val="clear" w:color="auto" w:fill="F2F5F9"/>
          </w:tcPr>
          <w:p>
            <w:pPr>
              <w:spacing w:after="20"/>
            </w:pPr>
            <w:r/>
            <w:r>
              <w:rPr>
                <w:sz w:val="17"/>
              </w:rPr>
              <w:t>Without them, per-reached effects cannot be estimated.</w:t>
            </w:r>
          </w:p>
        </w:tc>
        <w:tc>
          <w:tcPr>
            <w:tcW w:type="dxa" w:w="1026"/>
            <w:shd w:val="clear" w:color="auto" w:fill="F2F5F9"/>
          </w:tcPr>
          <w:p>
            <w:pPr>
              <w:spacing w:after="20"/>
            </w:pPr>
            <w:r/>
            <w:r>
              <w:rPr>
                <w:sz w:val="17"/>
              </w:rPr>
              <w:t>Retention team</w:t>
            </w:r>
          </w:p>
        </w:tc>
        <w:tc>
          <w:tcPr>
            <w:tcW w:type="dxa" w:w="932"/>
            <w:shd w:val="clear" w:color="auto" w:fill="F2F5F9"/>
          </w:tcPr>
          <w:p>
            <w:pPr>
              <w:spacing w:after="20"/>
            </w:pPr>
            <w:r/>
            <w:r>
              <w:rPr>
                <w:sz w:val="17"/>
              </w:rPr>
              <w:t>Week 2</w:t>
            </w:r>
          </w:p>
        </w:tc>
      </w:tr>
      <w:tr>
        <w:tc>
          <w:tcPr>
            <w:tcW w:type="dxa" w:w="932"/>
          </w:tcPr>
          <w:p>
            <w:pPr>
              <w:spacing w:after="20"/>
            </w:pPr>
            <w:r/>
            <w:r>
              <w:rPr>
                <w:sz w:val="17"/>
              </w:rPr>
              <w:t>Q6</w:t>
            </w:r>
          </w:p>
        </w:tc>
        <w:tc>
          <w:tcPr>
            <w:tcW w:type="dxa" w:w="3221"/>
          </w:tcPr>
          <w:p>
            <w:pPr>
              <w:spacing w:after="20"/>
            </w:pPr>
            <w:r/>
            <w:r>
              <w:rPr>
                <w:sz w:val="17"/>
              </w:rPr>
              <w:t>The current approach (rules, agent judgement, existing score) is not described.</w:t>
            </w:r>
          </w:p>
        </w:tc>
        <w:tc>
          <w:tcPr>
            <w:tcW w:type="dxa" w:w="1026"/>
          </w:tcPr>
          <w:p>
            <w:pPr>
              <w:spacing w:after="20"/>
            </w:pPr>
            <w:r/>
            <w:r>
              <w:rPr>
                <w:sz w:val="17"/>
              </w:rPr>
              <w:t>Open question</w:t>
            </w:r>
          </w:p>
        </w:tc>
        <w:tc>
          <w:tcPr>
            <w:tcW w:type="dxa" w:w="2501"/>
          </w:tcPr>
          <w:p>
            <w:pPr>
              <w:spacing w:after="20"/>
            </w:pPr>
            <w:r/>
            <w:r>
              <w:rPr>
                <w:sz w:val="17"/>
              </w:rPr>
              <w:t>The baseline to beat is unknown.</w:t>
            </w:r>
          </w:p>
        </w:tc>
        <w:tc>
          <w:tcPr>
            <w:tcW w:type="dxa" w:w="1026"/>
          </w:tcPr>
          <w:p>
            <w:pPr>
              <w:spacing w:after="20"/>
            </w:pPr>
            <w:r/>
            <w:r>
              <w:rPr>
                <w:sz w:val="17"/>
              </w:rPr>
              <w:t>Retention team</w:t>
            </w:r>
          </w:p>
        </w:tc>
        <w:tc>
          <w:tcPr>
            <w:tcW w:type="dxa" w:w="932"/>
          </w:tcPr>
          <w:p>
            <w:pPr>
              <w:spacing w:after="20"/>
            </w:pPr>
            <w:r/>
            <w:r>
              <w:rPr>
                <w:sz w:val="17"/>
              </w:rPr>
              <w:t>Week 1</w:t>
            </w:r>
          </w:p>
        </w:tc>
      </w:tr>
      <w:tr>
        <w:tc>
          <w:tcPr>
            <w:tcW w:type="dxa" w:w="932"/>
            <w:shd w:val="clear" w:color="auto" w:fill="F2F5F9"/>
          </w:tcPr>
          <w:p>
            <w:pPr>
              <w:spacing w:after="20"/>
            </w:pPr>
            <w:r/>
            <w:r>
              <w:rPr>
                <w:sz w:val="17"/>
              </w:rPr>
              <w:t>Q7</w:t>
            </w:r>
          </w:p>
        </w:tc>
        <w:tc>
          <w:tcPr>
            <w:tcW w:type="dxa" w:w="3221"/>
            <w:shd w:val="clear" w:color="auto" w:fill="F2F5F9"/>
          </w:tcPr>
          <w:p>
            <w:pPr>
              <w:spacing w:after="20"/>
            </w:pPr>
            <w:r/>
            <w:r>
              <w:rPr>
                <w:sz w:val="17"/>
              </w:rPr>
              <w:t>How soon before closure can a call still help? Closures in the first days after t0 may be unsavable.</w:t>
            </w:r>
          </w:p>
        </w:tc>
        <w:tc>
          <w:tcPr>
            <w:tcW w:type="dxa" w:w="1026"/>
            <w:shd w:val="clear" w:color="auto" w:fill="F2F5F9"/>
          </w:tcPr>
          <w:p>
            <w:pPr>
              <w:spacing w:after="20"/>
            </w:pPr>
            <w:r/>
            <w:r>
              <w:rPr>
                <w:sz w:val="17"/>
              </w:rPr>
              <w:t>Open question</w:t>
            </w:r>
          </w:p>
        </w:tc>
        <w:tc>
          <w:tcPr>
            <w:tcW w:type="dxa" w:w="2501"/>
            <w:shd w:val="clear" w:color="auto" w:fill="F2F5F9"/>
          </w:tcPr>
          <w:p>
            <w:pPr>
              <w:spacing w:after="20"/>
            </w:pPr>
            <w:r/>
            <w:r>
              <w:rPr>
                <w:sz w:val="17"/>
              </w:rPr>
              <w:t>May justify excluding very imminent closures from the target or adding a minimum lead time.</w:t>
            </w:r>
          </w:p>
        </w:tc>
        <w:tc>
          <w:tcPr>
            <w:tcW w:type="dxa" w:w="1026"/>
            <w:shd w:val="clear" w:color="auto" w:fill="F2F5F9"/>
          </w:tcPr>
          <w:p>
            <w:pPr>
              <w:spacing w:after="20"/>
            </w:pPr>
            <w:r/>
            <w:r>
              <w:rPr>
                <w:sz w:val="17"/>
              </w:rPr>
              <w:t>Retention team</w:t>
            </w:r>
          </w:p>
        </w:tc>
        <w:tc>
          <w:tcPr>
            <w:tcW w:type="dxa" w:w="932"/>
            <w:shd w:val="clear" w:color="auto" w:fill="F2F5F9"/>
          </w:tcPr>
          <w:p>
            <w:pPr>
              <w:spacing w:after="20"/>
            </w:pPr>
            <w:r/>
            <w:r>
              <w:rPr>
                <w:sz w:val="17"/>
              </w:rPr>
              <w:t>Week 2</w:t>
            </w:r>
          </w:p>
        </w:tc>
      </w:tr>
      <w:tr>
        <w:tc>
          <w:tcPr>
            <w:tcW w:type="dxa" w:w="932"/>
          </w:tcPr>
          <w:p>
            <w:pPr>
              <w:spacing w:after="20"/>
            </w:pPr>
            <w:r/>
            <w:r>
              <w:rPr>
                <w:sz w:val="17"/>
              </w:rPr>
              <w:t>Q9</w:t>
            </w:r>
          </w:p>
        </w:tc>
        <w:tc>
          <w:tcPr>
            <w:tcW w:type="dxa" w:w="3221"/>
          </w:tcPr>
          <w:p>
            <w:pPr>
              <w:spacing w:after="20"/>
            </w:pPr>
            <w:r/>
            <w:r>
              <w:rPr>
                <w:sz w:val="17"/>
              </w:rPr>
              <w:t>Closure-posting latency (days between the customer's request and the closure date in the data) is unknown.</w:t>
            </w:r>
          </w:p>
        </w:tc>
        <w:tc>
          <w:tcPr>
            <w:tcW w:type="dxa" w:w="1026"/>
          </w:tcPr>
          <w:p>
            <w:pPr>
              <w:spacing w:after="20"/>
            </w:pPr>
            <w:r/>
            <w:r>
              <w:rPr>
                <w:sz w:val="17"/>
              </w:rPr>
              <w:t>Open question</w:t>
            </w:r>
          </w:p>
        </w:tc>
        <w:tc>
          <w:tcPr>
            <w:tcW w:type="dxa" w:w="2501"/>
          </w:tcPr>
          <w:p>
            <w:pPr>
              <w:spacing w:after="20"/>
            </w:pPr>
            <w:r/>
            <w:r>
              <w:rPr>
                <w:sz w:val="17"/>
              </w:rPr>
              <w:t>Sets label maturity and the earliest usable date for pending-request flags.</w:t>
            </w:r>
          </w:p>
        </w:tc>
        <w:tc>
          <w:tcPr>
            <w:tcW w:type="dxa" w:w="1026"/>
          </w:tcPr>
          <w:p>
            <w:pPr>
              <w:spacing w:after="20"/>
            </w:pPr>
            <w:r/>
            <w:r>
              <w:rPr>
                <w:sz w:val="17"/>
              </w:rPr>
              <w:t>Cards ops</w:t>
            </w:r>
          </w:p>
        </w:tc>
        <w:tc>
          <w:tcPr>
            <w:tcW w:type="dxa" w:w="932"/>
          </w:tcPr>
          <w:p>
            <w:pPr>
              <w:spacing w:after="20"/>
            </w:pPr>
            <w:r/>
            <w:r>
              <w:rPr>
                <w:sz w:val="17"/>
              </w:rPr>
              <w:t>Week 1</w:t>
            </w:r>
          </w:p>
        </w:tc>
      </w:tr>
      <w:tr>
        <w:tc>
          <w:tcPr>
            <w:tcW w:type="dxa" w:w="932"/>
            <w:shd w:val="clear" w:color="auto" w:fill="F2F5F9"/>
          </w:tcPr>
          <w:p>
            <w:pPr>
              <w:spacing w:after="20"/>
            </w:pPr>
            <w:r/>
            <w:r>
              <w:rPr>
                <w:sz w:val="17"/>
              </w:rPr>
              <w:t>Q8</w:t>
            </w:r>
          </w:p>
        </w:tc>
        <w:tc>
          <w:tcPr>
            <w:tcW w:type="dxa" w:w="3221"/>
            <w:shd w:val="clear" w:color="auto" w:fill="F2F5F9"/>
          </w:tcPr>
          <w:p>
            <w:pPr>
              <w:spacing w:after="20"/>
            </w:pPr>
            <w:r/>
            <w:r>
              <w:rPr>
                <w:sz w:val="17"/>
              </w:rPr>
              <w:t>Reward points and fee waivers have a cost and an expiry; their terms are not known.</w:t>
            </w:r>
          </w:p>
        </w:tc>
        <w:tc>
          <w:tcPr>
            <w:tcW w:type="dxa" w:w="1026"/>
            <w:shd w:val="clear" w:color="auto" w:fill="F2F5F9"/>
          </w:tcPr>
          <w:p>
            <w:pPr>
              <w:spacing w:after="20"/>
            </w:pPr>
            <w:r/>
            <w:r>
              <w:rPr>
                <w:sz w:val="17"/>
              </w:rPr>
              <w:t>Open question</w:t>
            </w:r>
          </w:p>
        </w:tc>
        <w:tc>
          <w:tcPr>
            <w:tcW w:type="dxa" w:w="2501"/>
            <w:shd w:val="clear" w:color="auto" w:fill="F2F5F9"/>
          </w:tcPr>
          <w:p>
            <w:pPr>
              <w:spacing w:after="20"/>
            </w:pPr>
            <w:r/>
            <w:r>
              <w:rPr>
                <w:sz w:val="17"/>
              </w:rPr>
              <w:t>Needed to compute net value and to define the follow-up window.</w:t>
            </w:r>
          </w:p>
        </w:tc>
        <w:tc>
          <w:tcPr>
            <w:tcW w:type="dxa" w:w="1026"/>
            <w:shd w:val="clear" w:color="auto" w:fill="F2F5F9"/>
          </w:tcPr>
          <w:p>
            <w:pPr>
              <w:spacing w:after="20"/>
            </w:pPr>
            <w:r/>
            <w:r>
              <w:rPr>
                <w:sz w:val="17"/>
              </w:rPr>
              <w:t>Finance, product</w:t>
            </w:r>
          </w:p>
        </w:tc>
        <w:tc>
          <w:tcPr>
            <w:tcW w:type="dxa" w:w="932"/>
            <w:shd w:val="clear" w:color="auto" w:fill="F2F5F9"/>
          </w:tcPr>
          <w:p>
            <w:pPr>
              <w:spacing w:after="20"/>
            </w:pPr>
            <w:r/>
            <w:r>
              <w:rPr>
                <w:sz w:val="17"/>
              </w:rPr>
              <w:t>Week 3</w:t>
            </w:r>
          </w:p>
        </w:tc>
      </w:tr>
    </w:tbl>
    <w:p>
      <w:pPr>
        <w:spacing w:after="40"/>
      </w:pPr>
    </w:p>
    <w:p>
      <w:pPr>
        <w:pStyle w:val="Heading2"/>
      </w:pPr>
      <w:r>
        <w:rPr/>
        <w:t>5. Data Inventory &amp; Feasibility Assessment</w:t>
      </w:r>
    </w:p>
    <w:tbl>
      <w:tblPr>
        <w:tblStyle w:val="TableGrid"/>
        <w:tblW w:type="auto" w:w="0"/>
        <w:jc w:val="center"/>
        <w:tblLayout w:type="fixed"/>
        <w:tblLook w:firstColumn="1" w:firstRow="1" w:lastColumn="0" w:lastRow="0" w:noHBand="0" w:noVBand="1" w:val="04A0"/>
        <w:tblLayout w:type="fixed"/>
      </w:tblPr>
      <w:tblGrid>
        <w:gridCol w:w="1104"/>
        <w:gridCol w:w="1279"/>
        <w:gridCol w:w="789"/>
        <w:gridCol w:w="1341"/>
        <w:gridCol w:w="787"/>
        <w:gridCol w:w="1104"/>
        <w:gridCol w:w="1341"/>
        <w:gridCol w:w="868"/>
        <w:gridCol w:w="1025"/>
      </w:tblGrid>
      <w:tr>
        <w:trPr>
          <w:tblHeader w:val="true"/>
        </w:trPr>
        <w:tc>
          <w:tcPr>
            <w:tcW w:type="dxa" w:w="1104"/>
            <w:shd w:val="clear" w:color="auto" w:fill="1F3A5F"/>
          </w:tcPr>
          <w:p>
            <w:r/>
            <w:r>
              <w:rPr>
                <w:b/>
                <w:color w:val="FFFFFF"/>
                <w:sz w:val="15"/>
              </w:rPr>
              <w:t>Source</w:t>
            </w:r>
          </w:p>
        </w:tc>
        <w:tc>
          <w:tcPr>
            <w:tcW w:type="dxa" w:w="1279"/>
            <w:shd w:val="clear" w:color="auto" w:fill="1F3A5F"/>
          </w:tcPr>
          <w:p>
            <w:r/>
            <w:r>
              <w:rPr>
                <w:b/>
                <w:color w:val="FFFFFF"/>
                <w:sz w:val="15"/>
              </w:rPr>
              <w:t>Business meaning</w:t>
            </w:r>
          </w:p>
        </w:tc>
        <w:tc>
          <w:tcPr>
            <w:tcW w:type="dxa" w:w="789"/>
            <w:shd w:val="clear" w:color="auto" w:fill="1F3A5F"/>
          </w:tcPr>
          <w:p>
            <w:r/>
            <w:r>
              <w:rPr>
                <w:b/>
                <w:color w:val="FFFFFF"/>
                <w:sz w:val="15"/>
              </w:rPr>
              <w:t>Owner</w:t>
            </w:r>
          </w:p>
        </w:tc>
        <w:tc>
          <w:tcPr>
            <w:tcW w:type="dxa" w:w="1341"/>
            <w:shd w:val="clear" w:color="auto" w:fill="1F3A5F"/>
          </w:tcPr>
          <w:p>
            <w:r/>
            <w:r>
              <w:rPr>
                <w:b/>
                <w:color w:val="FFFFFF"/>
                <w:sz w:val="15"/>
              </w:rPr>
              <w:t>Grain / keys</w:t>
            </w:r>
          </w:p>
        </w:tc>
        <w:tc>
          <w:tcPr>
            <w:tcW w:type="dxa" w:w="787"/>
            <w:shd w:val="clear" w:color="auto" w:fill="1F3A5F"/>
          </w:tcPr>
          <w:p>
            <w:r/>
            <w:r>
              <w:rPr>
                <w:b/>
                <w:color w:val="FFFFFF"/>
                <w:sz w:val="15"/>
              </w:rPr>
              <w:t>Coverage &amp; refresh</w:t>
            </w:r>
          </w:p>
        </w:tc>
        <w:tc>
          <w:tcPr>
            <w:tcW w:type="dxa" w:w="1104"/>
            <w:shd w:val="clear" w:color="auto" w:fill="1F3A5F"/>
          </w:tcPr>
          <w:p>
            <w:r/>
            <w:r>
              <w:rPr>
                <w:b/>
                <w:color w:val="FFFFFF"/>
                <w:sz w:val="15"/>
              </w:rPr>
              <w:t>Point-in-time?</w:t>
            </w:r>
          </w:p>
        </w:tc>
        <w:tc>
          <w:tcPr>
            <w:tcW w:type="dxa" w:w="1341"/>
            <w:shd w:val="clear" w:color="auto" w:fill="1F3A5F"/>
          </w:tcPr>
          <w:p>
            <w:r/>
            <w:r>
              <w:rPr>
                <w:b/>
                <w:color w:val="FFFFFF"/>
                <w:sz w:val="15"/>
              </w:rPr>
              <w:t>Quality risks</w:t>
            </w:r>
          </w:p>
        </w:tc>
        <w:tc>
          <w:tcPr>
            <w:tcW w:type="dxa" w:w="868"/>
            <w:shd w:val="clear" w:color="auto" w:fill="1F3A5F"/>
          </w:tcPr>
          <w:p>
            <w:r/>
            <w:r>
              <w:rPr>
                <w:b/>
                <w:color w:val="FFFFFF"/>
                <w:sz w:val="15"/>
              </w:rPr>
              <w:t>Privacy</w:t>
            </w:r>
          </w:p>
        </w:tc>
        <w:tc>
          <w:tcPr>
            <w:tcW w:type="dxa" w:w="1025"/>
            <w:shd w:val="clear" w:color="auto" w:fill="1F3A5F"/>
          </w:tcPr>
          <w:p>
            <w:r/>
            <w:r>
              <w:rPr>
                <w:b/>
                <w:color w:val="FFFFFF"/>
                <w:sz w:val="15"/>
              </w:rPr>
              <w:t>Status</w:t>
            </w:r>
          </w:p>
        </w:tc>
      </w:tr>
      <w:tr>
        <w:tc>
          <w:tcPr>
            <w:tcW w:type="dxa" w:w="1104"/>
          </w:tcPr>
          <w:p>
            <w:pPr>
              <w:spacing w:after="20"/>
            </w:pPr>
            <w:r/>
            <w:r>
              <w:rPr>
                <w:sz w:val="15"/>
              </w:rPr>
              <w:t>Card transactions</w:t>
            </w:r>
          </w:p>
        </w:tc>
        <w:tc>
          <w:tcPr>
            <w:tcW w:type="dxa" w:w="1279"/>
          </w:tcPr>
          <w:p>
            <w:pPr>
              <w:spacing w:after="20"/>
            </w:pPr>
            <w:r/>
            <w:r>
              <w:rPr>
                <w:sz w:val="15"/>
              </w:rPr>
              <w:t>Spend, merchant category, channel, location, reversals</w:t>
            </w:r>
          </w:p>
        </w:tc>
        <w:tc>
          <w:tcPr>
            <w:tcW w:type="dxa" w:w="789"/>
          </w:tcPr>
          <w:p>
            <w:pPr>
              <w:spacing w:after="20"/>
            </w:pPr>
            <w:r/>
            <w:r>
              <w:rPr>
                <w:sz w:val="15"/>
              </w:rPr>
              <w:t>Cards ops</w:t>
            </w:r>
          </w:p>
        </w:tc>
        <w:tc>
          <w:tcPr>
            <w:tcW w:type="dxa" w:w="1341"/>
          </w:tcPr>
          <w:p>
            <w:pPr>
              <w:spacing w:after="20"/>
            </w:pPr>
            <w:r/>
            <w:r>
              <w:rPr>
                <w:sz w:val="15"/>
              </w:rPr>
              <w:t>Transaction; card ID, customer ID</w:t>
            </w:r>
          </w:p>
        </w:tc>
        <w:tc>
          <w:tcPr>
            <w:tcW w:type="dxa" w:w="787"/>
          </w:tcPr>
          <w:p>
            <w:pPr>
              <w:spacing w:after="20"/>
            </w:pPr>
            <w:r/>
            <w:r>
              <w:rPr>
                <w:sz w:val="15"/>
              </w:rPr>
              <w:t>History depth and refresh to be confirmed</w:t>
            </w:r>
          </w:p>
        </w:tc>
        <w:tc>
          <w:tcPr>
            <w:tcW w:type="dxa" w:w="1104"/>
          </w:tcPr>
          <w:p>
            <w:pPr>
              <w:spacing w:after="20"/>
            </w:pPr>
            <w:r/>
            <w:r>
              <w:rPr>
                <w:sz w:val="15"/>
              </w:rPr>
              <w:t>Yes, timestamped</w:t>
            </w:r>
          </w:p>
        </w:tc>
        <w:tc>
          <w:tcPr>
            <w:tcW w:type="dxa" w:w="1341"/>
          </w:tcPr>
          <w:p>
            <w:pPr>
              <w:spacing w:after="20"/>
            </w:pPr>
            <w:r/>
            <w:r>
              <w:rPr>
                <w:sz w:val="15"/>
              </w:rPr>
              <w:t>Reversals, duplicates, MCC coding</w:t>
            </w:r>
          </w:p>
        </w:tc>
        <w:tc>
          <w:tcPr>
            <w:tcW w:type="dxa" w:w="868"/>
          </w:tcPr>
          <w:p>
            <w:pPr>
              <w:spacing w:after="20"/>
            </w:pPr>
            <w:r/>
            <w:r>
              <w:rPr>
                <w:sz w:val="15"/>
              </w:rPr>
              <w:t>PII; keep in bank environment</w:t>
            </w:r>
          </w:p>
        </w:tc>
        <w:tc>
          <w:tcPr>
            <w:tcW w:type="dxa" w:w="1025"/>
          </w:tcPr>
          <w:p>
            <w:pPr>
              <w:spacing w:after="20"/>
            </w:pPr>
            <w:r/>
            <w:r>
              <w:rPr>
                <w:b/>
                <w:color w:val="1E7B34"/>
                <w:sz w:val="15"/>
              </w:rPr>
              <w:t>[Confirmed]</w:t>
            </w:r>
            <w:r>
              <w:rPr>
                <w:sz w:val="15"/>
              </w:rPr>
              <w:t xml:space="preserve"> exists; depth </w:t>
            </w:r>
            <w:r>
              <w:rPr>
                <w:b/>
                <w:color w:val="C0392B"/>
                <w:sz w:val="15"/>
              </w:rPr>
              <w:t>[To investigate]</w:t>
            </w:r>
          </w:p>
        </w:tc>
      </w:tr>
      <w:tr>
        <w:tc>
          <w:tcPr>
            <w:tcW w:type="dxa" w:w="1104"/>
            <w:shd w:val="clear" w:color="auto" w:fill="F2F5F9"/>
          </w:tcPr>
          <w:p>
            <w:pPr>
              <w:spacing w:after="20"/>
            </w:pPr>
            <w:r/>
            <w:r>
              <w:rPr>
                <w:sz w:val="15"/>
              </w:rPr>
              <w:t>Statements</w:t>
            </w:r>
          </w:p>
        </w:tc>
        <w:tc>
          <w:tcPr>
            <w:tcW w:type="dxa" w:w="1279"/>
            <w:shd w:val="clear" w:color="auto" w:fill="F2F5F9"/>
          </w:tcPr>
          <w:p>
            <w:pPr>
              <w:spacing w:after="20"/>
            </w:pPr>
            <w:r/>
            <w:r>
              <w:rPr>
                <w:sz w:val="15"/>
              </w:rPr>
              <w:t>Billing cycle balance, payments, interest, fees, limit</w:t>
            </w:r>
          </w:p>
        </w:tc>
        <w:tc>
          <w:tcPr>
            <w:tcW w:type="dxa" w:w="789"/>
            <w:shd w:val="clear" w:color="auto" w:fill="F2F5F9"/>
          </w:tcPr>
          <w:p>
            <w:pPr>
              <w:spacing w:after="20"/>
            </w:pPr>
            <w:r/>
            <w:r>
              <w:rPr>
                <w:sz w:val="15"/>
              </w:rPr>
              <w:t>Cards ops</w:t>
            </w:r>
          </w:p>
        </w:tc>
        <w:tc>
          <w:tcPr>
            <w:tcW w:type="dxa" w:w="1341"/>
            <w:shd w:val="clear" w:color="auto" w:fill="F2F5F9"/>
          </w:tcPr>
          <w:p>
            <w:pPr>
              <w:spacing w:after="20"/>
            </w:pPr>
            <w:r/>
            <w:r>
              <w:rPr>
                <w:sz w:val="15"/>
              </w:rPr>
              <w:t>Card–cycle</w:t>
            </w:r>
          </w:p>
        </w:tc>
        <w:tc>
          <w:tcPr>
            <w:tcW w:type="dxa" w:w="787"/>
            <w:shd w:val="clear" w:color="auto" w:fill="F2F5F9"/>
          </w:tcPr>
          <w:p>
            <w:pPr>
              <w:spacing w:after="20"/>
            </w:pPr>
            <w:r/>
            <w:r>
              <w:rPr>
                <w:sz w:val="15"/>
              </w:rPr>
              <w:t>Monthly</w:t>
            </w:r>
          </w:p>
        </w:tc>
        <w:tc>
          <w:tcPr>
            <w:tcW w:type="dxa" w:w="1104"/>
            <w:shd w:val="clear" w:color="auto" w:fill="F2F5F9"/>
          </w:tcPr>
          <w:p>
            <w:pPr>
              <w:spacing w:after="20"/>
            </w:pPr>
            <w:r/>
            <w:r>
              <w:rPr>
                <w:sz w:val="15"/>
              </w:rPr>
              <w:t>Yes, by statement date</w:t>
            </w:r>
          </w:p>
        </w:tc>
        <w:tc>
          <w:tcPr>
            <w:tcW w:type="dxa" w:w="1341"/>
            <w:shd w:val="clear" w:color="auto" w:fill="F2F5F9"/>
          </w:tcPr>
          <w:p>
            <w:pPr>
              <w:spacing w:after="20"/>
            </w:pPr>
            <w:r/>
            <w:r>
              <w:rPr>
                <w:sz w:val="15"/>
              </w:rPr>
              <w:t>Cycle dates differ from calendar months</w:t>
            </w:r>
          </w:p>
        </w:tc>
        <w:tc>
          <w:tcPr>
            <w:tcW w:type="dxa" w:w="868"/>
            <w:shd w:val="clear" w:color="auto" w:fill="F2F5F9"/>
          </w:tcPr>
          <w:p>
            <w:pPr>
              <w:spacing w:after="20"/>
            </w:pPr>
            <w:r/>
            <w:r>
              <w:rPr>
                <w:sz w:val="15"/>
              </w:rPr>
              <w:t>PII</w:t>
            </w:r>
          </w:p>
        </w:tc>
        <w:tc>
          <w:tcPr>
            <w:tcW w:type="dxa" w:w="1025"/>
            <w:shd w:val="clear" w:color="auto" w:fill="F2F5F9"/>
          </w:tcPr>
          <w:p>
            <w:pPr>
              <w:spacing w:after="20"/>
            </w:pPr>
            <w:r/>
            <w:r>
              <w:rPr>
                <w:b/>
                <w:color w:val="1E7B34"/>
                <w:sz w:val="15"/>
              </w:rPr>
              <w:t>[Confirmed]</w:t>
            </w:r>
            <w:r>
              <w:rPr>
                <w:sz w:val="15"/>
              </w:rPr>
              <w:t xml:space="preserve"> exists</w:t>
            </w:r>
          </w:p>
        </w:tc>
      </w:tr>
      <w:tr>
        <w:tc>
          <w:tcPr>
            <w:tcW w:type="dxa" w:w="1104"/>
          </w:tcPr>
          <w:p>
            <w:pPr>
              <w:spacing w:after="20"/>
            </w:pPr>
            <w:r/>
            <w:r>
              <w:rPr>
                <w:sz w:val="15"/>
              </w:rPr>
              <w:t>Customer demographics</w:t>
            </w:r>
          </w:p>
        </w:tc>
        <w:tc>
          <w:tcPr>
            <w:tcW w:type="dxa" w:w="1279"/>
          </w:tcPr>
          <w:p>
            <w:pPr>
              <w:spacing w:after="20"/>
            </w:pPr>
            <w:r/>
            <w:r>
              <w:rPr>
                <w:sz w:val="15"/>
              </w:rPr>
              <w:t>Age, income band, city, tenure, relationship</w:t>
            </w:r>
          </w:p>
        </w:tc>
        <w:tc>
          <w:tcPr>
            <w:tcW w:type="dxa" w:w="789"/>
          </w:tcPr>
          <w:p>
            <w:pPr>
              <w:spacing w:after="20"/>
            </w:pPr>
            <w:r/>
            <w:r>
              <w:rPr>
                <w:sz w:val="15"/>
              </w:rPr>
              <w:t>CRM</w:t>
            </w:r>
          </w:p>
        </w:tc>
        <w:tc>
          <w:tcPr>
            <w:tcW w:type="dxa" w:w="1341"/>
          </w:tcPr>
          <w:p>
            <w:pPr>
              <w:spacing w:after="20"/>
            </w:pPr>
            <w:r/>
            <w:r>
              <w:rPr>
                <w:sz w:val="15"/>
              </w:rPr>
              <w:t>Customer</w:t>
            </w:r>
          </w:p>
        </w:tc>
        <w:tc>
          <w:tcPr>
            <w:tcW w:type="dxa" w:w="787"/>
          </w:tcPr>
          <w:p>
            <w:pPr>
              <w:spacing w:after="20"/>
            </w:pPr>
            <w:r/>
            <w:r>
              <w:rPr>
                <w:sz w:val="15"/>
              </w:rPr>
              <w:t>Slowly changing</w:t>
            </w:r>
          </w:p>
        </w:tc>
        <w:tc>
          <w:tcPr>
            <w:tcW w:type="dxa" w:w="1104"/>
          </w:tcPr>
          <w:p>
            <w:pPr>
              <w:spacing w:after="20"/>
            </w:pPr>
            <w:r/>
            <w:r>
              <w:rPr>
                <w:sz w:val="15"/>
              </w:rPr>
              <w:t>Only if history is kept (SCD)</w:t>
            </w:r>
          </w:p>
        </w:tc>
        <w:tc>
          <w:tcPr>
            <w:tcW w:type="dxa" w:w="1341"/>
          </w:tcPr>
          <w:p>
            <w:pPr>
              <w:spacing w:after="20"/>
            </w:pPr>
            <w:r/>
            <w:r>
              <w:rPr>
                <w:sz w:val="15"/>
              </w:rPr>
              <w:t>Overwritten current values leak the future</w:t>
            </w:r>
          </w:p>
        </w:tc>
        <w:tc>
          <w:tcPr>
            <w:tcW w:type="dxa" w:w="868"/>
          </w:tcPr>
          <w:p>
            <w:pPr>
              <w:spacing w:after="20"/>
            </w:pPr>
            <w:r/>
            <w:r>
              <w:rPr>
                <w:sz w:val="15"/>
              </w:rPr>
              <w:t>PII; sensitive attributes</w:t>
            </w:r>
          </w:p>
        </w:tc>
        <w:tc>
          <w:tcPr>
            <w:tcW w:type="dxa" w:w="1025"/>
          </w:tcPr>
          <w:p>
            <w:pPr>
              <w:spacing w:after="20"/>
            </w:pPr>
            <w:r/>
            <w:r>
              <w:rPr>
                <w:b/>
                <w:color w:val="1E7B34"/>
                <w:sz w:val="15"/>
              </w:rPr>
              <w:t>[Confirmed]</w:t>
            </w:r>
            <w:r>
              <w:rPr>
                <w:sz w:val="15"/>
              </w:rPr>
              <w:t xml:space="preserve">; history </w:t>
            </w:r>
            <w:r>
              <w:rPr>
                <w:b/>
                <w:color w:val="C0392B"/>
                <w:sz w:val="15"/>
              </w:rPr>
              <w:t>[To investigate]</w:t>
            </w:r>
          </w:p>
        </w:tc>
      </w:tr>
      <w:tr>
        <w:tc>
          <w:tcPr>
            <w:tcW w:type="dxa" w:w="1104"/>
            <w:shd w:val="clear" w:color="auto" w:fill="F2F5F9"/>
          </w:tcPr>
          <w:p>
            <w:pPr>
              <w:spacing w:after="20"/>
            </w:pPr>
            <w:r/>
            <w:r>
              <w:rPr>
                <w:sz w:val="15"/>
              </w:rPr>
              <w:t>Complaints</w:t>
            </w:r>
          </w:p>
        </w:tc>
        <w:tc>
          <w:tcPr>
            <w:tcW w:type="dxa" w:w="1279"/>
            <w:shd w:val="clear" w:color="auto" w:fill="F2F5F9"/>
          </w:tcPr>
          <w:p>
            <w:pPr>
              <w:spacing w:after="20"/>
            </w:pPr>
            <w:r/>
            <w:r>
              <w:rPr>
                <w:sz w:val="15"/>
              </w:rPr>
              <w:t>Complaint type, date, status, resolution</w:t>
            </w:r>
          </w:p>
        </w:tc>
        <w:tc>
          <w:tcPr>
            <w:tcW w:type="dxa" w:w="789"/>
            <w:shd w:val="clear" w:color="auto" w:fill="F2F5F9"/>
          </w:tcPr>
          <w:p>
            <w:pPr>
              <w:spacing w:after="20"/>
            </w:pPr>
            <w:r/>
            <w:r>
              <w:rPr>
                <w:sz w:val="15"/>
              </w:rPr>
              <w:t>Service</w:t>
            </w:r>
          </w:p>
        </w:tc>
        <w:tc>
          <w:tcPr>
            <w:tcW w:type="dxa" w:w="1341"/>
            <w:shd w:val="clear" w:color="auto" w:fill="F2F5F9"/>
          </w:tcPr>
          <w:p>
            <w:pPr>
              <w:spacing w:after="20"/>
            </w:pPr>
            <w:r/>
            <w:r>
              <w:rPr>
                <w:sz w:val="15"/>
              </w:rPr>
              <w:t>Complaint; customer ID</w:t>
            </w:r>
          </w:p>
        </w:tc>
        <w:tc>
          <w:tcPr>
            <w:tcW w:type="dxa" w:w="787"/>
            <w:shd w:val="clear" w:color="auto" w:fill="F2F5F9"/>
          </w:tcPr>
          <w:p>
            <w:pPr>
              <w:spacing w:after="20"/>
            </w:pPr>
            <w:r/>
            <w:r>
              <w:rPr>
                <w:sz w:val="15"/>
              </w:rPr>
              <w:t>Event</w:t>
            </w:r>
          </w:p>
        </w:tc>
        <w:tc>
          <w:tcPr>
            <w:tcW w:type="dxa" w:w="1104"/>
            <w:shd w:val="clear" w:color="auto" w:fill="F2F5F9"/>
          </w:tcPr>
          <w:p>
            <w:pPr>
              <w:spacing w:after="20"/>
            </w:pPr>
            <w:r/>
            <w:r>
              <w:rPr>
                <w:sz w:val="15"/>
              </w:rPr>
              <w:t>Yes if open/close dates are kept</w:t>
            </w:r>
          </w:p>
        </w:tc>
        <w:tc>
          <w:tcPr>
            <w:tcW w:type="dxa" w:w="1341"/>
            <w:shd w:val="clear" w:color="auto" w:fill="F2F5F9"/>
          </w:tcPr>
          <w:p>
            <w:pPr>
              <w:spacing w:after="20"/>
            </w:pPr>
            <w:r/>
            <w:r>
              <w:rPr>
                <w:sz w:val="15"/>
              </w:rPr>
              <w:t>Resolution status updated later</w:t>
            </w:r>
          </w:p>
        </w:tc>
        <w:tc>
          <w:tcPr>
            <w:tcW w:type="dxa" w:w="868"/>
            <w:shd w:val="clear" w:color="auto" w:fill="F2F5F9"/>
          </w:tcPr>
          <w:p>
            <w:pPr>
              <w:spacing w:after="20"/>
            </w:pPr>
            <w:r/>
            <w:r>
              <w:rPr>
                <w:sz w:val="15"/>
              </w:rPr>
              <w:t>PII</w:t>
            </w:r>
          </w:p>
        </w:tc>
        <w:tc>
          <w:tcPr>
            <w:tcW w:type="dxa" w:w="1025"/>
            <w:shd w:val="clear" w:color="auto" w:fill="F2F5F9"/>
          </w:tcPr>
          <w:p>
            <w:pPr>
              <w:spacing w:after="20"/>
            </w:pPr>
            <w:r/>
            <w:r>
              <w:rPr>
                <w:b/>
                <w:color w:val="1E7B34"/>
                <w:sz w:val="15"/>
              </w:rPr>
              <w:t>[Confirmed]</w:t>
            </w:r>
          </w:p>
        </w:tc>
      </w:tr>
      <w:tr>
        <w:tc>
          <w:tcPr>
            <w:tcW w:type="dxa" w:w="1104"/>
          </w:tcPr>
          <w:p>
            <w:pPr>
              <w:spacing w:after="20"/>
            </w:pPr>
            <w:r/>
            <w:r>
              <w:rPr>
                <w:sz w:val="15"/>
              </w:rPr>
              <w:t>Call-centre logs</w:t>
            </w:r>
          </w:p>
        </w:tc>
        <w:tc>
          <w:tcPr>
            <w:tcW w:type="dxa" w:w="1279"/>
          </w:tcPr>
          <w:p>
            <w:pPr>
              <w:spacing w:after="20"/>
            </w:pPr>
            <w:r/>
            <w:r>
              <w:rPr>
                <w:sz w:val="15"/>
              </w:rPr>
              <w:t>Call reason codes, notes, agent actions</w:t>
            </w:r>
          </w:p>
        </w:tc>
        <w:tc>
          <w:tcPr>
            <w:tcW w:type="dxa" w:w="789"/>
          </w:tcPr>
          <w:p>
            <w:pPr>
              <w:spacing w:after="20"/>
            </w:pPr>
            <w:r/>
            <w:r>
              <w:rPr>
                <w:sz w:val="15"/>
              </w:rPr>
              <w:t>Contact centre</w:t>
            </w:r>
          </w:p>
        </w:tc>
        <w:tc>
          <w:tcPr>
            <w:tcW w:type="dxa" w:w="1341"/>
          </w:tcPr>
          <w:p>
            <w:pPr>
              <w:spacing w:after="20"/>
            </w:pPr>
            <w:r/>
            <w:r>
              <w:rPr>
                <w:sz w:val="15"/>
              </w:rPr>
              <w:t>Interaction</w:t>
            </w:r>
          </w:p>
        </w:tc>
        <w:tc>
          <w:tcPr>
            <w:tcW w:type="dxa" w:w="787"/>
          </w:tcPr>
          <w:p>
            <w:pPr>
              <w:spacing w:after="20"/>
            </w:pPr>
            <w:r/>
            <w:r>
              <w:rPr>
                <w:sz w:val="15"/>
              </w:rPr>
              <w:t>Event</w:t>
            </w:r>
          </w:p>
        </w:tc>
        <w:tc>
          <w:tcPr>
            <w:tcW w:type="dxa" w:w="1104"/>
          </w:tcPr>
          <w:p>
            <w:pPr>
              <w:spacing w:after="20"/>
            </w:pPr>
            <w:r/>
            <w:r>
              <w:rPr>
                <w:sz w:val="15"/>
              </w:rPr>
              <w:t>Yes if timestamped</w:t>
            </w:r>
          </w:p>
        </w:tc>
        <w:tc>
          <w:tcPr>
            <w:tcW w:type="dxa" w:w="1341"/>
          </w:tcPr>
          <w:p>
            <w:pPr>
              <w:spacing w:after="20"/>
            </w:pPr>
            <w:r/>
            <w:r>
              <w:rPr>
                <w:b/>
                <w:sz w:val="15"/>
              </w:rPr>
              <w:t>Closure-request tags are near-label</w:t>
            </w:r>
            <w:r>
              <w:rPr>
                <w:sz w:val="15"/>
              </w:rPr>
              <w:t>; free text has PII</w:t>
            </w:r>
          </w:p>
        </w:tc>
        <w:tc>
          <w:tcPr>
            <w:tcW w:type="dxa" w:w="868"/>
          </w:tcPr>
          <w:p>
            <w:pPr>
              <w:spacing w:after="20"/>
            </w:pPr>
            <w:r/>
            <w:r>
              <w:rPr>
                <w:sz w:val="15"/>
              </w:rPr>
              <w:t>PII; redact text</w:t>
            </w:r>
          </w:p>
        </w:tc>
        <w:tc>
          <w:tcPr>
            <w:tcW w:type="dxa" w:w="1025"/>
          </w:tcPr>
          <w:p>
            <w:pPr>
              <w:spacing w:after="20"/>
            </w:pPr>
            <w:r/>
            <w:r>
              <w:rPr>
                <w:b/>
                <w:color w:val="1E7B34"/>
                <w:sz w:val="15"/>
              </w:rPr>
              <w:t>[Confirmed]</w:t>
            </w:r>
            <w:r>
              <w:rPr>
                <w:sz w:val="15"/>
              </w:rPr>
              <w:t xml:space="preserve">; fields </w:t>
            </w:r>
            <w:r>
              <w:rPr>
                <w:b/>
                <w:color w:val="C0392B"/>
                <w:sz w:val="15"/>
              </w:rPr>
              <w:t>[To investigate]</w:t>
            </w:r>
          </w:p>
        </w:tc>
      </w:tr>
      <w:tr>
        <w:tc>
          <w:tcPr>
            <w:tcW w:type="dxa" w:w="1104"/>
            <w:shd w:val="clear" w:color="auto" w:fill="F2F5F9"/>
          </w:tcPr>
          <w:p>
            <w:pPr>
              <w:spacing w:after="20"/>
            </w:pPr>
            <w:r/>
            <w:r>
              <w:rPr>
                <w:sz w:val="15"/>
              </w:rPr>
              <w:t>Bureau score at onboarding</w:t>
            </w:r>
          </w:p>
        </w:tc>
        <w:tc>
          <w:tcPr>
            <w:tcW w:type="dxa" w:w="1279"/>
            <w:shd w:val="clear" w:color="auto" w:fill="F2F5F9"/>
          </w:tcPr>
          <w:p>
            <w:pPr>
              <w:spacing w:after="20"/>
            </w:pPr>
            <w:r/>
            <w:r>
              <w:rPr>
                <w:sz w:val="15"/>
              </w:rPr>
              <w:t>Credit score at origination</w:t>
            </w:r>
          </w:p>
        </w:tc>
        <w:tc>
          <w:tcPr>
            <w:tcW w:type="dxa" w:w="789"/>
            <w:shd w:val="clear" w:color="auto" w:fill="F2F5F9"/>
          </w:tcPr>
          <w:p>
            <w:pPr>
              <w:spacing w:after="20"/>
            </w:pPr>
            <w:r/>
            <w:r>
              <w:rPr>
                <w:sz w:val="15"/>
              </w:rPr>
              <w:t>Risk</w:t>
            </w:r>
          </w:p>
        </w:tc>
        <w:tc>
          <w:tcPr>
            <w:tcW w:type="dxa" w:w="1341"/>
            <w:shd w:val="clear" w:color="auto" w:fill="F2F5F9"/>
          </w:tcPr>
          <w:p>
            <w:pPr>
              <w:spacing w:after="20"/>
            </w:pPr>
            <w:r/>
            <w:r>
              <w:rPr>
                <w:sz w:val="15"/>
              </w:rPr>
              <w:t>Customer</w:t>
            </w:r>
          </w:p>
        </w:tc>
        <w:tc>
          <w:tcPr>
            <w:tcW w:type="dxa" w:w="787"/>
            <w:shd w:val="clear" w:color="auto" w:fill="F2F5F9"/>
          </w:tcPr>
          <w:p>
            <w:pPr>
              <w:spacing w:after="20"/>
            </w:pPr>
            <w:r/>
            <w:r>
              <w:rPr>
                <w:sz w:val="15"/>
              </w:rPr>
              <w:t>One-off, so stale for old customers</w:t>
            </w:r>
          </w:p>
        </w:tc>
        <w:tc>
          <w:tcPr>
            <w:tcW w:type="dxa" w:w="1104"/>
            <w:shd w:val="clear" w:color="auto" w:fill="F2F5F9"/>
          </w:tcPr>
          <w:p>
            <w:pPr>
              <w:spacing w:after="20"/>
            </w:pPr>
            <w:r/>
            <w:r>
              <w:rPr>
                <w:sz w:val="15"/>
              </w:rPr>
              <w:t>Yes for early lifecycle</w:t>
            </w:r>
          </w:p>
        </w:tc>
        <w:tc>
          <w:tcPr>
            <w:tcW w:type="dxa" w:w="1341"/>
            <w:shd w:val="clear" w:color="auto" w:fill="F2F5F9"/>
          </w:tcPr>
          <w:p>
            <w:pPr>
              <w:spacing w:after="20"/>
            </w:pPr>
            <w:r/>
            <w:r>
              <w:rPr>
                <w:sz w:val="15"/>
              </w:rPr>
              <w:t>Stale for long-tenure customers</w:t>
            </w:r>
          </w:p>
        </w:tc>
        <w:tc>
          <w:tcPr>
            <w:tcW w:type="dxa" w:w="868"/>
            <w:shd w:val="clear" w:color="auto" w:fill="F2F5F9"/>
          </w:tcPr>
          <w:p>
            <w:pPr>
              <w:spacing w:after="20"/>
            </w:pPr>
            <w:r/>
            <w:r>
              <w:rPr>
                <w:sz w:val="15"/>
              </w:rPr>
              <w:t>Bureau terms of use</w:t>
            </w:r>
          </w:p>
        </w:tc>
        <w:tc>
          <w:tcPr>
            <w:tcW w:type="dxa" w:w="1025"/>
            <w:shd w:val="clear" w:color="auto" w:fill="F2F5F9"/>
          </w:tcPr>
          <w:p>
            <w:pPr>
              <w:spacing w:after="20"/>
            </w:pPr>
            <w:r/>
            <w:r>
              <w:rPr>
                <w:b/>
                <w:color w:val="1E7B34"/>
                <w:sz w:val="15"/>
              </w:rPr>
              <w:t>[Confirmed]</w:t>
            </w:r>
          </w:p>
        </w:tc>
      </w:tr>
      <w:tr>
        <w:tc>
          <w:tcPr>
            <w:tcW w:type="dxa" w:w="1104"/>
          </w:tcPr>
          <w:p>
            <w:pPr>
              <w:spacing w:after="20"/>
            </w:pPr>
            <w:r/>
            <w:r>
              <w:rPr>
                <w:sz w:val="15"/>
              </w:rPr>
              <w:t>Closure / account-status table</w:t>
            </w:r>
          </w:p>
        </w:tc>
        <w:tc>
          <w:tcPr>
            <w:tcW w:type="dxa" w:w="1279"/>
          </w:tcPr>
          <w:p>
            <w:pPr>
              <w:spacing w:after="20"/>
            </w:pPr>
            <w:r/>
            <w:r>
              <w:rPr>
                <w:sz w:val="15"/>
              </w:rPr>
              <w:t>Closure date, initiator, reason code</w:t>
            </w:r>
          </w:p>
        </w:tc>
        <w:tc>
          <w:tcPr>
            <w:tcW w:type="dxa" w:w="789"/>
          </w:tcPr>
          <w:p>
            <w:pPr>
              <w:spacing w:after="20"/>
            </w:pPr>
            <w:r/>
            <w:r>
              <w:rPr>
                <w:sz w:val="15"/>
              </w:rPr>
              <w:t>Cards ops</w:t>
            </w:r>
          </w:p>
        </w:tc>
        <w:tc>
          <w:tcPr>
            <w:tcW w:type="dxa" w:w="1341"/>
          </w:tcPr>
          <w:p>
            <w:pPr>
              <w:spacing w:after="20"/>
            </w:pPr>
            <w:r/>
            <w:r>
              <w:rPr>
                <w:sz w:val="15"/>
              </w:rPr>
              <w:t>Card</w:t>
            </w:r>
          </w:p>
        </w:tc>
        <w:tc>
          <w:tcPr>
            <w:tcW w:type="dxa" w:w="787"/>
          </w:tcPr>
          <w:p>
            <w:pPr>
              <w:spacing w:after="20"/>
            </w:pPr>
            <w:r/>
            <w:r>
              <w:rPr>
                <w:sz w:val="15"/>
              </w:rPr>
              <w:t>Event</w:t>
            </w:r>
          </w:p>
        </w:tc>
        <w:tc>
          <w:tcPr>
            <w:tcW w:type="dxa" w:w="1104"/>
          </w:tcPr>
          <w:p>
            <w:pPr>
              <w:spacing w:after="20"/>
            </w:pPr>
            <w:r/>
            <w:r>
              <w:rPr>
                <w:sz w:val="15"/>
              </w:rPr>
              <w:t>Yes</w:t>
            </w:r>
          </w:p>
        </w:tc>
        <w:tc>
          <w:tcPr>
            <w:tcW w:type="dxa" w:w="1341"/>
          </w:tcPr>
          <w:p>
            <w:pPr>
              <w:spacing w:after="20"/>
            </w:pPr>
            <w:r/>
            <w:r>
              <w:rPr>
                <w:sz w:val="15"/>
              </w:rPr>
              <w:t>Reason codes may be inconsistent</w:t>
            </w:r>
          </w:p>
        </w:tc>
        <w:tc>
          <w:tcPr>
            <w:tcW w:type="dxa" w:w="868"/>
          </w:tcPr>
          <w:p>
            <w:pPr>
              <w:spacing w:after="20"/>
            </w:pPr>
            <w:r/>
            <w:r>
              <w:rPr>
                <w:sz w:val="15"/>
              </w:rPr>
              <w:t>PII</w:t>
            </w:r>
          </w:p>
        </w:tc>
        <w:tc>
          <w:tcPr>
            <w:tcW w:type="dxa" w:w="1025"/>
          </w:tcPr>
          <w:p>
            <w:pPr>
              <w:spacing w:after="20"/>
            </w:pPr>
            <w:r/>
            <w:r>
              <w:rPr>
                <w:b/>
                <w:color w:val="C0392B"/>
                <w:sz w:val="15"/>
              </w:rPr>
              <w:t>[To investigate]</w:t>
            </w:r>
            <w:r>
              <w:rPr>
                <w:sz w:val="15"/>
              </w:rPr>
              <w:t>; essential for the label</w:t>
            </w:r>
          </w:p>
        </w:tc>
      </w:tr>
      <w:tr>
        <w:tc>
          <w:tcPr>
            <w:tcW w:type="dxa" w:w="1104"/>
            <w:shd w:val="clear" w:color="auto" w:fill="F2F5F9"/>
          </w:tcPr>
          <w:p>
            <w:pPr>
              <w:spacing w:after="20"/>
            </w:pPr>
            <w:r/>
            <w:r>
              <w:rPr>
                <w:sz w:val="15"/>
              </w:rPr>
              <w:t>Retention campaign history</w:t>
            </w:r>
          </w:p>
        </w:tc>
        <w:tc>
          <w:tcPr>
            <w:tcW w:type="dxa" w:w="1279"/>
            <w:shd w:val="clear" w:color="auto" w:fill="F2F5F9"/>
          </w:tcPr>
          <w:p>
            <w:pPr>
              <w:spacing w:after="20"/>
            </w:pPr>
            <w:r/>
            <w:r>
              <w:rPr>
                <w:sz w:val="15"/>
              </w:rPr>
              <w:t>Who was called, offered what, outcome</w:t>
            </w:r>
          </w:p>
        </w:tc>
        <w:tc>
          <w:tcPr>
            <w:tcW w:type="dxa" w:w="789"/>
            <w:shd w:val="clear" w:color="auto" w:fill="F2F5F9"/>
          </w:tcPr>
          <w:p>
            <w:pPr>
              <w:spacing w:after="20"/>
            </w:pPr>
            <w:r/>
            <w:r>
              <w:rPr>
                <w:sz w:val="15"/>
              </w:rPr>
              <w:t>Retention</w:t>
            </w:r>
          </w:p>
        </w:tc>
        <w:tc>
          <w:tcPr>
            <w:tcW w:type="dxa" w:w="1341"/>
            <w:shd w:val="clear" w:color="auto" w:fill="F2F5F9"/>
          </w:tcPr>
          <w:p>
            <w:pPr>
              <w:spacing w:after="20"/>
            </w:pPr>
            <w:r/>
            <w:r>
              <w:rPr>
                <w:sz w:val="15"/>
              </w:rPr>
              <w:t>Customer–campaign</w:t>
            </w:r>
          </w:p>
        </w:tc>
        <w:tc>
          <w:tcPr>
            <w:tcW w:type="dxa" w:w="787"/>
            <w:shd w:val="clear" w:color="auto" w:fill="F2F5F9"/>
          </w:tcPr>
          <w:p>
            <w:pPr>
              <w:spacing w:after="20"/>
            </w:pPr>
            <w:r/>
            <w:r>
              <w:rPr>
                <w:sz w:val="15"/>
              </w:rPr>
              <w:t>Event</w:t>
            </w:r>
          </w:p>
        </w:tc>
        <w:tc>
          <w:tcPr>
            <w:tcW w:type="dxa" w:w="1104"/>
            <w:shd w:val="clear" w:color="auto" w:fill="F2F5F9"/>
          </w:tcPr>
          <w:p>
            <w:pPr>
              <w:spacing w:after="20"/>
            </w:pPr>
            <w:r/>
            <w:r>
              <w:rPr>
                <w:sz w:val="15"/>
              </w:rPr>
              <w:t>Yes</w:t>
            </w:r>
          </w:p>
        </w:tc>
        <w:tc>
          <w:tcPr>
            <w:tcW w:type="dxa" w:w="1341"/>
            <w:shd w:val="clear" w:color="auto" w:fill="F2F5F9"/>
          </w:tcPr>
          <w:p>
            <w:pPr>
              <w:spacing w:after="20"/>
            </w:pPr>
            <w:r/>
            <w:r>
              <w:rPr>
                <w:sz w:val="15"/>
              </w:rPr>
              <w:t>Selection by agent judgement</w:t>
            </w:r>
          </w:p>
        </w:tc>
        <w:tc>
          <w:tcPr>
            <w:tcW w:type="dxa" w:w="868"/>
            <w:shd w:val="clear" w:color="auto" w:fill="F2F5F9"/>
          </w:tcPr>
          <w:p>
            <w:pPr>
              <w:spacing w:after="20"/>
            </w:pPr>
            <w:r/>
            <w:r>
              <w:rPr>
                <w:sz w:val="15"/>
              </w:rPr>
              <w:t>PII</w:t>
            </w:r>
          </w:p>
        </w:tc>
        <w:tc>
          <w:tcPr>
            <w:tcW w:type="dxa" w:w="1025"/>
            <w:shd w:val="clear" w:color="auto" w:fill="F2F5F9"/>
          </w:tcPr>
          <w:p>
            <w:pPr>
              <w:spacing w:after="20"/>
            </w:pPr>
            <w:r/>
            <w:r>
              <w:rPr>
                <w:b/>
                <w:color w:val="C0392B"/>
                <w:sz w:val="15"/>
              </w:rPr>
              <w:t>[To investigate]</w:t>
            </w:r>
            <w:r>
              <w:rPr>
                <w:sz w:val="15"/>
              </w:rPr>
              <w:t>; critical for A3</w:t>
            </w:r>
          </w:p>
        </w:tc>
      </w:tr>
      <w:tr>
        <w:tc>
          <w:tcPr>
            <w:tcW w:type="dxa" w:w="1104"/>
          </w:tcPr>
          <w:p>
            <w:pPr>
              <w:spacing w:after="20"/>
            </w:pPr>
            <w:r/>
            <w:r>
              <w:rPr>
                <w:sz w:val="15"/>
              </w:rPr>
              <w:t>Offer / reward cost terms</w:t>
            </w:r>
          </w:p>
        </w:tc>
        <w:tc>
          <w:tcPr>
            <w:tcW w:type="dxa" w:w="1279"/>
          </w:tcPr>
          <w:p>
            <w:pPr>
              <w:spacing w:after="20"/>
            </w:pPr>
            <w:r/>
            <w:r>
              <w:rPr>
                <w:sz w:val="15"/>
              </w:rPr>
              <w:t>Fee-waiver value, points cost</w:t>
            </w:r>
          </w:p>
        </w:tc>
        <w:tc>
          <w:tcPr>
            <w:tcW w:type="dxa" w:w="789"/>
          </w:tcPr>
          <w:p>
            <w:pPr>
              <w:spacing w:after="20"/>
            </w:pPr>
            <w:r/>
            <w:r>
              <w:rPr>
                <w:sz w:val="15"/>
              </w:rPr>
              <w:t>Finance / product</w:t>
            </w:r>
          </w:p>
        </w:tc>
        <w:tc>
          <w:tcPr>
            <w:tcW w:type="dxa" w:w="1341"/>
          </w:tcPr>
          <w:p>
            <w:pPr>
              <w:spacing w:after="20"/>
            </w:pPr>
            <w:r/>
            <w:r>
              <w:rPr>
                <w:sz w:val="15"/>
              </w:rPr>
              <w:t>Product</w:t>
            </w:r>
          </w:p>
        </w:tc>
        <w:tc>
          <w:tcPr>
            <w:tcW w:type="dxa" w:w="787"/>
          </w:tcPr>
          <w:p>
            <w:pPr>
              <w:spacing w:after="20"/>
            </w:pPr>
            <w:r/>
            <w:r>
              <w:rPr>
                <w:sz w:val="15"/>
              </w:rPr>
              <w:t>Static</w:t>
            </w:r>
          </w:p>
        </w:tc>
        <w:tc>
          <w:tcPr>
            <w:tcW w:type="dxa" w:w="1104"/>
          </w:tcPr>
          <w:p>
            <w:pPr>
              <w:spacing w:after="20"/>
            </w:pPr>
            <w:r/>
            <w:r>
              <w:rPr>
                <w:sz w:val="15"/>
              </w:rPr>
              <w:t>n/a</w:t>
            </w:r>
          </w:p>
        </w:tc>
        <w:tc>
          <w:tcPr>
            <w:tcW w:type="dxa" w:w="1341"/>
          </w:tcPr>
          <w:p>
            <w:pPr>
              <w:spacing w:after="20"/>
            </w:pPr>
            <w:r/>
            <w:r>
              <w:rPr>
                <w:sz w:val="15"/>
              </w:rPr>
              <w:t>n/a</w:t>
            </w:r>
          </w:p>
        </w:tc>
        <w:tc>
          <w:tcPr>
            <w:tcW w:type="dxa" w:w="868"/>
          </w:tcPr>
          <w:p>
            <w:pPr>
              <w:spacing w:after="20"/>
            </w:pPr>
            <w:r/>
            <w:r>
              <w:rPr>
                <w:sz w:val="15"/>
              </w:rPr>
              <w:t>n/a</w:t>
            </w:r>
          </w:p>
        </w:tc>
        <w:tc>
          <w:tcPr>
            <w:tcW w:type="dxa" w:w="1025"/>
          </w:tcPr>
          <w:p>
            <w:pPr>
              <w:spacing w:after="20"/>
            </w:pPr>
            <w:r/>
            <w:r>
              <w:rPr>
                <w:b/>
                <w:color w:val="C0392B"/>
                <w:sz w:val="15"/>
              </w:rPr>
              <w:t>[To investigate]</w:t>
            </w:r>
          </w:p>
        </w:tc>
      </w:tr>
      <w:tr>
        <w:tc>
          <w:tcPr>
            <w:tcW w:type="dxa" w:w="1104"/>
            <w:shd w:val="clear" w:color="auto" w:fill="F2F5F9"/>
          </w:tcPr>
          <w:p>
            <w:pPr>
              <w:spacing w:after="20"/>
            </w:pPr>
            <w:r/>
            <w:r>
              <w:rPr>
                <w:sz w:val="15"/>
              </w:rPr>
              <w:t>Marketing consent / DND flags</w:t>
            </w:r>
          </w:p>
        </w:tc>
        <w:tc>
          <w:tcPr>
            <w:tcW w:type="dxa" w:w="1279"/>
            <w:shd w:val="clear" w:color="auto" w:fill="F2F5F9"/>
          </w:tcPr>
          <w:p>
            <w:pPr>
              <w:spacing w:after="20"/>
            </w:pPr>
            <w:r/>
            <w:r>
              <w:rPr>
                <w:sz w:val="15"/>
              </w:rPr>
              <w:t>Contactability</w:t>
            </w:r>
          </w:p>
        </w:tc>
        <w:tc>
          <w:tcPr>
            <w:tcW w:type="dxa" w:w="789"/>
            <w:shd w:val="clear" w:color="auto" w:fill="F2F5F9"/>
          </w:tcPr>
          <w:p>
            <w:pPr>
              <w:spacing w:after="20"/>
            </w:pPr>
            <w:r/>
            <w:r>
              <w:rPr>
                <w:sz w:val="15"/>
              </w:rPr>
              <w:t>Compliance</w:t>
            </w:r>
          </w:p>
        </w:tc>
        <w:tc>
          <w:tcPr>
            <w:tcW w:type="dxa" w:w="1341"/>
            <w:shd w:val="clear" w:color="auto" w:fill="F2F5F9"/>
          </w:tcPr>
          <w:p>
            <w:pPr>
              <w:spacing w:after="20"/>
            </w:pPr>
            <w:r/>
            <w:r>
              <w:rPr>
                <w:sz w:val="15"/>
              </w:rPr>
              <w:t>Customer</w:t>
            </w:r>
          </w:p>
        </w:tc>
        <w:tc>
          <w:tcPr>
            <w:tcW w:type="dxa" w:w="787"/>
            <w:shd w:val="clear" w:color="auto" w:fill="F2F5F9"/>
          </w:tcPr>
          <w:p>
            <w:pPr>
              <w:spacing w:after="20"/>
            </w:pPr>
            <w:r/>
            <w:r>
              <w:rPr>
                <w:sz w:val="15"/>
              </w:rPr>
              <w:t>Event</w:t>
            </w:r>
          </w:p>
        </w:tc>
        <w:tc>
          <w:tcPr>
            <w:tcW w:type="dxa" w:w="1104"/>
            <w:shd w:val="clear" w:color="auto" w:fill="F2F5F9"/>
          </w:tcPr>
          <w:p>
            <w:pPr>
              <w:spacing w:after="20"/>
            </w:pPr>
            <w:r/>
            <w:r>
              <w:rPr>
                <w:sz w:val="15"/>
              </w:rPr>
              <w:t>Yes</w:t>
            </w:r>
          </w:p>
        </w:tc>
        <w:tc>
          <w:tcPr>
            <w:tcW w:type="dxa" w:w="1341"/>
            <w:shd w:val="clear" w:color="auto" w:fill="F2F5F9"/>
          </w:tcPr>
          <w:p>
            <w:pPr>
              <w:spacing w:after="20"/>
            </w:pPr>
            <w:r/>
            <w:r>
              <w:rPr>
                <w:sz w:val="15"/>
              </w:rPr>
              <w:t>Staleness</w:t>
            </w:r>
          </w:p>
        </w:tc>
        <w:tc>
          <w:tcPr>
            <w:tcW w:type="dxa" w:w="868"/>
            <w:shd w:val="clear" w:color="auto" w:fill="F2F5F9"/>
          </w:tcPr>
          <w:p>
            <w:pPr>
              <w:spacing w:after="20"/>
            </w:pPr>
            <w:r/>
            <w:r>
              <w:rPr>
                <w:sz w:val="15"/>
              </w:rPr>
              <w:t>Regulatory</w:t>
            </w:r>
          </w:p>
        </w:tc>
        <w:tc>
          <w:tcPr>
            <w:tcW w:type="dxa" w:w="1025"/>
            <w:shd w:val="clear" w:color="auto" w:fill="F2F5F9"/>
          </w:tcPr>
          <w:p>
            <w:pPr>
              <w:spacing w:after="20"/>
            </w:pPr>
            <w:r/>
            <w:r>
              <w:rPr>
                <w:b/>
                <w:color w:val="C0392B"/>
                <w:sz w:val="15"/>
              </w:rPr>
              <w:t>[To investigate]</w:t>
            </w:r>
          </w:p>
        </w:tc>
      </w:tr>
      <w:tr>
        <w:tc>
          <w:tcPr>
            <w:tcW w:type="dxa" w:w="1104"/>
          </w:tcPr>
          <w:p>
            <w:pPr>
              <w:spacing w:after="20"/>
            </w:pPr>
            <w:r/>
            <w:r>
              <w:rPr>
                <w:sz w:val="15"/>
              </w:rPr>
              <w:t>External macro / competitor offers</w:t>
            </w:r>
          </w:p>
        </w:tc>
        <w:tc>
          <w:tcPr>
            <w:tcW w:type="dxa" w:w="1279"/>
          </w:tcPr>
          <w:p>
            <w:pPr>
              <w:spacing w:after="20"/>
            </w:pPr>
            <w:r/>
            <w:r>
              <w:rPr>
                <w:sz w:val="15"/>
              </w:rPr>
              <w:t>Interest-rate and competitor effects</w:t>
            </w:r>
          </w:p>
        </w:tc>
        <w:tc>
          <w:tcPr>
            <w:tcW w:type="dxa" w:w="789"/>
          </w:tcPr>
          <w:p>
            <w:pPr>
              <w:spacing w:after="20"/>
            </w:pPr>
            <w:r/>
            <w:r>
              <w:rPr>
                <w:sz w:val="15"/>
              </w:rPr>
              <w:t>Public</w:t>
            </w:r>
          </w:p>
        </w:tc>
        <w:tc>
          <w:tcPr>
            <w:tcW w:type="dxa" w:w="1341"/>
          </w:tcPr>
          <w:p>
            <w:pPr>
              <w:spacing w:after="20"/>
            </w:pPr>
            <w:r/>
            <w:r>
              <w:rPr>
                <w:sz w:val="15"/>
              </w:rPr>
              <w:t>Month</w:t>
            </w:r>
          </w:p>
        </w:tc>
        <w:tc>
          <w:tcPr>
            <w:tcW w:type="dxa" w:w="787"/>
          </w:tcPr>
          <w:p>
            <w:pPr>
              <w:spacing w:after="20"/>
            </w:pPr>
            <w:r/>
            <w:r>
              <w:rPr>
                <w:sz w:val="15"/>
              </w:rPr>
              <w:t>Monthly</w:t>
            </w:r>
          </w:p>
        </w:tc>
        <w:tc>
          <w:tcPr>
            <w:tcW w:type="dxa" w:w="1104"/>
          </w:tcPr>
          <w:p>
            <w:pPr>
              <w:spacing w:after="20"/>
            </w:pPr>
            <w:r/>
            <w:r>
              <w:rPr>
                <w:sz w:val="15"/>
              </w:rPr>
              <w:t>Yes</w:t>
            </w:r>
          </w:p>
        </w:tc>
        <w:tc>
          <w:tcPr>
            <w:tcW w:type="dxa" w:w="1341"/>
          </w:tcPr>
          <w:p>
            <w:pPr>
              <w:spacing w:after="20"/>
            </w:pPr>
            <w:r/>
            <w:r>
              <w:rPr>
                <w:sz w:val="15"/>
              </w:rPr>
              <w:t>Weak, aggregated</w:t>
            </w:r>
          </w:p>
        </w:tc>
        <w:tc>
          <w:tcPr>
            <w:tcW w:type="dxa" w:w="868"/>
          </w:tcPr>
          <w:p>
            <w:pPr>
              <w:spacing w:after="20"/>
            </w:pPr>
            <w:r/>
            <w:r>
              <w:rPr>
                <w:sz w:val="15"/>
              </w:rPr>
              <w:t>None</w:t>
            </w:r>
          </w:p>
        </w:tc>
        <w:tc>
          <w:tcPr>
            <w:tcW w:type="dxa" w:w="1025"/>
          </w:tcPr>
          <w:p>
            <w:pPr>
              <w:spacing w:after="20"/>
            </w:pPr>
            <w:r/>
            <w:r>
              <w:rPr>
                <w:b/>
                <w:color w:val="C0392B"/>
                <w:sz w:val="15"/>
              </w:rPr>
              <w:t>[To investigate]</w:t>
            </w:r>
            <w:r>
              <w:rPr>
                <w:sz w:val="15"/>
              </w:rPr>
              <w:t>, nice-to-have</w:t>
            </w:r>
          </w:p>
        </w:tc>
      </w:tr>
    </w:tbl>
    <w:p>
      <w:pPr>
        <w:spacing w:after="40"/>
      </w:pPr>
    </w:p>
    <w:p>
      <w:r>
        <w:rPr>
          <w:b/>
        </w:rPr>
        <w:t>Feasibility verdict: Feasible with conditions.</w:t>
      </w:r>
      <w:r>
        <w:rPr/>
        <w:t xml:space="preserve"> Blocking dependencies:</w:t>
      </w:r>
    </w:p>
    <w:p>
      <w:pPr>
        <w:tabs>
          <w:tab w:pos="357" w:val="left"/>
        </w:tabs>
        <w:spacing w:after="40"/>
        <w:ind w:left="357" w:hanging="357"/>
      </w:pPr>
      <w:r>
        <w:rPr/>
        <w:t>1.</w:t>
        <w:tab/>
      </w:r>
      <w:r>
        <w:rPr/>
        <w:t>A reliable voluntary-closure label with reason codes and closure dates (Q1).</w:t>
      </w:r>
    </w:p>
    <w:p>
      <w:pPr>
        <w:tabs>
          <w:tab w:pos="357" w:val="left"/>
        </w:tabs>
        <w:spacing w:after="40"/>
        <w:ind w:left="357" w:hanging="357"/>
      </w:pPr>
      <w:r>
        <w:rPr/>
        <w:t>2.</w:t>
        <w:tab/>
      </w:r>
      <w:r>
        <w:rPr/>
        <w:t>Point-in-time reconstruction of features at each month-end, including history of demographics and limits.</w:t>
      </w:r>
    </w:p>
    <w:p>
      <w:pPr>
        <w:tabs>
          <w:tab w:pos="357" w:val="left"/>
        </w:tabs>
        <w:spacing w:after="40"/>
        <w:ind w:left="357" w:hanging="357"/>
      </w:pPr>
      <w:r>
        <w:rPr/>
        <w:t>3.</w:t>
        <w:tab/>
      </w:r>
      <w:r>
        <w:rPr/>
        <w:t>Retention-call history, to avoid contaminated features and labels and to support the observational part of A3 (Q4).</w:t>
      </w:r>
    </w:p>
    <w:p>
      <w:pPr>
        <w:tabs>
          <w:tab w:pos="357" w:val="left"/>
        </w:tabs>
        <w:spacing w:after="40"/>
        <w:ind w:left="357" w:hanging="357"/>
      </w:pPr>
      <w:r>
        <w:rPr/>
        <w:t>4.</w:t>
        <w:tab/>
      </w:r>
      <w:r>
        <w:rPr/>
        <w:t>Approval to run the randomised pilot (Q5).</w:t>
      </w:r>
    </w:p>
    <w:p>
      <w:pPr>
        <w:pStyle w:val="Heading2"/>
      </w:pPr>
      <w:r>
        <w:rPr/>
        <w:t>6. Data Quality &amp; Preprocessing Plan</w:t>
      </w:r>
    </w:p>
    <w:tbl>
      <w:tblPr>
        <w:tblStyle w:val="TableGrid"/>
        <w:tblW w:type="auto" w:w="0"/>
        <w:jc w:val="center"/>
        <w:tblLayout w:type="fixed"/>
        <w:tblLook w:firstColumn="1" w:firstRow="1" w:lastColumn="0" w:lastRow="0" w:noHBand="0" w:noVBand="1" w:val="04A0"/>
        <w:tblLayout w:type="fixed"/>
      </w:tblPr>
      <w:tblGrid>
        <w:gridCol w:w="1775"/>
        <w:gridCol w:w="1722"/>
        <w:gridCol w:w="2753"/>
        <w:gridCol w:w="1665"/>
        <w:gridCol w:w="1722"/>
      </w:tblGrid>
      <w:tr>
        <w:trPr>
          <w:tblHeader w:val="true"/>
        </w:trPr>
        <w:tc>
          <w:tcPr>
            <w:tcW w:type="dxa" w:w="1775"/>
            <w:shd w:val="clear" w:color="auto" w:fill="1F3A5F"/>
          </w:tcPr>
          <w:p>
            <w:r/>
            <w:r>
              <w:rPr>
                <w:b/>
                <w:color w:val="FFFFFF"/>
                <w:sz w:val="17"/>
              </w:rPr>
              <w:t>Step</w:t>
            </w:r>
          </w:p>
        </w:tc>
        <w:tc>
          <w:tcPr>
            <w:tcW w:type="dxa" w:w="1722"/>
            <w:shd w:val="clear" w:color="auto" w:fill="1F3A5F"/>
          </w:tcPr>
          <w:p>
            <w:r/>
            <w:r>
              <w:rPr>
                <w:b/>
                <w:color w:val="FFFFFF"/>
                <w:sz w:val="17"/>
              </w:rPr>
              <w:t>Rationale</w:t>
            </w:r>
          </w:p>
        </w:tc>
        <w:tc>
          <w:tcPr>
            <w:tcW w:type="dxa" w:w="2753"/>
            <w:shd w:val="clear" w:color="auto" w:fill="1F3A5F"/>
          </w:tcPr>
          <w:p>
            <w:r/>
            <w:r>
              <w:rPr>
                <w:b/>
                <w:color w:val="FFFFFF"/>
                <w:sz w:val="17"/>
              </w:rPr>
              <w:t>Method</w:t>
            </w:r>
          </w:p>
        </w:tc>
        <w:tc>
          <w:tcPr>
            <w:tcW w:type="dxa" w:w="1665"/>
            <w:shd w:val="clear" w:color="auto" w:fill="1F3A5F"/>
          </w:tcPr>
          <w:p>
            <w:r/>
            <w:r>
              <w:rPr>
                <w:b/>
                <w:color w:val="FFFFFF"/>
                <w:sz w:val="17"/>
              </w:rPr>
              <w:t>Risks</w:t>
            </w:r>
          </w:p>
        </w:tc>
        <w:tc>
          <w:tcPr>
            <w:tcW w:type="dxa" w:w="1722"/>
            <w:shd w:val="clear" w:color="auto" w:fill="1F3A5F"/>
          </w:tcPr>
          <w:p>
            <w:r/>
            <w:r>
              <w:rPr>
                <w:b/>
                <w:color w:val="FFFFFF"/>
                <w:sz w:val="17"/>
              </w:rPr>
              <w:t>Validation check</w:t>
            </w:r>
          </w:p>
        </w:tc>
      </w:tr>
      <w:tr>
        <w:tc>
          <w:tcPr>
            <w:tcW w:type="dxa" w:w="1775"/>
          </w:tcPr>
          <w:p>
            <w:pPr>
              <w:spacing w:after="20"/>
            </w:pPr>
            <w:r/>
            <w:r>
              <w:rPr>
                <w:sz w:val="17"/>
              </w:rPr>
              <w:t>Build monthly snapshot table</w:t>
            </w:r>
          </w:p>
        </w:tc>
        <w:tc>
          <w:tcPr>
            <w:tcW w:type="dxa" w:w="1722"/>
          </w:tcPr>
          <w:p>
            <w:pPr>
              <w:spacing w:after="20"/>
            </w:pPr>
            <w:r/>
            <w:r>
              <w:rPr>
                <w:sz w:val="17"/>
              </w:rPr>
              <w:t>Match the decision timing</w:t>
            </w:r>
          </w:p>
        </w:tc>
        <w:tc>
          <w:tcPr>
            <w:tcW w:type="dxa" w:w="2753"/>
          </w:tcPr>
          <w:p>
            <w:pPr>
              <w:spacing w:after="20"/>
            </w:pPr>
            <w:r/>
            <w:r>
              <w:rPr>
                <w:sz w:val="17"/>
              </w:rPr>
              <w:t>One row per active card per month-end; features from data ≤ t0 only; label from (t0, t0+3m]</w:t>
            </w:r>
          </w:p>
        </w:tc>
        <w:tc>
          <w:tcPr>
            <w:tcW w:type="dxa" w:w="1665"/>
          </w:tcPr>
          <w:p>
            <w:pPr>
              <w:spacing w:after="20"/>
            </w:pPr>
            <w:r/>
            <w:r>
              <w:rPr>
                <w:sz w:val="17"/>
              </w:rPr>
              <w:t>Using current-state tables leaks the future</w:t>
            </w:r>
          </w:p>
        </w:tc>
        <w:tc>
          <w:tcPr>
            <w:tcW w:type="dxa" w:w="1722"/>
          </w:tcPr>
          <w:p>
            <w:pPr>
              <w:spacing w:after="20"/>
            </w:pPr>
            <w:r/>
            <w:r>
              <w:rPr>
                <w:sz w:val="17"/>
              </w:rPr>
              <w:t>Re-run a past snapshot and compare with archived values</w:t>
            </w:r>
          </w:p>
        </w:tc>
      </w:tr>
      <w:tr>
        <w:tc>
          <w:tcPr>
            <w:tcW w:type="dxa" w:w="1775"/>
            <w:shd w:val="clear" w:color="auto" w:fill="F2F5F9"/>
          </w:tcPr>
          <w:p>
            <w:pPr>
              <w:spacing w:after="20"/>
            </w:pPr>
            <w:r/>
            <w:r>
              <w:rPr>
                <w:sz w:val="17"/>
              </w:rPr>
              <w:t>Entity resolution</w:t>
            </w:r>
          </w:p>
        </w:tc>
        <w:tc>
          <w:tcPr>
            <w:tcW w:type="dxa" w:w="1722"/>
            <w:shd w:val="clear" w:color="auto" w:fill="F2F5F9"/>
          </w:tcPr>
          <w:p>
            <w:pPr>
              <w:spacing w:after="20"/>
            </w:pPr>
            <w:r/>
            <w:r>
              <w:rPr>
                <w:sz w:val="17"/>
              </w:rPr>
              <w:t>Customers may hold several cards</w:t>
            </w:r>
          </w:p>
        </w:tc>
        <w:tc>
          <w:tcPr>
            <w:tcW w:type="dxa" w:w="2753"/>
            <w:shd w:val="clear" w:color="auto" w:fill="F2F5F9"/>
          </w:tcPr>
          <w:p>
            <w:pPr>
              <w:spacing w:after="20"/>
            </w:pPr>
            <w:r/>
            <w:r>
              <w:rPr>
                <w:sz w:val="17"/>
              </w:rPr>
              <w:t>Map card to customer; define churn per Q3</w:t>
            </w:r>
          </w:p>
        </w:tc>
        <w:tc>
          <w:tcPr>
            <w:tcW w:type="dxa" w:w="1665"/>
            <w:shd w:val="clear" w:color="auto" w:fill="F2F5F9"/>
          </w:tcPr>
          <w:p>
            <w:pPr>
              <w:spacing w:after="20"/>
            </w:pPr>
            <w:r/>
            <w:r>
              <w:rPr>
                <w:sz w:val="17"/>
              </w:rPr>
              <w:t>Counting product migrations as churn</w:t>
            </w:r>
          </w:p>
        </w:tc>
        <w:tc>
          <w:tcPr>
            <w:tcW w:type="dxa" w:w="1722"/>
            <w:shd w:val="clear" w:color="auto" w:fill="F2F5F9"/>
          </w:tcPr>
          <w:p>
            <w:pPr>
              <w:spacing w:after="20"/>
            </w:pPr>
            <w:r/>
            <w:r>
              <w:rPr>
                <w:sz w:val="17"/>
              </w:rPr>
              <w:t>Reconcile closures against new-card issuance</w:t>
            </w:r>
          </w:p>
        </w:tc>
      </w:tr>
      <w:tr>
        <w:tc>
          <w:tcPr>
            <w:tcW w:type="dxa" w:w="1775"/>
          </w:tcPr>
          <w:p>
            <w:pPr>
              <w:spacing w:after="20"/>
            </w:pPr>
            <w:r/>
            <w:r>
              <w:rPr>
                <w:sz w:val="17"/>
              </w:rPr>
              <w:t>Exclusions</w:t>
            </w:r>
          </w:p>
        </w:tc>
        <w:tc>
          <w:tcPr>
            <w:tcW w:type="dxa" w:w="1722"/>
          </w:tcPr>
          <w:p>
            <w:pPr>
              <w:spacing w:after="20"/>
            </w:pPr>
            <w:r/>
            <w:r>
              <w:rPr>
                <w:sz w:val="17"/>
              </w:rPr>
              <w:t>Remove cases the call cannot influence or that are not voluntary</w:t>
            </w:r>
          </w:p>
        </w:tc>
        <w:tc>
          <w:tcPr>
            <w:tcW w:type="dxa" w:w="2753"/>
          </w:tcPr>
          <w:p>
            <w:pPr>
              <w:spacing w:after="20"/>
            </w:pPr>
            <w:r/>
            <w:r>
              <w:rPr>
                <w:sz w:val="17"/>
              </w:rPr>
              <w:t>Drop bank-initiated closures, fraud, deceased, delinquent/charge-off, and cards closed at t0</w:t>
            </w:r>
          </w:p>
        </w:tc>
        <w:tc>
          <w:tcPr>
            <w:tcW w:type="dxa" w:w="1665"/>
          </w:tcPr>
          <w:p>
            <w:pPr>
              <w:spacing w:after="20"/>
            </w:pPr>
            <w:r/>
            <w:r>
              <w:rPr>
                <w:sz w:val="17"/>
              </w:rPr>
              <w:t>Alters the population and the estimand (state it)</w:t>
            </w:r>
          </w:p>
        </w:tc>
        <w:tc>
          <w:tcPr>
            <w:tcW w:type="dxa" w:w="1722"/>
          </w:tcPr>
          <w:p>
            <w:pPr>
              <w:spacing w:after="20"/>
            </w:pPr>
            <w:r/>
            <w:r>
              <w:rPr>
                <w:sz w:val="17"/>
              </w:rPr>
              <w:t>Counts and rates by exclusion reason</w:t>
            </w:r>
          </w:p>
        </w:tc>
      </w:tr>
      <w:tr>
        <w:tc>
          <w:tcPr>
            <w:tcW w:type="dxa" w:w="1775"/>
            <w:shd w:val="clear" w:color="auto" w:fill="F2F5F9"/>
          </w:tcPr>
          <w:p>
            <w:pPr>
              <w:spacing w:after="20"/>
            </w:pPr>
            <w:r/>
            <w:r>
              <w:rPr>
                <w:sz w:val="17"/>
              </w:rPr>
              <w:t>Handle pending closure requests</w:t>
            </w:r>
          </w:p>
        </w:tc>
        <w:tc>
          <w:tcPr>
            <w:tcW w:type="dxa" w:w="1722"/>
            <w:shd w:val="clear" w:color="auto" w:fill="F2F5F9"/>
          </w:tcPr>
          <w:p>
            <w:pPr>
              <w:spacing w:after="20"/>
            </w:pPr>
            <w:r/>
            <w:r>
              <w:rPr>
                <w:sz w:val="17"/>
              </w:rPr>
              <w:t>A request already logged is nearly the label</w:t>
            </w:r>
          </w:p>
        </w:tc>
        <w:tc>
          <w:tcPr>
            <w:tcW w:type="dxa" w:w="2753"/>
            <w:shd w:val="clear" w:color="auto" w:fill="F2F5F9"/>
          </w:tcPr>
          <w:p>
            <w:pPr>
              <w:spacing w:after="20"/>
            </w:pPr>
            <w:r/>
            <w:r>
              <w:rPr>
                <w:sz w:val="17"/>
              </w:rPr>
              <w:t>Exclude from the ordinary model population at t0 or route to a "save desk" list</w:t>
            </w:r>
          </w:p>
        </w:tc>
        <w:tc>
          <w:tcPr>
            <w:tcW w:type="dxa" w:w="1665"/>
            <w:shd w:val="clear" w:color="auto" w:fill="F2F5F9"/>
          </w:tcPr>
          <w:p>
            <w:pPr>
              <w:spacing w:after="20"/>
            </w:pPr>
            <w:r/>
            <w:r>
              <w:rPr>
                <w:sz w:val="17"/>
              </w:rPr>
              <w:t>Leakage; wasted capacity</w:t>
            </w:r>
          </w:p>
        </w:tc>
        <w:tc>
          <w:tcPr>
            <w:tcW w:type="dxa" w:w="1722"/>
            <w:shd w:val="clear" w:color="auto" w:fill="F2F5F9"/>
          </w:tcPr>
          <w:p>
            <w:pPr>
              <w:spacing w:after="20"/>
            </w:pPr>
            <w:r/>
            <w:r>
              <w:rPr>
                <w:sz w:val="17"/>
              </w:rPr>
              <w:t>Compare model quality with and without these rows</w:t>
            </w:r>
          </w:p>
        </w:tc>
      </w:tr>
      <w:tr>
        <w:tc>
          <w:tcPr>
            <w:tcW w:type="dxa" w:w="1775"/>
          </w:tcPr>
          <w:p>
            <w:pPr>
              <w:spacing w:after="20"/>
            </w:pPr>
            <w:r/>
            <w:r>
              <w:rPr>
                <w:sz w:val="17"/>
              </w:rPr>
              <w:t>Deduplicate and reconcile transactions</w:t>
            </w:r>
          </w:p>
        </w:tc>
        <w:tc>
          <w:tcPr>
            <w:tcW w:type="dxa" w:w="1722"/>
          </w:tcPr>
          <w:p>
            <w:pPr>
              <w:spacing w:after="20"/>
            </w:pPr>
            <w:r/>
            <w:r>
              <w:rPr>
                <w:sz w:val="17"/>
              </w:rPr>
              <w:t>Duplicates and reversals distort spend</w:t>
            </w:r>
          </w:p>
        </w:tc>
        <w:tc>
          <w:tcPr>
            <w:tcW w:type="dxa" w:w="2753"/>
          </w:tcPr>
          <w:p>
            <w:pPr>
              <w:spacing w:after="20"/>
            </w:pPr>
            <w:r/>
            <w:r>
              <w:rPr>
                <w:sz w:val="17"/>
              </w:rPr>
              <w:t>Net reversals; dedupe by transaction ID</w:t>
            </w:r>
          </w:p>
        </w:tc>
        <w:tc>
          <w:tcPr>
            <w:tcW w:type="dxa" w:w="1665"/>
          </w:tcPr>
          <w:p>
            <w:pPr>
              <w:spacing w:after="20"/>
            </w:pPr>
            <w:r/>
            <w:r>
              <w:rPr>
                <w:sz w:val="17"/>
              </w:rPr>
              <w:t>Signal loss from over-cleaning</w:t>
            </w:r>
          </w:p>
        </w:tc>
        <w:tc>
          <w:tcPr>
            <w:tcW w:type="dxa" w:w="1722"/>
          </w:tcPr>
          <w:p>
            <w:pPr>
              <w:spacing w:after="20"/>
            </w:pPr>
            <w:r/>
            <w:r>
              <w:rPr>
                <w:sz w:val="17"/>
              </w:rPr>
              <w:t>Totals reconcile to statements</w:t>
            </w:r>
          </w:p>
        </w:tc>
      </w:tr>
      <w:tr>
        <w:tc>
          <w:tcPr>
            <w:tcW w:type="dxa" w:w="1775"/>
            <w:shd w:val="clear" w:color="auto" w:fill="F2F5F9"/>
          </w:tcPr>
          <w:p>
            <w:pPr>
              <w:spacing w:after="20"/>
            </w:pPr>
            <w:r/>
            <w:r>
              <w:rPr>
                <w:sz w:val="17"/>
              </w:rPr>
              <w:t>Missing values</w:t>
            </w:r>
          </w:p>
        </w:tc>
        <w:tc>
          <w:tcPr>
            <w:tcW w:type="dxa" w:w="1722"/>
            <w:shd w:val="clear" w:color="auto" w:fill="F2F5F9"/>
          </w:tcPr>
          <w:p>
            <w:pPr>
              <w:spacing w:after="20"/>
            </w:pPr>
            <w:r/>
            <w:r>
              <w:rPr>
                <w:sz w:val="17"/>
              </w:rPr>
              <w:t>Missingness may be informative (no complaints vs not recorded)</w:t>
            </w:r>
          </w:p>
        </w:tc>
        <w:tc>
          <w:tcPr>
            <w:tcW w:type="dxa" w:w="2753"/>
            <w:shd w:val="clear" w:color="auto" w:fill="F2F5F9"/>
          </w:tcPr>
          <w:p>
            <w:pPr>
              <w:spacing w:after="20"/>
            </w:pPr>
            <w:r/>
            <w:r>
              <w:rPr>
                <w:sz w:val="17"/>
              </w:rPr>
              <w:t>Explicit missing indicators; zero-fill only where "none" is true; tree-native handling</w:t>
            </w:r>
          </w:p>
        </w:tc>
        <w:tc>
          <w:tcPr>
            <w:tcW w:type="dxa" w:w="1665"/>
            <w:shd w:val="clear" w:color="auto" w:fill="F2F5F9"/>
          </w:tcPr>
          <w:p>
            <w:pPr>
              <w:spacing w:after="20"/>
            </w:pPr>
            <w:r/>
            <w:r>
              <w:rPr>
                <w:sz w:val="17"/>
              </w:rPr>
              <w:t>Imputation fit on full data leaks</w:t>
            </w:r>
          </w:p>
        </w:tc>
        <w:tc>
          <w:tcPr>
            <w:tcW w:type="dxa" w:w="1722"/>
            <w:shd w:val="clear" w:color="auto" w:fill="F2F5F9"/>
          </w:tcPr>
          <w:p>
            <w:pPr>
              <w:spacing w:after="20"/>
            </w:pPr>
            <w:r/>
            <w:r>
              <w:rPr>
                <w:sz w:val="17"/>
              </w:rPr>
              <w:t>Fit imputers in training folds only</w:t>
            </w:r>
          </w:p>
        </w:tc>
      </w:tr>
      <w:tr>
        <w:tc>
          <w:tcPr>
            <w:tcW w:type="dxa" w:w="1775"/>
          </w:tcPr>
          <w:p>
            <w:pPr>
              <w:spacing w:after="20"/>
            </w:pPr>
            <w:r/>
            <w:r>
              <w:rPr>
                <w:sz w:val="17"/>
              </w:rPr>
              <w:t>Outliers</w:t>
            </w:r>
          </w:p>
        </w:tc>
        <w:tc>
          <w:tcPr>
            <w:tcW w:type="dxa" w:w="1722"/>
          </w:tcPr>
          <w:p>
            <w:pPr>
              <w:spacing w:after="20"/>
            </w:pPr>
            <w:r/>
            <w:r>
              <w:rPr>
                <w:sz w:val="17"/>
              </w:rPr>
              <w:t>Spend and balance are heavy-tailed</w:t>
            </w:r>
          </w:p>
        </w:tc>
        <w:tc>
          <w:tcPr>
            <w:tcW w:type="dxa" w:w="2753"/>
          </w:tcPr>
          <w:p>
            <w:pPr>
              <w:spacing w:after="20"/>
            </w:pPr>
            <w:r/>
            <w:r>
              <w:rPr>
                <w:sz w:val="17"/>
              </w:rPr>
              <w:t>Winsorise or log-transform for linear models; leave for trees</w:t>
            </w:r>
          </w:p>
        </w:tc>
        <w:tc>
          <w:tcPr>
            <w:tcW w:type="dxa" w:w="1665"/>
          </w:tcPr>
          <w:p>
            <w:pPr>
              <w:spacing w:after="20"/>
            </w:pPr>
            <w:r/>
            <w:r>
              <w:rPr>
                <w:sz w:val="17"/>
              </w:rPr>
              <w:t>Removing high-value customers</w:t>
            </w:r>
          </w:p>
        </w:tc>
        <w:tc>
          <w:tcPr>
            <w:tcW w:type="dxa" w:w="1722"/>
          </w:tcPr>
          <w:p>
            <w:pPr>
              <w:spacing w:after="20"/>
            </w:pPr>
            <w:r/>
            <w:r>
              <w:rPr>
                <w:sz w:val="17"/>
              </w:rPr>
              <w:t>Compare metrics by value tier</w:t>
            </w:r>
          </w:p>
        </w:tc>
      </w:tr>
      <w:tr>
        <w:tc>
          <w:tcPr>
            <w:tcW w:type="dxa" w:w="1775"/>
            <w:shd w:val="clear" w:color="auto" w:fill="F2F5F9"/>
          </w:tcPr>
          <w:p>
            <w:pPr>
              <w:spacing w:after="20"/>
            </w:pPr>
            <w:r/>
            <w:r>
              <w:rPr>
                <w:sz w:val="17"/>
              </w:rPr>
              <w:t>Encoding</w:t>
            </w:r>
          </w:p>
        </w:tc>
        <w:tc>
          <w:tcPr>
            <w:tcW w:type="dxa" w:w="1722"/>
            <w:shd w:val="clear" w:color="auto" w:fill="F2F5F9"/>
          </w:tcPr>
          <w:p>
            <w:pPr>
              <w:spacing w:after="20"/>
            </w:pPr>
            <w:r/>
            <w:r>
              <w:rPr>
                <w:sz w:val="17"/>
              </w:rPr>
              <w:t>MCC, city, product are high-cardinality</w:t>
            </w:r>
          </w:p>
        </w:tc>
        <w:tc>
          <w:tcPr>
            <w:tcW w:type="dxa" w:w="2753"/>
            <w:shd w:val="clear" w:color="auto" w:fill="F2F5F9"/>
          </w:tcPr>
          <w:p>
            <w:pPr>
              <w:spacing w:after="20"/>
            </w:pPr>
            <w:r/>
            <w:r>
              <w:rPr>
                <w:sz w:val="17"/>
              </w:rPr>
              <w:t>Frequency or target encoding fitted in folds; grouped rare levels</w:t>
            </w:r>
          </w:p>
        </w:tc>
        <w:tc>
          <w:tcPr>
            <w:tcW w:type="dxa" w:w="1665"/>
            <w:shd w:val="clear" w:color="auto" w:fill="F2F5F9"/>
          </w:tcPr>
          <w:p>
            <w:pPr>
              <w:spacing w:after="20"/>
            </w:pPr>
            <w:r/>
            <w:r>
              <w:rPr>
                <w:sz w:val="17"/>
              </w:rPr>
              <w:t>Target encoding leakage</w:t>
            </w:r>
          </w:p>
        </w:tc>
        <w:tc>
          <w:tcPr>
            <w:tcW w:type="dxa" w:w="1722"/>
            <w:shd w:val="clear" w:color="auto" w:fill="F2F5F9"/>
          </w:tcPr>
          <w:p>
            <w:pPr>
              <w:spacing w:after="20"/>
            </w:pPr>
            <w:r/>
            <w:r>
              <w:rPr>
                <w:sz w:val="17"/>
              </w:rPr>
              <w:t>Encoding inside the CV pipeline</w:t>
            </w:r>
          </w:p>
        </w:tc>
      </w:tr>
      <w:tr>
        <w:tc>
          <w:tcPr>
            <w:tcW w:type="dxa" w:w="1775"/>
          </w:tcPr>
          <w:p>
            <w:pPr>
              <w:spacing w:after="20"/>
            </w:pPr>
            <w:r/>
            <w:r>
              <w:rPr>
                <w:sz w:val="17"/>
              </w:rPr>
              <w:t>Scaling</w:t>
            </w:r>
          </w:p>
        </w:tc>
        <w:tc>
          <w:tcPr>
            <w:tcW w:type="dxa" w:w="1722"/>
          </w:tcPr>
          <w:p>
            <w:pPr>
              <w:spacing w:after="20"/>
            </w:pPr>
            <w:r/>
            <w:r>
              <w:rPr>
                <w:sz w:val="17"/>
              </w:rPr>
              <w:t>Needed for linear / regularised models only</w:t>
            </w:r>
          </w:p>
        </w:tc>
        <w:tc>
          <w:tcPr>
            <w:tcW w:type="dxa" w:w="2753"/>
          </w:tcPr>
          <w:p>
            <w:pPr>
              <w:spacing w:after="20"/>
            </w:pPr>
            <w:r/>
            <w:r>
              <w:rPr>
                <w:sz w:val="17"/>
              </w:rPr>
              <w:t>Fit on training folds</w:t>
            </w:r>
          </w:p>
        </w:tc>
        <w:tc>
          <w:tcPr>
            <w:tcW w:type="dxa" w:w="1665"/>
          </w:tcPr>
          <w:p>
            <w:pPr>
              <w:spacing w:after="20"/>
            </w:pPr>
            <w:r/>
            <w:r>
              <w:rPr>
                <w:sz w:val="17"/>
              </w:rPr>
              <w:t>None material for trees</w:t>
            </w:r>
          </w:p>
        </w:tc>
        <w:tc>
          <w:tcPr>
            <w:tcW w:type="dxa" w:w="1722"/>
          </w:tcPr>
          <w:p>
            <w:pPr>
              <w:spacing w:after="20"/>
            </w:pPr>
            <w:r/>
            <w:r>
              <w:rPr>
                <w:sz w:val="17"/>
              </w:rPr>
              <w:t>Pipeline test</w:t>
            </w:r>
          </w:p>
        </w:tc>
      </w:tr>
      <w:tr>
        <w:tc>
          <w:tcPr>
            <w:tcW w:type="dxa" w:w="1775"/>
            <w:shd w:val="clear" w:color="auto" w:fill="F2F5F9"/>
          </w:tcPr>
          <w:p>
            <w:pPr>
              <w:spacing w:after="20"/>
            </w:pPr>
            <w:r/>
            <w:r>
              <w:rPr>
                <w:sz w:val="17"/>
              </w:rPr>
              <w:t>Class imbalance (~4–5% positives)</w:t>
            </w:r>
          </w:p>
        </w:tc>
        <w:tc>
          <w:tcPr>
            <w:tcW w:type="dxa" w:w="1722"/>
            <w:shd w:val="clear" w:color="auto" w:fill="F2F5F9"/>
          </w:tcPr>
          <w:p>
            <w:pPr>
              <w:spacing w:after="20"/>
            </w:pPr>
            <w:r/>
            <w:r>
              <w:rPr>
                <w:sz w:val="17"/>
              </w:rPr>
              <w:t>Imbalance is moderate, not extreme</w:t>
            </w:r>
          </w:p>
        </w:tc>
        <w:tc>
          <w:tcPr>
            <w:tcW w:type="dxa" w:w="2753"/>
            <w:shd w:val="clear" w:color="auto" w:fill="F2F5F9"/>
          </w:tcPr>
          <w:p>
            <w:pPr>
              <w:spacing w:after="20"/>
            </w:pPr>
            <w:r/>
            <w:r>
              <w:rPr>
                <w:sz w:val="17"/>
              </w:rPr>
              <w:t xml:space="preserve">Do </w:t>
            </w:r>
            <w:r>
              <w:rPr>
                <w:b/>
                <w:sz w:val="17"/>
              </w:rPr>
              <w:t>not</w:t>
            </w:r>
            <w:r>
              <w:rPr>
                <w:sz w:val="17"/>
              </w:rPr>
              <w:t xml:space="preserve"> resample by default; use class weights as an experiment; if negatives are down-sampled for compute, re-weight and recalibrate</w:t>
            </w:r>
          </w:p>
        </w:tc>
        <w:tc>
          <w:tcPr>
            <w:tcW w:type="dxa" w:w="1665"/>
            <w:shd w:val="clear" w:color="auto" w:fill="F2F5F9"/>
          </w:tcPr>
          <w:p>
            <w:pPr>
              <w:spacing w:after="20"/>
            </w:pPr>
            <w:r/>
            <w:r>
              <w:rPr>
                <w:sz w:val="17"/>
              </w:rPr>
              <w:t>Resampling distorts probabilities and the top-K cut</w:t>
            </w:r>
          </w:p>
        </w:tc>
        <w:tc>
          <w:tcPr>
            <w:tcW w:type="dxa" w:w="1722"/>
            <w:shd w:val="clear" w:color="auto" w:fill="F2F5F9"/>
          </w:tcPr>
          <w:p>
            <w:pPr>
              <w:spacing w:after="20"/>
            </w:pPr>
            <w:r/>
            <w:r>
              <w:rPr>
                <w:sz w:val="17"/>
              </w:rPr>
              <w:t>Calibration plot and precision at 20,000 on the unaltered validation set</w:t>
            </w:r>
          </w:p>
        </w:tc>
      </w:tr>
      <w:tr>
        <w:tc>
          <w:tcPr>
            <w:tcW w:type="dxa" w:w="1775"/>
          </w:tcPr>
          <w:p>
            <w:pPr>
              <w:spacing w:after="20"/>
            </w:pPr>
            <w:r/>
            <w:r>
              <w:rPr>
                <w:sz w:val="17"/>
              </w:rPr>
              <w:t>Text from complaints and call notes</w:t>
            </w:r>
          </w:p>
        </w:tc>
        <w:tc>
          <w:tcPr>
            <w:tcW w:type="dxa" w:w="1722"/>
          </w:tcPr>
          <w:p>
            <w:pPr>
              <w:spacing w:after="20"/>
            </w:pPr>
            <w:r/>
            <w:r>
              <w:rPr>
                <w:sz w:val="17"/>
              </w:rPr>
              <w:t>May carry signal</w:t>
            </w:r>
          </w:p>
        </w:tc>
        <w:tc>
          <w:tcPr>
            <w:tcW w:type="dxa" w:w="2753"/>
          </w:tcPr>
          <w:p>
            <w:pPr>
              <w:spacing w:after="20"/>
            </w:pPr>
            <w:r/>
            <w:r>
              <w:rPr>
                <w:sz w:val="17"/>
              </w:rPr>
              <w:t>Phase 2 only: redact PII in place, then structured categories first, then simple text features</w:t>
            </w:r>
          </w:p>
        </w:tc>
        <w:tc>
          <w:tcPr>
            <w:tcW w:type="dxa" w:w="1665"/>
          </w:tcPr>
          <w:p>
            <w:pPr>
              <w:spacing w:after="20"/>
            </w:pPr>
            <w:r/>
            <w:r>
              <w:rPr>
                <w:sz w:val="17"/>
              </w:rPr>
              <w:t>PII exposure; leakage from "close card" phrases</w:t>
            </w:r>
          </w:p>
        </w:tc>
        <w:tc>
          <w:tcPr>
            <w:tcW w:type="dxa" w:w="1722"/>
          </w:tcPr>
          <w:p>
            <w:pPr>
              <w:spacing w:after="20"/>
            </w:pPr>
            <w:r/>
            <w:r>
              <w:rPr>
                <w:sz w:val="17"/>
              </w:rPr>
              <w:t>Ablation (E4) and a keyword leakage scan</w:t>
            </w:r>
          </w:p>
        </w:tc>
      </w:tr>
      <w:tr>
        <w:tc>
          <w:tcPr>
            <w:tcW w:type="dxa" w:w="1775"/>
            <w:shd w:val="clear" w:color="auto" w:fill="F2F5F9"/>
          </w:tcPr>
          <w:p>
            <w:pPr>
              <w:spacing w:after="20"/>
            </w:pPr>
            <w:r/>
            <w:r>
              <w:rPr>
                <w:sz w:val="17"/>
              </w:rPr>
              <w:t>Treatment-history features</w:t>
            </w:r>
          </w:p>
        </w:tc>
        <w:tc>
          <w:tcPr>
            <w:tcW w:type="dxa" w:w="1722"/>
            <w:shd w:val="clear" w:color="auto" w:fill="F2F5F9"/>
          </w:tcPr>
          <w:p>
            <w:pPr>
              <w:spacing w:after="20"/>
            </w:pPr>
            <w:r/>
            <w:r>
              <w:rPr>
                <w:sz w:val="17"/>
              </w:rPr>
              <w:t>Past calls change future behaviour</w:t>
            </w:r>
          </w:p>
        </w:tc>
        <w:tc>
          <w:tcPr>
            <w:tcW w:type="dxa" w:w="2753"/>
            <w:shd w:val="clear" w:color="auto" w:fill="F2F5F9"/>
          </w:tcPr>
          <w:p>
            <w:pPr>
              <w:spacing w:after="20"/>
            </w:pPr>
            <w:r/>
            <w:r>
              <w:rPr>
                <w:sz w:val="17"/>
              </w:rPr>
              <w:t>Include contact/offer history as explicit features only if they are available at t0 and the deployment policy would still see them</w:t>
            </w:r>
          </w:p>
        </w:tc>
        <w:tc>
          <w:tcPr>
            <w:tcW w:type="dxa" w:w="1665"/>
            <w:shd w:val="clear" w:color="auto" w:fill="F2F5F9"/>
          </w:tcPr>
          <w:p>
            <w:pPr>
              <w:spacing w:after="20"/>
            </w:pPr>
            <w:r/>
            <w:r>
              <w:rPr>
                <w:sz w:val="17"/>
              </w:rPr>
              <w:t>The model learns "called = safe" and suppresses calls on at-risk customers</w:t>
            </w:r>
          </w:p>
        </w:tc>
        <w:tc>
          <w:tcPr>
            <w:tcW w:type="dxa" w:w="1722"/>
            <w:shd w:val="clear" w:color="auto" w:fill="F2F5F9"/>
          </w:tcPr>
          <w:p>
            <w:pPr>
              <w:spacing w:after="20"/>
            </w:pPr>
            <w:r/>
            <w:r>
              <w:rPr>
                <w:sz w:val="17"/>
              </w:rPr>
              <w:t>Compare with and without; check in the experiment</w:t>
            </w:r>
          </w:p>
        </w:tc>
      </w:tr>
      <w:tr>
        <w:tc>
          <w:tcPr>
            <w:tcW w:type="dxa" w:w="1775"/>
          </w:tcPr>
          <w:p>
            <w:pPr>
              <w:spacing w:after="20"/>
            </w:pPr>
            <w:r/>
            <w:r>
              <w:rPr>
                <w:sz w:val="17"/>
              </w:rPr>
              <w:t>Time alignment</w:t>
            </w:r>
          </w:p>
        </w:tc>
        <w:tc>
          <w:tcPr>
            <w:tcW w:type="dxa" w:w="1722"/>
          </w:tcPr>
          <w:p>
            <w:pPr>
              <w:spacing w:after="20"/>
            </w:pPr>
            <w:r/>
            <w:r>
              <w:rPr>
                <w:sz w:val="17"/>
              </w:rPr>
              <w:t>Statement cycles vs calendar months</w:t>
            </w:r>
          </w:p>
        </w:tc>
        <w:tc>
          <w:tcPr>
            <w:tcW w:type="dxa" w:w="2753"/>
          </w:tcPr>
          <w:p>
            <w:pPr>
              <w:spacing w:after="20"/>
            </w:pPr>
            <w:r/>
            <w:r>
              <w:rPr>
                <w:sz w:val="17"/>
              </w:rPr>
              <w:t>Use statement-cycle date or calendar month-end consistently</w:t>
            </w:r>
          </w:p>
        </w:tc>
        <w:tc>
          <w:tcPr>
            <w:tcW w:type="dxa" w:w="1665"/>
          </w:tcPr>
          <w:p>
            <w:pPr>
              <w:spacing w:after="20"/>
            </w:pPr>
            <w:r/>
            <w:r>
              <w:rPr>
                <w:sz w:val="17"/>
              </w:rPr>
              <w:t>Misaligned windows</w:t>
            </w:r>
          </w:p>
        </w:tc>
        <w:tc>
          <w:tcPr>
            <w:tcW w:type="dxa" w:w="1722"/>
          </w:tcPr>
          <w:p>
            <w:pPr>
              <w:spacing w:after="20"/>
            </w:pPr>
            <w:r/>
            <w:r>
              <w:rPr>
                <w:sz w:val="17"/>
              </w:rPr>
              <w:t>Spot-check</w:t>
            </w:r>
          </w:p>
        </w:tc>
      </w:tr>
    </w:tbl>
    <w:p>
      <w:pPr>
        <w:spacing w:after="40"/>
      </w:pPr>
    </w:p>
    <w:p>
      <w:pPr>
        <w:pStyle w:val="Heading2"/>
      </w:pPr>
      <w:r>
        <w:rPr/>
        <w:t>7. Feature &amp; Target Design</w:t>
      </w:r>
    </w:p>
    <w:p>
      <w:pPr>
        <w:pStyle w:val="Heading3"/>
      </w:pPr>
      <w:r>
        <w:rPr/>
        <w:t>Target (A1)</w:t>
      </w:r>
    </w:p>
    <w:p>
      <w:pPr>
        <w:pStyle w:val="ListBullet"/>
        <w:spacing w:after="40"/>
        <w:ind w:left="357" w:hanging="357"/>
      </w:pPr>
      <w:r>
        <w:rPr>
          <w:b/>
        </w:rPr>
        <w:t>Label = 1</w:t>
      </w:r>
      <w:r>
        <w:rPr/>
        <w:t xml:space="preserve"> if the card is closed by the customer (or at the customer's request) within 3 months after t0; otherwise 0. This is the requested target and is used for model development.</w:t>
      </w:r>
    </w:p>
    <w:p>
      <w:pPr>
        <w:pStyle w:val="ListBullet"/>
        <w:spacing w:after="40"/>
        <w:ind w:left="357" w:hanging="357"/>
      </w:pPr>
      <w:r>
        <w:rPr>
          <w:b/>
        </w:rPr>
        <w:t>Actionable-window sensitivity.</w:t>
      </w:r>
      <w:r>
        <w:rPr/>
        <w:t xml:space="preserve"> Closures before the earliest feasible call date (t0 + L) cannot be saved. Evaluate a variant label counting closures only in (t0 + L, t0 + 3m]. The A3 experiment outcome is 90 days from assignment, so the two windows differ by design (Q7).</w:t>
      </w:r>
    </w:p>
    <w:p>
      <w:pPr>
        <w:pStyle w:val="ListBullet"/>
        <w:spacing w:after="40"/>
        <w:ind w:left="357" w:hanging="357"/>
      </w:pPr>
      <w:r>
        <w:rPr>
          <w:b/>
        </w:rPr>
        <w:t>Selection effect of exclusions.</w:t>
      </w:r>
      <w:r>
        <w:rPr/>
        <w:t xml:space="preserve"> Excluding bank-initiated closures, fraud, delinquency and pending requests means the model describes the voluntary-churn risk of otherwise healthy cards. Report the size of each exclusion and check whether excluded groups differ in profile.</w:t>
      </w:r>
    </w:p>
    <w:p>
      <w:pPr>
        <w:pStyle w:val="ListBullet"/>
        <w:spacing w:after="40"/>
        <w:ind w:left="357" w:hanging="357"/>
      </w:pPr>
      <w:r>
        <w:rPr>
          <w:b/>
        </w:rPr>
        <w:t>Maturity.</w:t>
      </w:r>
      <w:r>
        <w:rPr/>
        <w:t xml:space="preserve"> A snapshot is labelled only once t0 + 3 months + closure-posting latency has passed. Recent snapshots are excluded from training and evaluation.</w:t>
      </w:r>
    </w:p>
    <w:p>
      <w:pPr>
        <w:pStyle w:val="ListBullet"/>
        <w:spacing w:after="40"/>
        <w:ind w:left="357" w:hanging="357"/>
      </w:pPr>
      <w:r>
        <w:rPr>
          <w:b/>
        </w:rPr>
        <w:t>Exclusions</w:t>
      </w:r>
      <w:r>
        <w:rPr/>
        <w:t xml:space="preserve"> as in §6. Cards closed for bank-initiated reasons within the window are removed from the labelled set (competing event); the survival challenger (X7) treats them as censored.</w:t>
      </w:r>
    </w:p>
    <w:p>
      <w:pPr>
        <w:pStyle w:val="ListBullet"/>
        <w:spacing w:after="40"/>
        <w:ind w:left="357" w:hanging="357"/>
      </w:pPr>
      <w:r>
        <w:rPr>
          <w:b/>
        </w:rPr>
        <w:t>Label stability.</w:t>
      </w:r>
      <w:r>
        <w:rPr/>
        <w:t xml:space="preserve"> Check whether reason codes, closure procedures or policy changed over time; if so, restrict training windows or add period indicators.</w:t>
      </w:r>
    </w:p>
    <w:p>
      <w:pPr>
        <w:pStyle w:val="ListBullet"/>
        <w:spacing w:after="40"/>
        <w:ind w:left="357" w:hanging="357"/>
      </w:pPr>
      <w:r>
        <w:rPr>
          <w:b/>
        </w:rPr>
        <w:t>Secondary targets:</w:t>
      </w:r>
      <w:r>
        <w:rPr/>
        <w:t xml:space="preserve"> 1-month hazard, silent attrition (e.g., no spend for N months, N to be agreed), and customer-level relationship attrition.</w:t>
      </w:r>
    </w:p>
    <w:p>
      <w:pPr>
        <w:pStyle w:val="Heading3"/>
      </w:pPr>
      <w:r>
        <w:rPr/>
        <w:t>Feature groups (all measured at or before t0)</w:t>
      </w:r>
    </w:p>
    <w:tbl>
      <w:tblPr>
        <w:tblStyle w:val="TableGrid"/>
        <w:tblW w:type="auto" w:w="0"/>
        <w:jc w:val="center"/>
        <w:tblLayout w:type="fixed"/>
        <w:tblLook w:firstColumn="1" w:firstRow="1" w:lastColumn="0" w:lastRow="0" w:noHBand="0" w:noVBand="1" w:val="04A0"/>
        <w:tblLayout w:type="fixed"/>
      </w:tblPr>
      <w:tblGrid>
        <w:gridCol w:w="1860"/>
        <w:gridCol w:w="3281"/>
        <w:gridCol w:w="1717"/>
        <w:gridCol w:w="2779"/>
      </w:tblGrid>
      <w:tr>
        <w:trPr>
          <w:tblHeader w:val="true"/>
        </w:trPr>
        <w:tc>
          <w:tcPr>
            <w:tcW w:type="dxa" w:w="1860"/>
            <w:shd w:val="clear" w:color="auto" w:fill="1F3A5F"/>
          </w:tcPr>
          <w:p>
            <w:r/>
            <w:r>
              <w:rPr>
                <w:b/>
                <w:color w:val="FFFFFF"/>
                <w:sz w:val="19"/>
              </w:rPr>
              <w:t>Group</w:t>
            </w:r>
          </w:p>
        </w:tc>
        <w:tc>
          <w:tcPr>
            <w:tcW w:type="dxa" w:w="3281"/>
            <w:shd w:val="clear" w:color="auto" w:fill="1F3A5F"/>
          </w:tcPr>
          <w:p>
            <w:r/>
            <w:r>
              <w:rPr>
                <w:b/>
                <w:color w:val="FFFFFF"/>
                <w:sz w:val="19"/>
              </w:rPr>
              <w:t>Examples</w:t>
            </w:r>
          </w:p>
        </w:tc>
        <w:tc>
          <w:tcPr>
            <w:tcW w:type="dxa" w:w="1717"/>
            <w:shd w:val="clear" w:color="auto" w:fill="1F3A5F"/>
          </w:tcPr>
          <w:p>
            <w:r/>
            <w:r>
              <w:rPr>
                <w:b/>
                <w:color w:val="FFFFFF"/>
                <w:sz w:val="19"/>
              </w:rPr>
              <w:t>Availability</w:t>
            </w:r>
          </w:p>
        </w:tc>
        <w:tc>
          <w:tcPr>
            <w:tcW w:type="dxa" w:w="2779"/>
            <w:shd w:val="clear" w:color="auto" w:fill="1F3A5F"/>
          </w:tcPr>
          <w:p>
            <w:r/>
            <w:r>
              <w:rPr>
                <w:b/>
                <w:color w:val="FFFFFF"/>
                <w:sz w:val="19"/>
              </w:rPr>
              <w:t>Hypothesis</w:t>
            </w:r>
          </w:p>
        </w:tc>
      </w:tr>
      <w:tr>
        <w:tc>
          <w:tcPr>
            <w:tcW w:type="dxa" w:w="1860"/>
          </w:tcPr>
          <w:p>
            <w:pPr>
              <w:spacing w:after="20"/>
            </w:pPr>
            <w:r/>
            <w:r>
              <w:rPr>
                <w:sz w:val="19"/>
              </w:rPr>
              <w:t>Spend dynamics</w:t>
            </w:r>
          </w:p>
        </w:tc>
        <w:tc>
          <w:tcPr>
            <w:tcW w:type="dxa" w:w="3281"/>
          </w:tcPr>
          <w:p>
            <w:pPr>
              <w:spacing w:after="20"/>
            </w:pPr>
            <w:r/>
            <w:r>
              <w:rPr>
                <w:sz w:val="19"/>
              </w:rPr>
              <w:t>Recent vs prior 3/6/12-month spend, transaction counts, category mix, share of online/international</w:t>
            </w:r>
          </w:p>
        </w:tc>
        <w:tc>
          <w:tcPr>
            <w:tcW w:type="dxa" w:w="1717"/>
          </w:tcPr>
          <w:p>
            <w:pPr>
              <w:spacing w:after="20"/>
            </w:pPr>
            <w:r/>
            <w:r>
              <w:rPr>
                <w:sz w:val="19"/>
              </w:rPr>
              <w:t>Month-end</w:t>
            </w:r>
          </w:p>
        </w:tc>
        <w:tc>
          <w:tcPr>
            <w:tcW w:type="dxa" w:w="2779"/>
          </w:tcPr>
          <w:p>
            <w:pPr>
              <w:spacing w:after="20"/>
            </w:pPr>
            <w:r/>
            <w:r>
              <w:rPr>
                <w:sz w:val="19"/>
              </w:rPr>
              <w:t>Hypothesis: falling engagement precedes closure</w:t>
            </w:r>
          </w:p>
        </w:tc>
      </w:tr>
      <w:tr>
        <w:tc>
          <w:tcPr>
            <w:tcW w:type="dxa" w:w="1860"/>
            <w:shd w:val="clear" w:color="auto" w:fill="F2F5F9"/>
          </w:tcPr>
          <w:p>
            <w:pPr>
              <w:spacing w:after="20"/>
            </w:pPr>
            <w:r/>
            <w:r>
              <w:rPr>
                <w:sz w:val="19"/>
              </w:rPr>
              <w:t>Balance and payment behaviour</w:t>
            </w:r>
          </w:p>
        </w:tc>
        <w:tc>
          <w:tcPr>
            <w:tcW w:type="dxa" w:w="3281"/>
            <w:shd w:val="clear" w:color="auto" w:fill="F2F5F9"/>
          </w:tcPr>
          <w:p>
            <w:pPr>
              <w:spacing w:after="20"/>
            </w:pPr>
            <w:r/>
            <w:r>
              <w:rPr>
                <w:sz w:val="19"/>
              </w:rPr>
              <w:t>Utilisation, revolve vs full pay, minimum-due behaviour, late payments</w:t>
            </w:r>
          </w:p>
        </w:tc>
        <w:tc>
          <w:tcPr>
            <w:tcW w:type="dxa" w:w="1717"/>
            <w:shd w:val="clear" w:color="auto" w:fill="F2F5F9"/>
          </w:tcPr>
          <w:p>
            <w:pPr>
              <w:spacing w:after="20"/>
            </w:pPr>
            <w:r/>
            <w:r>
              <w:rPr>
                <w:sz w:val="19"/>
              </w:rPr>
              <w:t>Statement date</w:t>
            </w:r>
          </w:p>
        </w:tc>
        <w:tc>
          <w:tcPr>
            <w:tcW w:type="dxa" w:w="2779"/>
            <w:shd w:val="clear" w:color="auto" w:fill="F2F5F9"/>
          </w:tcPr>
          <w:p>
            <w:pPr>
              <w:spacing w:after="20"/>
            </w:pPr>
            <w:r/>
            <w:r>
              <w:rPr>
                <w:sz w:val="19"/>
              </w:rPr>
              <w:t>Hypothesis: financial strain or a switch to another card</w:t>
            </w:r>
          </w:p>
        </w:tc>
      </w:tr>
      <w:tr>
        <w:tc>
          <w:tcPr>
            <w:tcW w:type="dxa" w:w="1860"/>
          </w:tcPr>
          <w:p>
            <w:pPr>
              <w:spacing w:after="20"/>
            </w:pPr>
            <w:r/>
            <w:r>
              <w:rPr>
                <w:sz w:val="19"/>
              </w:rPr>
              <w:t>Fees and charges</w:t>
            </w:r>
          </w:p>
        </w:tc>
        <w:tc>
          <w:tcPr>
            <w:tcW w:type="dxa" w:w="3281"/>
          </w:tcPr>
          <w:p>
            <w:pPr>
              <w:spacing w:after="20"/>
            </w:pPr>
            <w:r/>
            <w:r>
              <w:rPr>
                <w:sz w:val="19"/>
              </w:rPr>
              <w:t>Annual fee posted or upcoming, interest and late-fee charges, fee reversals</w:t>
            </w:r>
          </w:p>
        </w:tc>
        <w:tc>
          <w:tcPr>
            <w:tcW w:type="dxa" w:w="1717"/>
          </w:tcPr>
          <w:p>
            <w:pPr>
              <w:spacing w:after="20"/>
            </w:pPr>
            <w:r/>
            <w:r>
              <w:rPr>
                <w:sz w:val="19"/>
              </w:rPr>
              <w:t>Statement date</w:t>
            </w:r>
          </w:p>
        </w:tc>
        <w:tc>
          <w:tcPr>
            <w:tcW w:type="dxa" w:w="2779"/>
          </w:tcPr>
          <w:p>
            <w:pPr>
              <w:spacing w:after="20"/>
            </w:pPr>
            <w:r/>
            <w:r>
              <w:rPr>
                <w:sz w:val="19"/>
              </w:rPr>
              <w:t>Hypothesis: fee events prompt customers to reconsider</w:t>
            </w:r>
          </w:p>
        </w:tc>
      </w:tr>
      <w:tr>
        <w:tc>
          <w:tcPr>
            <w:tcW w:type="dxa" w:w="1860"/>
            <w:shd w:val="clear" w:color="auto" w:fill="F2F5F9"/>
          </w:tcPr>
          <w:p>
            <w:pPr>
              <w:spacing w:after="20"/>
            </w:pPr>
            <w:r/>
            <w:r>
              <w:rPr>
                <w:sz w:val="19"/>
              </w:rPr>
              <w:t>Rewards</w:t>
            </w:r>
          </w:p>
        </w:tc>
        <w:tc>
          <w:tcPr>
            <w:tcW w:type="dxa" w:w="3281"/>
            <w:shd w:val="clear" w:color="auto" w:fill="F2F5F9"/>
          </w:tcPr>
          <w:p>
            <w:pPr>
              <w:spacing w:after="20"/>
            </w:pPr>
            <w:r/>
            <w:r>
              <w:rPr>
                <w:sz w:val="19"/>
              </w:rPr>
              <w:t>Points earned/redeemed, expiring points, reward-to-spend ratio</w:t>
            </w:r>
          </w:p>
        </w:tc>
        <w:tc>
          <w:tcPr>
            <w:tcW w:type="dxa" w:w="1717"/>
            <w:shd w:val="clear" w:color="auto" w:fill="F2F5F9"/>
          </w:tcPr>
          <w:p>
            <w:pPr>
              <w:spacing w:after="20"/>
            </w:pPr>
            <w:r/>
            <w:r>
              <w:rPr>
                <w:sz w:val="19"/>
              </w:rPr>
              <w:t>Month-end</w:t>
            </w:r>
          </w:p>
        </w:tc>
        <w:tc>
          <w:tcPr>
            <w:tcW w:type="dxa" w:w="2779"/>
            <w:shd w:val="clear" w:color="auto" w:fill="F2F5F9"/>
          </w:tcPr>
          <w:p>
            <w:pPr>
              <w:spacing w:after="20"/>
            </w:pPr>
            <w:r/>
            <w:r>
              <w:rPr>
                <w:sz w:val="19"/>
              </w:rPr>
              <w:t>Hypothesis: low perceived reward value</w:t>
            </w:r>
          </w:p>
        </w:tc>
      </w:tr>
      <w:tr>
        <w:tc>
          <w:tcPr>
            <w:tcW w:type="dxa" w:w="1860"/>
          </w:tcPr>
          <w:p>
            <w:pPr>
              <w:spacing w:after="20"/>
            </w:pPr>
            <w:r/>
            <w:r>
              <w:rPr>
                <w:sz w:val="19"/>
              </w:rPr>
              <w:t>Tenure and lifecycle</w:t>
            </w:r>
          </w:p>
        </w:tc>
        <w:tc>
          <w:tcPr>
            <w:tcW w:type="dxa" w:w="3281"/>
          </w:tcPr>
          <w:p>
            <w:pPr>
              <w:spacing w:after="20"/>
            </w:pPr>
            <w:r/>
            <w:r>
              <w:rPr>
                <w:sz w:val="19"/>
              </w:rPr>
              <w:t>Months on book, card age, time since last limit change, card product</w:t>
            </w:r>
          </w:p>
        </w:tc>
        <w:tc>
          <w:tcPr>
            <w:tcW w:type="dxa" w:w="1717"/>
          </w:tcPr>
          <w:p>
            <w:pPr>
              <w:spacing w:after="20"/>
            </w:pPr>
            <w:r/>
            <w:r>
              <w:rPr>
                <w:sz w:val="19"/>
              </w:rPr>
              <w:t>Static or SCD</w:t>
            </w:r>
          </w:p>
        </w:tc>
        <w:tc>
          <w:tcPr>
            <w:tcW w:type="dxa" w:w="2779"/>
          </w:tcPr>
          <w:p>
            <w:pPr>
              <w:spacing w:after="20"/>
            </w:pPr>
            <w:r/>
            <w:r>
              <w:rPr>
                <w:sz w:val="19"/>
              </w:rPr>
              <w:t>Hypothesis to test: risk varies with card age and anniversaries</w:t>
            </w:r>
          </w:p>
        </w:tc>
      </w:tr>
      <w:tr>
        <w:tc>
          <w:tcPr>
            <w:tcW w:type="dxa" w:w="1860"/>
            <w:shd w:val="clear" w:color="auto" w:fill="F2F5F9"/>
          </w:tcPr>
          <w:p>
            <w:pPr>
              <w:spacing w:after="20"/>
            </w:pPr>
            <w:r/>
            <w:r>
              <w:rPr>
                <w:sz w:val="19"/>
              </w:rPr>
              <w:t>Service interactions</w:t>
            </w:r>
          </w:p>
        </w:tc>
        <w:tc>
          <w:tcPr>
            <w:tcW w:type="dxa" w:w="3281"/>
            <w:shd w:val="clear" w:color="auto" w:fill="F2F5F9"/>
          </w:tcPr>
          <w:p>
            <w:pPr>
              <w:spacing w:after="20"/>
            </w:pPr>
            <w:r/>
            <w:r>
              <w:rPr>
                <w:sz w:val="19"/>
              </w:rPr>
              <w:t>Complaints in last 30/90/180 days, unresolved complaints, call counts, call reason categories, dispute counts</w:t>
            </w:r>
          </w:p>
        </w:tc>
        <w:tc>
          <w:tcPr>
            <w:tcW w:type="dxa" w:w="1717"/>
            <w:shd w:val="clear" w:color="auto" w:fill="F2F5F9"/>
          </w:tcPr>
          <w:p>
            <w:pPr>
              <w:spacing w:after="20"/>
            </w:pPr>
            <w:r/>
            <w:r>
              <w:rPr>
                <w:sz w:val="19"/>
              </w:rPr>
              <w:t>Event-timed</w:t>
            </w:r>
          </w:p>
        </w:tc>
        <w:tc>
          <w:tcPr>
            <w:tcW w:type="dxa" w:w="2779"/>
            <w:shd w:val="clear" w:color="auto" w:fill="F2F5F9"/>
          </w:tcPr>
          <w:p>
            <w:pPr>
              <w:spacing w:after="20"/>
            </w:pPr>
            <w:r/>
            <w:r>
              <w:rPr>
                <w:sz w:val="19"/>
              </w:rPr>
              <w:t>Hypothesis: poor service experience is associated with closure</w:t>
            </w:r>
          </w:p>
        </w:tc>
      </w:tr>
      <w:tr>
        <w:tc>
          <w:tcPr>
            <w:tcW w:type="dxa" w:w="1860"/>
          </w:tcPr>
          <w:p>
            <w:pPr>
              <w:spacing w:after="20"/>
            </w:pPr>
            <w:r/>
            <w:r>
              <w:rPr>
                <w:sz w:val="19"/>
              </w:rPr>
              <w:t>Retention history</w:t>
            </w:r>
          </w:p>
        </w:tc>
        <w:tc>
          <w:tcPr>
            <w:tcW w:type="dxa" w:w="3281"/>
          </w:tcPr>
          <w:p>
            <w:pPr>
              <w:spacing w:after="20"/>
            </w:pPr>
            <w:r/>
            <w:r>
              <w:rPr>
                <w:sz w:val="19"/>
              </w:rPr>
              <w:t>Prior calls, offers accepted, offer expiry dates</w:t>
            </w:r>
          </w:p>
        </w:tc>
        <w:tc>
          <w:tcPr>
            <w:tcW w:type="dxa" w:w="1717"/>
          </w:tcPr>
          <w:p>
            <w:pPr>
              <w:spacing w:after="20"/>
            </w:pPr>
            <w:r/>
            <w:r>
              <w:rPr>
                <w:sz w:val="19"/>
              </w:rPr>
              <w:t>Event-timed</w:t>
            </w:r>
          </w:p>
        </w:tc>
        <w:tc>
          <w:tcPr>
            <w:tcW w:type="dxa" w:w="2779"/>
          </w:tcPr>
          <w:p>
            <w:pPr>
              <w:spacing w:after="20"/>
            </w:pPr>
            <w:r/>
            <w:r>
              <w:rPr>
                <w:sz w:val="19"/>
              </w:rPr>
              <w:t>Prior offers may suppress or defer churn</w:t>
            </w:r>
          </w:p>
        </w:tc>
      </w:tr>
      <w:tr>
        <w:tc>
          <w:tcPr>
            <w:tcW w:type="dxa" w:w="1860"/>
            <w:shd w:val="clear" w:color="auto" w:fill="F2F5F9"/>
          </w:tcPr>
          <w:p>
            <w:pPr>
              <w:spacing w:after="20"/>
            </w:pPr>
            <w:r/>
            <w:r>
              <w:rPr>
                <w:sz w:val="19"/>
              </w:rPr>
              <w:t>Demographics</w:t>
            </w:r>
          </w:p>
        </w:tc>
        <w:tc>
          <w:tcPr>
            <w:tcW w:type="dxa" w:w="3281"/>
            <w:shd w:val="clear" w:color="auto" w:fill="F2F5F9"/>
          </w:tcPr>
          <w:p>
            <w:pPr>
              <w:spacing w:after="20"/>
            </w:pPr>
            <w:r/>
            <w:r>
              <w:rPr>
                <w:sz w:val="19"/>
              </w:rPr>
              <w:t>Age band, income band, city tier</w:t>
            </w:r>
          </w:p>
        </w:tc>
        <w:tc>
          <w:tcPr>
            <w:tcW w:type="dxa" w:w="1717"/>
            <w:shd w:val="clear" w:color="auto" w:fill="F2F5F9"/>
          </w:tcPr>
          <w:p>
            <w:pPr>
              <w:spacing w:after="20"/>
            </w:pPr>
            <w:r/>
            <w:r>
              <w:rPr>
                <w:sz w:val="19"/>
              </w:rPr>
              <w:t>Must be historical</w:t>
            </w:r>
          </w:p>
        </w:tc>
        <w:tc>
          <w:tcPr>
            <w:tcW w:type="dxa" w:w="2779"/>
            <w:shd w:val="clear" w:color="auto" w:fill="F2F5F9"/>
          </w:tcPr>
          <w:p>
            <w:pPr>
              <w:spacing w:after="20"/>
            </w:pPr>
            <w:r/>
            <w:r>
              <w:rPr>
                <w:sz w:val="19"/>
              </w:rPr>
              <w:t>Context only; check fairness</w:t>
            </w:r>
          </w:p>
        </w:tc>
      </w:tr>
      <w:tr>
        <w:tc>
          <w:tcPr>
            <w:tcW w:type="dxa" w:w="1860"/>
          </w:tcPr>
          <w:p>
            <w:pPr>
              <w:spacing w:after="20"/>
            </w:pPr>
            <w:r/>
            <w:r>
              <w:rPr>
                <w:sz w:val="19"/>
              </w:rPr>
              <w:t>Bureau at onboarding</w:t>
            </w:r>
          </w:p>
        </w:tc>
        <w:tc>
          <w:tcPr>
            <w:tcW w:type="dxa" w:w="3281"/>
          </w:tcPr>
          <w:p>
            <w:pPr>
              <w:spacing w:after="20"/>
            </w:pPr>
            <w:r/>
            <w:r>
              <w:rPr>
                <w:sz w:val="19"/>
              </w:rPr>
              <w:t>Score at origination</w:t>
            </w:r>
          </w:p>
        </w:tc>
        <w:tc>
          <w:tcPr>
            <w:tcW w:type="dxa" w:w="1717"/>
          </w:tcPr>
          <w:p>
            <w:pPr>
              <w:spacing w:after="20"/>
            </w:pPr>
            <w:r/>
            <w:r>
              <w:rPr>
                <w:sz w:val="19"/>
              </w:rPr>
              <w:t>Static</w:t>
            </w:r>
          </w:p>
        </w:tc>
        <w:tc>
          <w:tcPr>
            <w:tcW w:type="dxa" w:w="2779"/>
          </w:tcPr>
          <w:p>
            <w:pPr>
              <w:spacing w:after="20"/>
            </w:pPr>
            <w:r/>
            <w:r>
              <w:rPr>
                <w:sz w:val="19"/>
              </w:rPr>
              <w:t>Weak, stale; keep, but test its contribution</w:t>
            </w:r>
          </w:p>
        </w:tc>
      </w:tr>
      <w:tr>
        <w:tc>
          <w:tcPr>
            <w:tcW w:type="dxa" w:w="1860"/>
            <w:shd w:val="clear" w:color="auto" w:fill="F2F5F9"/>
          </w:tcPr>
          <w:p>
            <w:pPr>
              <w:spacing w:after="20"/>
            </w:pPr>
            <w:r/>
            <w:r>
              <w:rPr>
                <w:sz w:val="19"/>
              </w:rPr>
              <w:t>Cross-product</w:t>
            </w:r>
          </w:p>
        </w:tc>
        <w:tc>
          <w:tcPr>
            <w:tcW w:type="dxa" w:w="3281"/>
            <w:shd w:val="clear" w:color="auto" w:fill="F2F5F9"/>
          </w:tcPr>
          <w:p>
            <w:pPr>
              <w:spacing w:after="20"/>
            </w:pPr>
            <w:r/>
            <w:r>
              <w:rPr>
                <w:sz w:val="19"/>
              </w:rPr>
              <w:t>Other products held with the bank, salary account</w:t>
            </w:r>
          </w:p>
        </w:tc>
        <w:tc>
          <w:tcPr>
            <w:tcW w:type="dxa" w:w="1717"/>
            <w:shd w:val="clear" w:color="auto" w:fill="F2F5F9"/>
          </w:tcPr>
          <w:p>
            <w:pPr>
              <w:spacing w:after="20"/>
            </w:pPr>
            <w:r/>
            <w:r>
              <w:rPr>
                <w:sz w:val="19"/>
              </w:rPr>
              <w:t>If available</w:t>
            </w:r>
          </w:p>
        </w:tc>
        <w:tc>
          <w:tcPr>
            <w:tcW w:type="dxa" w:w="2779"/>
            <w:shd w:val="clear" w:color="auto" w:fill="F2F5F9"/>
          </w:tcPr>
          <w:p>
            <w:pPr>
              <w:spacing w:after="20"/>
            </w:pPr>
            <w:r/>
            <w:r>
              <w:rPr>
                <w:sz w:val="19"/>
              </w:rPr>
              <w:t>Hypothesis: deeper relationships are associated with lower churn</w:t>
            </w:r>
          </w:p>
        </w:tc>
      </w:tr>
    </w:tbl>
    <w:p>
      <w:pPr>
        <w:spacing w:after="40"/>
      </w:pPr>
    </w:p>
    <w:p>
      <w:pPr>
        <w:pStyle w:val="Heading2"/>
      </w:pPr>
      <w:r>
        <w:rPr/>
        <w:t>8. Baseline Model Specification</w:t>
      </w:r>
    </w:p>
    <w:tbl>
      <w:tblPr>
        <w:tblStyle w:val="TableGrid"/>
        <w:tblW w:type="auto" w:w="0"/>
        <w:jc w:val="center"/>
        <w:tblLayout w:type="fixed"/>
        <w:tblLook w:firstColumn="1" w:firstRow="1" w:lastColumn="0" w:lastRow="0" w:noHBand="0" w:noVBand="1" w:val="04A0"/>
        <w:tblLayout w:type="fixed"/>
      </w:tblPr>
      <w:tblGrid>
        <w:gridCol w:w="1815"/>
        <w:gridCol w:w="2180"/>
        <w:gridCol w:w="1754"/>
        <w:gridCol w:w="2073"/>
        <w:gridCol w:w="1815"/>
      </w:tblGrid>
      <w:tr>
        <w:trPr>
          <w:tblHeader w:val="true"/>
        </w:trPr>
        <w:tc>
          <w:tcPr>
            <w:tcW w:type="dxa" w:w="1815"/>
            <w:shd w:val="clear" w:color="auto" w:fill="1F3A5F"/>
          </w:tcPr>
          <w:p>
            <w:r/>
            <w:r>
              <w:rPr>
                <w:b/>
                <w:color w:val="FFFFFF"/>
                <w:sz w:val="17"/>
              </w:rPr>
              <w:t>Baseline</w:t>
            </w:r>
          </w:p>
        </w:tc>
        <w:tc>
          <w:tcPr>
            <w:tcW w:type="dxa" w:w="2180"/>
            <w:shd w:val="clear" w:color="auto" w:fill="1F3A5F"/>
          </w:tcPr>
          <w:p>
            <w:r/>
            <w:r>
              <w:rPr>
                <w:b/>
                <w:color w:val="FFFFFF"/>
                <w:sz w:val="17"/>
              </w:rPr>
              <w:t>Inputs</w:t>
            </w:r>
          </w:p>
        </w:tc>
        <w:tc>
          <w:tcPr>
            <w:tcW w:type="dxa" w:w="1754"/>
            <w:shd w:val="clear" w:color="auto" w:fill="1F3A5F"/>
          </w:tcPr>
          <w:p>
            <w:r/>
            <w:r>
              <w:rPr>
                <w:b/>
                <w:color w:val="FFFFFF"/>
                <w:sz w:val="17"/>
              </w:rPr>
              <w:t>Protocol</w:t>
            </w:r>
          </w:p>
        </w:tc>
        <w:tc>
          <w:tcPr>
            <w:tcW w:type="dxa" w:w="2073"/>
            <w:shd w:val="clear" w:color="auto" w:fill="1F3A5F"/>
          </w:tcPr>
          <w:p>
            <w:r/>
            <w:r>
              <w:rPr>
                <w:b/>
                <w:color w:val="FFFFFF"/>
                <w:sz w:val="17"/>
              </w:rPr>
              <w:t>Limitation</w:t>
            </w:r>
          </w:p>
        </w:tc>
        <w:tc>
          <w:tcPr>
            <w:tcW w:type="dxa" w:w="1815"/>
            <w:shd w:val="clear" w:color="auto" w:fill="1F3A5F"/>
          </w:tcPr>
          <w:p>
            <w:r/>
            <w:r>
              <w:rPr>
                <w:b/>
                <w:color w:val="FFFFFF"/>
                <w:sz w:val="17"/>
              </w:rPr>
              <w:t>Role</w:t>
            </w:r>
          </w:p>
        </w:tc>
      </w:tr>
      <w:tr>
        <w:tc>
          <w:tcPr>
            <w:tcW w:type="dxa" w:w="1815"/>
          </w:tcPr>
          <w:p>
            <w:pPr>
              <w:spacing w:after="20"/>
            </w:pPr>
            <w:r/>
            <w:r>
              <w:rPr>
                <w:sz w:val="17"/>
              </w:rPr>
              <w:t>B0 Random list</w:t>
            </w:r>
          </w:p>
        </w:tc>
        <w:tc>
          <w:tcPr>
            <w:tcW w:type="dxa" w:w="2180"/>
          </w:tcPr>
          <w:p>
            <w:pPr>
              <w:spacing w:after="20"/>
            </w:pPr>
            <w:r/>
            <w:r>
              <w:rPr>
                <w:sz w:val="17"/>
              </w:rPr>
              <w:t>None</w:t>
            </w:r>
          </w:p>
        </w:tc>
        <w:tc>
          <w:tcPr>
            <w:tcW w:type="dxa" w:w="1754"/>
          </w:tcPr>
          <w:p>
            <w:pPr>
              <w:spacing w:after="20"/>
            </w:pPr>
            <w:r/>
            <w:r>
              <w:rPr>
                <w:sz w:val="17"/>
              </w:rPr>
              <w:t>Same out-of-time test, same K</w:t>
            </w:r>
          </w:p>
        </w:tc>
        <w:tc>
          <w:tcPr>
            <w:tcW w:type="dxa" w:w="2073"/>
          </w:tcPr>
          <w:p>
            <w:pPr>
              <w:spacing w:after="20"/>
            </w:pPr>
            <w:r/>
            <w:r>
              <w:rPr>
                <w:sz w:val="17"/>
              </w:rPr>
              <w:t>Sanity floor only (precision ≈ base rate)</w:t>
            </w:r>
          </w:p>
        </w:tc>
        <w:tc>
          <w:tcPr>
            <w:tcW w:type="dxa" w:w="1815"/>
          </w:tcPr>
          <w:p>
            <w:pPr>
              <w:spacing w:after="20"/>
            </w:pPr>
            <w:r/>
            <w:r>
              <w:rPr>
                <w:sz w:val="17"/>
              </w:rPr>
              <w:t>Floor</w:t>
            </w:r>
          </w:p>
        </w:tc>
      </w:tr>
      <w:tr>
        <w:tc>
          <w:tcPr>
            <w:tcW w:type="dxa" w:w="1815"/>
            <w:shd w:val="clear" w:color="auto" w:fill="F2F5F9"/>
          </w:tcPr>
          <w:p>
            <w:pPr>
              <w:spacing w:after="20"/>
            </w:pPr>
            <w:r/>
            <w:r>
              <w:rPr>
                <w:sz w:val="17"/>
              </w:rPr>
              <w:t>B1 Current business rule / score</w:t>
            </w:r>
          </w:p>
        </w:tc>
        <w:tc>
          <w:tcPr>
            <w:tcW w:type="dxa" w:w="2180"/>
            <w:shd w:val="clear" w:color="auto" w:fill="F2F5F9"/>
          </w:tcPr>
          <w:p>
            <w:pPr>
              <w:spacing w:after="20"/>
            </w:pPr>
            <w:r/>
            <w:r>
              <w:rPr>
                <w:sz w:val="17"/>
              </w:rPr>
              <w:t xml:space="preserve">Whatever the team uses today </w:t>
            </w:r>
            <w:r>
              <w:rPr>
                <w:b/>
                <w:color w:val="C0392B"/>
                <w:sz w:val="17"/>
              </w:rPr>
              <w:t>[TBD]</w:t>
            </w:r>
          </w:p>
        </w:tc>
        <w:tc>
          <w:tcPr>
            <w:tcW w:type="dxa" w:w="1754"/>
            <w:shd w:val="clear" w:color="auto" w:fill="F2F5F9"/>
          </w:tcPr>
          <w:p>
            <w:pPr>
              <w:spacing w:after="20"/>
            </w:pPr>
            <w:r/>
            <w:r>
              <w:rPr>
                <w:sz w:val="17"/>
              </w:rPr>
              <w:t>Same test and K</w:t>
            </w:r>
          </w:p>
        </w:tc>
        <w:tc>
          <w:tcPr>
            <w:tcW w:type="dxa" w:w="2073"/>
            <w:shd w:val="clear" w:color="auto" w:fill="F2F5F9"/>
          </w:tcPr>
          <w:p>
            <w:pPr>
              <w:spacing w:after="20"/>
            </w:pPr>
            <w:r/>
            <w:r>
              <w:rPr>
                <w:sz w:val="17"/>
              </w:rPr>
              <w:t>Unknown until Q6 is answered</w:t>
            </w:r>
          </w:p>
        </w:tc>
        <w:tc>
          <w:tcPr>
            <w:tcW w:type="dxa" w:w="1815"/>
            <w:shd w:val="clear" w:color="auto" w:fill="F2F5F9"/>
          </w:tcPr>
          <w:p>
            <w:pPr>
              <w:spacing w:after="20"/>
            </w:pPr>
            <w:r/>
            <w:r>
              <w:rPr>
                <w:b/>
                <w:sz w:val="17"/>
              </w:rPr>
              <w:t>The bar that matters</w:t>
            </w:r>
          </w:p>
        </w:tc>
      </w:tr>
      <w:tr>
        <w:tc>
          <w:tcPr>
            <w:tcW w:type="dxa" w:w="1815"/>
          </w:tcPr>
          <w:p>
            <w:pPr>
              <w:spacing w:after="20"/>
            </w:pPr>
            <w:r/>
            <w:r>
              <w:rPr>
                <w:sz w:val="17"/>
              </w:rPr>
              <w:t>B2 Simple heuristic</w:t>
            </w:r>
          </w:p>
        </w:tc>
        <w:tc>
          <w:tcPr>
            <w:tcW w:type="dxa" w:w="2180"/>
          </w:tcPr>
          <w:p>
            <w:pPr>
              <w:spacing w:after="20"/>
            </w:pPr>
            <w:r/>
            <w:r>
              <w:rPr>
                <w:sz w:val="17"/>
              </w:rPr>
              <w:t>Spend decline over 3 months, recent complaint, annual-fee month</w:t>
            </w:r>
          </w:p>
        </w:tc>
        <w:tc>
          <w:tcPr>
            <w:tcW w:type="dxa" w:w="1754"/>
          </w:tcPr>
          <w:p>
            <w:pPr>
              <w:spacing w:after="20"/>
            </w:pPr>
            <w:r/>
            <w:r>
              <w:rPr>
                <w:sz w:val="17"/>
              </w:rPr>
              <w:t>Same test and K</w:t>
            </w:r>
          </w:p>
        </w:tc>
        <w:tc>
          <w:tcPr>
            <w:tcW w:type="dxa" w:w="2073"/>
          </w:tcPr>
          <w:p>
            <w:pPr>
              <w:spacing w:after="20"/>
            </w:pPr>
            <w:r/>
            <w:r>
              <w:rPr>
                <w:sz w:val="17"/>
              </w:rPr>
              <w:t>Hand-built</w:t>
            </w:r>
          </w:p>
        </w:tc>
        <w:tc>
          <w:tcPr>
            <w:tcW w:type="dxa" w:w="1815"/>
          </w:tcPr>
          <w:p>
            <w:pPr>
              <w:spacing w:after="20"/>
            </w:pPr>
            <w:r/>
            <w:r>
              <w:rPr>
                <w:sz w:val="17"/>
              </w:rPr>
              <w:t>Shows value of ML over rules</w:t>
            </w:r>
          </w:p>
        </w:tc>
      </w:tr>
      <w:tr>
        <w:tc>
          <w:tcPr>
            <w:tcW w:type="dxa" w:w="1815"/>
            <w:shd w:val="clear" w:color="auto" w:fill="F2F5F9"/>
          </w:tcPr>
          <w:p>
            <w:pPr>
              <w:spacing w:after="20"/>
            </w:pPr>
            <w:r/>
            <w:r>
              <w:rPr>
                <w:sz w:val="17"/>
              </w:rPr>
              <w:t>B3 Regularised logistic regression</w:t>
            </w:r>
          </w:p>
        </w:tc>
        <w:tc>
          <w:tcPr>
            <w:tcW w:type="dxa" w:w="2180"/>
            <w:shd w:val="clear" w:color="auto" w:fill="F2F5F9"/>
          </w:tcPr>
          <w:p>
            <w:pPr>
              <w:spacing w:after="20"/>
            </w:pPr>
            <w:r/>
            <w:r>
              <w:rPr>
                <w:sz w:val="17"/>
              </w:rPr>
              <w:t>A small, interpretable feature set</w:t>
            </w:r>
          </w:p>
        </w:tc>
        <w:tc>
          <w:tcPr>
            <w:tcW w:type="dxa" w:w="1754"/>
            <w:shd w:val="clear" w:color="auto" w:fill="F2F5F9"/>
          </w:tcPr>
          <w:p>
            <w:pPr>
              <w:spacing w:after="20"/>
            </w:pPr>
            <w:r/>
            <w:r>
              <w:rPr>
                <w:sz w:val="17"/>
              </w:rPr>
              <w:t>Same test and K</w:t>
            </w:r>
          </w:p>
        </w:tc>
        <w:tc>
          <w:tcPr>
            <w:tcW w:type="dxa" w:w="2073"/>
            <w:shd w:val="clear" w:color="auto" w:fill="F2F5F9"/>
          </w:tcPr>
          <w:p>
            <w:pPr>
              <w:spacing w:after="20"/>
            </w:pPr>
            <w:r/>
            <w:r>
              <w:rPr>
                <w:sz w:val="17"/>
              </w:rPr>
              <w:t>Limited non-linearity</w:t>
            </w:r>
          </w:p>
        </w:tc>
        <w:tc>
          <w:tcPr>
            <w:tcW w:type="dxa" w:w="1815"/>
            <w:shd w:val="clear" w:color="auto" w:fill="F2F5F9"/>
          </w:tcPr>
          <w:p>
            <w:pPr>
              <w:spacing w:after="20"/>
            </w:pPr>
            <w:r/>
            <w:r>
              <w:rPr>
                <w:sz w:val="17"/>
              </w:rPr>
              <w:t>Reference model and explainable champion candidate</w:t>
            </w:r>
          </w:p>
        </w:tc>
      </w:tr>
    </w:tbl>
    <w:p>
      <w:pPr>
        <w:spacing w:after="40"/>
      </w:pPr>
    </w:p>
    <w:p>
      <w:r>
        <w:rPr>
          <w:b/>
        </w:rPr>
        <w:t>Bar to beat.</w:t>
      </w:r>
      <w:r>
        <w:rPr/>
        <w:t xml:space="preserve"> A candidate must beat B1 (or B2 if B1 is missing) on precision@20,000 and on lift by an agreed margin </w:t>
      </w:r>
      <w:r>
        <w:rPr>
          <w:b/>
          <w:color w:val="C0392B"/>
        </w:rPr>
        <w:t>[TBD with client]</w:t>
      </w:r>
      <w:r>
        <w:rPr/>
        <w:t xml:space="preserve"> across all rolling out-of-time folds. Proposed rule for the margin: the lower 95% paired-bootstrap bound (resampling customers) of the precision@K gain over B1 must exceed the smallest gain that covers the extra operating cost, to be agreed in Phase 1. No numeric baseline value is stated here because none has been supplied.</w:t>
      </w:r>
    </w:p>
    <w:p>
      <w:pPr>
        <w:pStyle w:val="Heading2"/>
      </w:pPr>
      <w:r>
        <w:rPr/>
        <w:t>9. Candidate Algorithms &amp; Prioritisation</w:t>
      </w:r>
    </w:p>
    <w:tbl>
      <w:tblPr>
        <w:tblStyle w:val="TableGrid"/>
        <w:tblW w:type="auto" w:w="0"/>
        <w:jc w:val="center"/>
        <w:tblLayout w:type="fixed"/>
        <w:tblLook w:firstColumn="1" w:firstRow="1" w:lastColumn="0" w:lastRow="0" w:noHBand="0" w:noVBand="1" w:val="04A0"/>
        <w:tblLayout w:type="fixed"/>
      </w:tblPr>
      <w:tblGrid>
        <w:gridCol w:w="775"/>
        <w:gridCol w:w="1228"/>
        <w:gridCol w:w="1095"/>
        <w:gridCol w:w="890"/>
        <w:gridCol w:w="1019"/>
        <w:gridCol w:w="822"/>
        <w:gridCol w:w="1095"/>
        <w:gridCol w:w="1278"/>
        <w:gridCol w:w="1435"/>
      </w:tblGrid>
      <w:tr>
        <w:trPr>
          <w:tblHeader w:val="true"/>
        </w:trPr>
        <w:tc>
          <w:tcPr>
            <w:tcW w:type="dxa" w:w="775"/>
            <w:shd w:val="clear" w:color="auto" w:fill="1F3A5F"/>
          </w:tcPr>
          <w:p>
            <w:r/>
            <w:r>
              <w:rPr>
                <w:b/>
                <w:color w:val="FFFFFF"/>
                <w:sz w:val="15"/>
              </w:rPr>
              <w:t>Priority</w:t>
            </w:r>
          </w:p>
        </w:tc>
        <w:tc>
          <w:tcPr>
            <w:tcW w:type="dxa" w:w="1228"/>
            <w:shd w:val="clear" w:color="auto" w:fill="1F3A5F"/>
          </w:tcPr>
          <w:p>
            <w:r/>
            <w:r>
              <w:rPr>
                <w:b/>
                <w:color w:val="FFFFFF"/>
                <w:sz w:val="15"/>
              </w:rPr>
              <w:t>Algorithm</w:t>
            </w:r>
          </w:p>
        </w:tc>
        <w:tc>
          <w:tcPr>
            <w:tcW w:type="dxa" w:w="1095"/>
            <w:shd w:val="clear" w:color="auto" w:fill="1F3A5F"/>
          </w:tcPr>
          <w:p>
            <w:r/>
            <w:r>
              <w:rPr>
                <w:b/>
                <w:color w:val="FFFFFF"/>
                <w:sz w:val="15"/>
              </w:rPr>
              <w:t>Why plausible</w:t>
            </w:r>
          </w:p>
        </w:tc>
        <w:tc>
          <w:tcPr>
            <w:tcW w:type="dxa" w:w="890"/>
            <w:shd w:val="clear" w:color="auto" w:fill="1F3A5F"/>
          </w:tcPr>
          <w:p>
            <w:r/>
            <w:r>
              <w:rPr>
                <w:b/>
                <w:color w:val="FFFFFF"/>
                <w:sz w:val="15"/>
              </w:rPr>
              <w:t>Needs</w:t>
            </w:r>
          </w:p>
        </w:tc>
        <w:tc>
          <w:tcPr>
            <w:tcW w:type="dxa" w:w="1019"/>
            <w:shd w:val="clear" w:color="auto" w:fill="1F3A5F"/>
          </w:tcPr>
          <w:p>
            <w:r/>
            <w:r>
              <w:rPr>
                <w:b/>
                <w:color w:val="FFFFFF"/>
                <w:sz w:val="15"/>
              </w:rPr>
              <w:t>Strengths</w:t>
            </w:r>
          </w:p>
        </w:tc>
        <w:tc>
          <w:tcPr>
            <w:tcW w:type="dxa" w:w="822"/>
            <w:shd w:val="clear" w:color="auto" w:fill="1F3A5F"/>
          </w:tcPr>
          <w:p>
            <w:r/>
            <w:r>
              <w:rPr>
                <w:b/>
                <w:color w:val="FFFFFF"/>
                <w:sz w:val="15"/>
              </w:rPr>
              <w:t>Weaknesses</w:t>
            </w:r>
          </w:p>
        </w:tc>
        <w:tc>
          <w:tcPr>
            <w:tcW w:type="dxa" w:w="1095"/>
            <w:shd w:val="clear" w:color="auto" w:fill="1F3A5F"/>
          </w:tcPr>
          <w:p>
            <w:r/>
            <w:r>
              <w:rPr>
                <w:b/>
                <w:color w:val="FFFFFF"/>
                <w:sz w:val="15"/>
              </w:rPr>
              <w:t>Interpretability</w:t>
            </w:r>
          </w:p>
        </w:tc>
        <w:tc>
          <w:tcPr>
            <w:tcW w:type="dxa" w:w="1278"/>
            <w:shd w:val="clear" w:color="auto" w:fill="1F3A5F"/>
          </w:tcPr>
          <w:p>
            <w:r/>
            <w:r>
              <w:rPr>
                <w:b/>
                <w:color w:val="FFFFFF"/>
                <w:sz w:val="15"/>
              </w:rPr>
              <w:t>Key hyperparameters</w:t>
            </w:r>
          </w:p>
        </w:tc>
        <w:tc>
          <w:tcPr>
            <w:tcW w:type="dxa" w:w="1435"/>
            <w:shd w:val="clear" w:color="auto" w:fill="1F3A5F"/>
          </w:tcPr>
          <w:p>
            <w:r/>
            <w:r>
              <w:rPr>
                <w:b/>
                <w:color w:val="FFFFFF"/>
                <w:sz w:val="15"/>
              </w:rPr>
              <w:t>Reject if</w:t>
            </w:r>
          </w:p>
        </w:tc>
      </w:tr>
      <w:tr>
        <w:tc>
          <w:tcPr>
            <w:tcW w:type="dxa" w:w="775"/>
          </w:tcPr>
          <w:p>
            <w:pPr>
              <w:spacing w:after="20"/>
            </w:pPr>
            <w:r/>
            <w:r>
              <w:rPr>
                <w:sz w:val="15"/>
              </w:rPr>
              <w:t>1</w:t>
            </w:r>
          </w:p>
        </w:tc>
        <w:tc>
          <w:tcPr>
            <w:tcW w:type="dxa" w:w="1228"/>
          </w:tcPr>
          <w:p>
            <w:pPr>
              <w:spacing w:after="20"/>
            </w:pPr>
            <w:r/>
            <w:r>
              <w:rPr>
                <w:sz w:val="15"/>
              </w:rPr>
              <w:t>Regularised logistic (WoE/binned)</w:t>
            </w:r>
          </w:p>
        </w:tc>
        <w:tc>
          <w:tcPr>
            <w:tcW w:type="dxa" w:w="1095"/>
          </w:tcPr>
          <w:p>
            <w:pPr>
              <w:spacing w:after="20"/>
            </w:pPr>
            <w:r/>
            <w:r>
              <w:rPr>
                <w:sz w:val="15"/>
              </w:rPr>
              <w:t>Transparent, stable, easy to validate</w:t>
            </w:r>
          </w:p>
        </w:tc>
        <w:tc>
          <w:tcPr>
            <w:tcW w:type="dxa" w:w="890"/>
          </w:tcPr>
          <w:p>
            <w:pPr>
              <w:spacing w:after="20"/>
            </w:pPr>
            <w:r/>
            <w:r>
              <w:rPr>
                <w:sz w:val="15"/>
              </w:rPr>
              <w:t>Binning, monotone features</w:t>
            </w:r>
          </w:p>
        </w:tc>
        <w:tc>
          <w:tcPr>
            <w:tcW w:type="dxa" w:w="1019"/>
          </w:tcPr>
          <w:p>
            <w:pPr>
              <w:spacing w:after="20"/>
            </w:pPr>
            <w:r/>
            <w:r>
              <w:rPr>
                <w:sz w:val="15"/>
              </w:rPr>
              <w:t>Calibrated, explainable, reason codes</w:t>
            </w:r>
          </w:p>
        </w:tc>
        <w:tc>
          <w:tcPr>
            <w:tcW w:type="dxa" w:w="822"/>
          </w:tcPr>
          <w:p>
            <w:pPr>
              <w:spacing w:after="20"/>
            </w:pPr>
            <w:r/>
            <w:r>
              <w:rPr>
                <w:sz w:val="15"/>
              </w:rPr>
              <w:t>Misses interactions</w:t>
            </w:r>
          </w:p>
        </w:tc>
        <w:tc>
          <w:tcPr>
            <w:tcW w:type="dxa" w:w="1095"/>
          </w:tcPr>
          <w:p>
            <w:pPr>
              <w:spacing w:after="20"/>
            </w:pPr>
            <w:r/>
            <w:r>
              <w:rPr>
                <w:sz w:val="15"/>
              </w:rPr>
              <w:t>High</w:t>
            </w:r>
          </w:p>
        </w:tc>
        <w:tc>
          <w:tcPr>
            <w:tcW w:type="dxa" w:w="1278"/>
          </w:tcPr>
          <w:p>
            <w:pPr>
              <w:spacing w:after="20"/>
            </w:pPr>
            <w:r/>
            <w:r>
              <w:rPr>
                <w:sz w:val="15"/>
              </w:rPr>
              <w:t>C, binning, penalty</w:t>
            </w:r>
          </w:p>
        </w:tc>
        <w:tc>
          <w:tcPr>
            <w:tcW w:type="dxa" w:w="1435"/>
          </w:tcPr>
          <w:p>
            <w:pPr>
              <w:spacing w:after="20"/>
            </w:pPr>
            <w:r/>
            <w:r>
              <w:rPr>
                <w:sz w:val="15"/>
              </w:rPr>
              <w:t>Never rejected; stays as the reference</w:t>
            </w:r>
          </w:p>
        </w:tc>
      </w:tr>
      <w:tr>
        <w:tc>
          <w:tcPr>
            <w:tcW w:type="dxa" w:w="775"/>
            <w:shd w:val="clear" w:color="auto" w:fill="F2F5F9"/>
          </w:tcPr>
          <w:p>
            <w:pPr>
              <w:spacing w:after="20"/>
            </w:pPr>
            <w:r/>
            <w:r>
              <w:rPr>
                <w:sz w:val="15"/>
              </w:rPr>
              <w:t>2</w:t>
            </w:r>
          </w:p>
        </w:tc>
        <w:tc>
          <w:tcPr>
            <w:tcW w:type="dxa" w:w="1228"/>
            <w:shd w:val="clear" w:color="auto" w:fill="F2F5F9"/>
          </w:tcPr>
          <w:p>
            <w:pPr>
              <w:spacing w:after="20"/>
            </w:pPr>
            <w:r/>
            <w:r>
              <w:rPr>
                <w:sz w:val="15"/>
              </w:rPr>
              <w:t>Gradient-boosted trees (LightGBM / XGBoost / sklearn HistGB)</w:t>
            </w:r>
          </w:p>
        </w:tc>
        <w:tc>
          <w:tcPr>
            <w:tcW w:type="dxa" w:w="1095"/>
            <w:shd w:val="clear" w:color="auto" w:fill="F2F5F9"/>
          </w:tcPr>
          <w:p>
            <w:pPr>
              <w:spacing w:after="20"/>
            </w:pPr>
            <w:r/>
            <w:r>
              <w:rPr>
                <w:sz w:val="15"/>
              </w:rPr>
              <w:t>Tabular data with many mixed features and interactions</w:t>
            </w:r>
          </w:p>
        </w:tc>
        <w:tc>
          <w:tcPr>
            <w:tcW w:type="dxa" w:w="890"/>
            <w:shd w:val="clear" w:color="auto" w:fill="F2F5F9"/>
          </w:tcPr>
          <w:p>
            <w:pPr>
              <w:spacing w:after="20"/>
            </w:pPr>
            <w:r/>
            <w:r>
              <w:rPr>
                <w:sz w:val="15"/>
              </w:rPr>
              <w:t>Millions of rows are fine; careful time splits</w:t>
            </w:r>
          </w:p>
        </w:tc>
        <w:tc>
          <w:tcPr>
            <w:tcW w:type="dxa" w:w="1019"/>
            <w:shd w:val="clear" w:color="auto" w:fill="F2F5F9"/>
          </w:tcPr>
          <w:p>
            <w:pPr>
              <w:spacing w:after="20"/>
            </w:pPr>
            <w:r/>
            <w:r>
              <w:rPr>
                <w:sz w:val="15"/>
              </w:rPr>
              <w:t>Strong ranking quality, handles missing values</w:t>
            </w:r>
          </w:p>
        </w:tc>
        <w:tc>
          <w:tcPr>
            <w:tcW w:type="dxa" w:w="822"/>
            <w:shd w:val="clear" w:color="auto" w:fill="F2F5F9"/>
          </w:tcPr>
          <w:p>
            <w:pPr>
              <w:spacing w:after="20"/>
            </w:pPr>
            <w:r/>
            <w:r>
              <w:rPr>
                <w:sz w:val="15"/>
              </w:rPr>
              <w:t>Needs calibration; less transparent</w:t>
            </w:r>
          </w:p>
        </w:tc>
        <w:tc>
          <w:tcPr>
            <w:tcW w:type="dxa" w:w="1095"/>
            <w:shd w:val="clear" w:color="auto" w:fill="F2F5F9"/>
          </w:tcPr>
          <w:p>
            <w:pPr>
              <w:spacing w:after="20"/>
            </w:pPr>
            <w:r/>
            <w:r>
              <w:rPr>
                <w:sz w:val="15"/>
              </w:rPr>
              <w:t>Medium (SHAP, monotone constraints)</w:t>
            </w:r>
          </w:p>
        </w:tc>
        <w:tc>
          <w:tcPr>
            <w:tcW w:type="dxa" w:w="1278"/>
            <w:shd w:val="clear" w:color="auto" w:fill="F2F5F9"/>
          </w:tcPr>
          <w:p>
            <w:pPr>
              <w:spacing w:after="20"/>
            </w:pPr>
            <w:r/>
            <w:r>
              <w:rPr>
                <w:sz w:val="15"/>
              </w:rPr>
              <w:t>learning rate, trees, depth/leaves, min child samples, subsample, regularisation, scale_pos_weight</w:t>
            </w:r>
          </w:p>
        </w:tc>
        <w:tc>
          <w:tcPr>
            <w:tcW w:type="dxa" w:w="1435"/>
            <w:shd w:val="clear" w:color="auto" w:fill="F2F5F9"/>
          </w:tcPr>
          <w:p>
            <w:pPr>
              <w:spacing w:after="20"/>
            </w:pPr>
            <w:r/>
            <w:r>
              <w:rPr>
                <w:sz w:val="15"/>
              </w:rPr>
              <w:t>Fails to beat logistic beyond the noise band on precision@20,000 or fails stability by period</w:t>
            </w:r>
          </w:p>
        </w:tc>
      </w:tr>
      <w:tr>
        <w:tc>
          <w:tcPr>
            <w:tcW w:type="dxa" w:w="775"/>
          </w:tcPr>
          <w:p>
            <w:pPr>
              <w:spacing w:after="20"/>
            </w:pPr>
            <w:r/>
            <w:r>
              <w:rPr>
                <w:sz w:val="15"/>
              </w:rPr>
              <w:t>3</w:t>
            </w:r>
          </w:p>
        </w:tc>
        <w:tc>
          <w:tcPr>
            <w:tcW w:type="dxa" w:w="1228"/>
          </w:tcPr>
          <w:p>
            <w:pPr>
              <w:spacing w:after="20"/>
            </w:pPr>
            <w:r/>
            <w:r>
              <w:rPr>
                <w:sz w:val="15"/>
              </w:rPr>
              <w:t>Discrete-time survival (GBM on person-period rows)</w:t>
            </w:r>
          </w:p>
        </w:tc>
        <w:tc>
          <w:tcPr>
            <w:tcW w:type="dxa" w:w="1095"/>
          </w:tcPr>
          <w:p>
            <w:pPr>
              <w:spacing w:after="20"/>
            </w:pPr>
            <w:r/>
            <w:r>
              <w:rPr>
                <w:sz w:val="15"/>
              </w:rPr>
              <w:t>Horizon-specific risk and censoring handling</w:t>
            </w:r>
          </w:p>
        </w:tc>
        <w:tc>
          <w:tcPr>
            <w:tcW w:type="dxa" w:w="890"/>
          </w:tcPr>
          <w:p>
            <w:pPr>
              <w:spacing w:after="20"/>
            </w:pPr>
            <w:r/>
            <w:r>
              <w:rPr>
                <w:sz w:val="15"/>
              </w:rPr>
              <w:t>Person-period table</w:t>
            </w:r>
          </w:p>
        </w:tc>
        <w:tc>
          <w:tcPr>
            <w:tcW w:type="dxa" w:w="1019"/>
          </w:tcPr>
          <w:p>
            <w:pPr>
              <w:spacing w:after="20"/>
            </w:pPr>
            <w:r/>
            <w:r>
              <w:rPr>
                <w:sz w:val="15"/>
              </w:rPr>
              <w:t>Risk curves; uses recent snapshots</w:t>
            </w:r>
          </w:p>
        </w:tc>
        <w:tc>
          <w:tcPr>
            <w:tcW w:type="dxa" w:w="822"/>
          </w:tcPr>
          <w:p>
            <w:pPr>
              <w:spacing w:after="20"/>
            </w:pPr>
            <w:r/>
            <w:r>
              <w:rPr>
                <w:sz w:val="15"/>
              </w:rPr>
              <w:t>Larger data, complexity</w:t>
            </w:r>
          </w:p>
        </w:tc>
        <w:tc>
          <w:tcPr>
            <w:tcW w:type="dxa" w:w="1095"/>
          </w:tcPr>
          <w:p>
            <w:pPr>
              <w:spacing w:after="20"/>
            </w:pPr>
            <w:r/>
            <w:r>
              <w:rPr>
                <w:sz w:val="15"/>
              </w:rPr>
              <w:t>Medium</w:t>
            </w:r>
          </w:p>
        </w:tc>
        <w:tc>
          <w:tcPr>
            <w:tcW w:type="dxa" w:w="1278"/>
          </w:tcPr>
          <w:p>
            <w:pPr>
              <w:spacing w:after="20"/>
            </w:pPr>
            <w:r/>
            <w:r>
              <w:rPr>
                <w:sz w:val="15"/>
              </w:rPr>
              <w:t>Same as GBM plus time-bin encoding</w:t>
            </w:r>
          </w:p>
        </w:tc>
        <w:tc>
          <w:tcPr>
            <w:tcW w:type="dxa" w:w="1435"/>
          </w:tcPr>
          <w:p>
            <w:pPr>
              <w:spacing w:after="20"/>
            </w:pPr>
            <w:r/>
            <w:r>
              <w:rPr>
                <w:sz w:val="15"/>
              </w:rPr>
              <w:t>Adds no value over the binary classifier</w:t>
            </w:r>
          </w:p>
        </w:tc>
      </w:tr>
      <w:tr>
        <w:tc>
          <w:tcPr>
            <w:tcW w:type="dxa" w:w="775"/>
            <w:shd w:val="clear" w:color="auto" w:fill="F2F5F9"/>
          </w:tcPr>
          <w:p>
            <w:pPr>
              <w:spacing w:after="20"/>
            </w:pPr>
            <w:r/>
            <w:r>
              <w:rPr>
                <w:sz w:val="15"/>
              </w:rPr>
              <w:t>4 (A4, later)</w:t>
            </w:r>
          </w:p>
        </w:tc>
        <w:tc>
          <w:tcPr>
            <w:tcW w:type="dxa" w:w="1228"/>
            <w:shd w:val="clear" w:color="auto" w:fill="F2F5F9"/>
          </w:tcPr>
          <w:p>
            <w:pPr>
              <w:spacing w:after="20"/>
            </w:pPr>
            <w:r/>
            <w:r>
              <w:rPr>
                <w:sz w:val="15"/>
              </w:rPr>
              <w:t>Uplift models (two-model / X-learner / causal forest)</w:t>
            </w:r>
          </w:p>
        </w:tc>
        <w:tc>
          <w:tcPr>
            <w:tcW w:type="dxa" w:w="1095"/>
            <w:shd w:val="clear" w:color="auto" w:fill="F2F5F9"/>
          </w:tcPr>
          <w:p>
            <w:pPr>
              <w:spacing w:after="20"/>
            </w:pPr>
            <w:r/>
            <w:r>
              <w:rPr>
                <w:sz w:val="15"/>
              </w:rPr>
              <w:t>Targets persuadables</w:t>
            </w:r>
          </w:p>
        </w:tc>
        <w:tc>
          <w:tcPr>
            <w:tcW w:type="dxa" w:w="890"/>
            <w:shd w:val="clear" w:color="auto" w:fill="F2F5F9"/>
          </w:tcPr>
          <w:p>
            <w:pPr>
              <w:spacing w:after="20"/>
            </w:pPr>
            <w:r/>
            <w:r>
              <w:rPr>
                <w:b/>
                <w:sz w:val="15"/>
              </w:rPr>
              <w:t>Randomised campaign data</w:t>
            </w:r>
          </w:p>
        </w:tc>
        <w:tc>
          <w:tcPr>
            <w:tcW w:type="dxa" w:w="1019"/>
            <w:shd w:val="clear" w:color="auto" w:fill="F2F5F9"/>
          </w:tcPr>
          <w:p>
            <w:pPr>
              <w:spacing w:after="20"/>
            </w:pPr>
            <w:r/>
            <w:r>
              <w:rPr>
                <w:sz w:val="15"/>
              </w:rPr>
              <w:t>Optimises incremental retention</w:t>
            </w:r>
          </w:p>
        </w:tc>
        <w:tc>
          <w:tcPr>
            <w:tcW w:type="dxa" w:w="822"/>
            <w:shd w:val="clear" w:color="auto" w:fill="F2F5F9"/>
          </w:tcPr>
          <w:p>
            <w:pPr>
              <w:spacing w:after="20"/>
            </w:pPr>
            <w:r/>
            <w:r>
              <w:rPr>
                <w:sz w:val="15"/>
              </w:rPr>
              <w:t>Needs volume; noisy</w:t>
            </w:r>
          </w:p>
        </w:tc>
        <w:tc>
          <w:tcPr>
            <w:tcW w:type="dxa" w:w="1095"/>
            <w:shd w:val="clear" w:color="auto" w:fill="F2F5F9"/>
          </w:tcPr>
          <w:p>
            <w:pPr>
              <w:spacing w:after="20"/>
            </w:pPr>
            <w:r/>
            <w:r>
              <w:rPr>
                <w:sz w:val="15"/>
              </w:rPr>
              <w:t>Medium</w:t>
            </w:r>
          </w:p>
        </w:tc>
        <w:tc>
          <w:tcPr>
            <w:tcW w:type="dxa" w:w="1278"/>
            <w:shd w:val="clear" w:color="auto" w:fill="F2F5F9"/>
          </w:tcPr>
          <w:p>
            <w:pPr>
              <w:spacing w:after="20"/>
            </w:pPr>
            <w:r/>
            <w:r>
              <w:rPr>
                <w:sz w:val="15"/>
              </w:rPr>
              <w:t>Base-learner settings, propensity known by design</w:t>
            </w:r>
          </w:p>
        </w:tc>
        <w:tc>
          <w:tcPr>
            <w:tcW w:type="dxa" w:w="1435"/>
            <w:shd w:val="clear" w:color="auto" w:fill="F2F5F9"/>
          </w:tcPr>
          <w:p>
            <w:pPr>
              <w:spacing w:after="20"/>
            </w:pPr>
            <w:r/>
            <w:r>
              <w:rPr>
                <w:sz w:val="15"/>
              </w:rPr>
              <w:t>Qini / uplift curve not better than risk ranking on held-out randomised data</w:t>
            </w:r>
          </w:p>
        </w:tc>
      </w:tr>
    </w:tbl>
    <w:p>
      <w:pPr>
        <w:spacing w:after="40"/>
      </w:pPr>
    </w:p>
    <w:p>
      <w:r>
        <w:rPr>
          <w:b/>
        </w:rPr>
        <w:t>Deferred.</w:t>
      </w:r>
      <w:r>
        <w:rPr/>
        <w:t xml:space="preserve"> Deep sequence models on transactions are not justified yet. Reconsider only if tabular aggregates plateau and an ablation shows raw-sequence signal.</w:t>
      </w:r>
    </w:p>
    <w:p>
      <w:r>
        <w:rPr>
          <w:b/>
        </w:rPr>
        <w:t>Selection rule.</w:t>
      </w:r>
      <w:r>
        <w:rPr/>
        <w:t xml:space="preserve"> Prefer the simpler model when the difference is within the cross-fold noise band. Otherwise rank by: precision@20,000 (primary), then calibration, stability across periods and segments, explainability, and serving cost.</w:t>
      </w:r>
    </w:p>
    <w:p>
      <w:pPr>
        <w:pStyle w:val="Heading2"/>
      </w:pPr>
      <w:r>
        <w:rPr/>
        <w:t>10. Metrics &amp; Decision Criteria</w:t>
      </w:r>
    </w:p>
    <w:tbl>
      <w:tblPr>
        <w:tblStyle w:val="TableGrid"/>
        <w:tblW w:type="auto" w:w="0"/>
        <w:jc w:val="center"/>
        <w:tblLayout w:type="fixed"/>
        <w:tblLook w:firstColumn="1" w:firstRow="1" w:lastColumn="0" w:lastRow="0" w:noHBand="0" w:noVBand="1" w:val="04A0"/>
        <w:tblLayout w:type="fixed"/>
      </w:tblPr>
      <w:tblGrid>
        <w:gridCol w:w="1339"/>
        <w:gridCol w:w="1980"/>
        <w:gridCol w:w="2142"/>
        <w:gridCol w:w="2008"/>
        <w:gridCol w:w="2169"/>
      </w:tblGrid>
      <w:tr>
        <w:trPr>
          <w:tblHeader w:val="true"/>
        </w:trPr>
        <w:tc>
          <w:tcPr>
            <w:tcW w:type="dxa" w:w="1339"/>
            <w:shd w:val="clear" w:color="auto" w:fill="1F3A5F"/>
          </w:tcPr>
          <w:p>
            <w:r/>
            <w:r>
              <w:rPr>
                <w:b/>
                <w:color w:val="FFFFFF"/>
                <w:sz w:val="17"/>
              </w:rPr>
              <w:t>Tier</w:t>
            </w:r>
          </w:p>
        </w:tc>
        <w:tc>
          <w:tcPr>
            <w:tcW w:type="dxa" w:w="1980"/>
            <w:shd w:val="clear" w:color="auto" w:fill="1F3A5F"/>
          </w:tcPr>
          <w:p>
            <w:r/>
            <w:r>
              <w:rPr>
                <w:b/>
                <w:color w:val="FFFFFF"/>
                <w:sz w:val="17"/>
              </w:rPr>
              <w:t>Metric</w:t>
            </w:r>
          </w:p>
        </w:tc>
        <w:tc>
          <w:tcPr>
            <w:tcW w:type="dxa" w:w="2142"/>
            <w:shd w:val="clear" w:color="auto" w:fill="1F3A5F"/>
          </w:tcPr>
          <w:p>
            <w:r/>
            <w:r>
              <w:rPr>
                <w:b/>
                <w:color w:val="FFFFFF"/>
                <w:sz w:val="17"/>
              </w:rPr>
              <w:t>Definition</w:t>
            </w:r>
          </w:p>
        </w:tc>
        <w:tc>
          <w:tcPr>
            <w:tcW w:type="dxa" w:w="2008"/>
            <w:shd w:val="clear" w:color="auto" w:fill="1F3A5F"/>
          </w:tcPr>
          <w:p>
            <w:r/>
            <w:r>
              <w:rPr>
                <w:b/>
                <w:color w:val="FFFFFF"/>
                <w:sz w:val="17"/>
              </w:rPr>
              <w:t>Why</w:t>
            </w:r>
          </w:p>
        </w:tc>
        <w:tc>
          <w:tcPr>
            <w:tcW w:type="dxa" w:w="2169"/>
            <w:shd w:val="clear" w:color="auto" w:fill="1F3A5F"/>
          </w:tcPr>
          <w:p>
            <w:r/>
            <w:r>
              <w:rPr>
                <w:b/>
                <w:color w:val="FFFFFF"/>
                <w:sz w:val="17"/>
              </w:rPr>
              <w:t>Caveat</w:t>
            </w:r>
          </w:p>
        </w:tc>
      </w:tr>
      <w:tr>
        <w:tc>
          <w:tcPr>
            <w:tcW w:type="dxa" w:w="1339"/>
          </w:tcPr>
          <w:p>
            <w:pPr>
              <w:spacing w:after="20"/>
            </w:pPr>
            <w:r/>
            <w:r>
              <w:rPr>
                <w:sz w:val="17"/>
              </w:rPr>
              <w:t>Primary</w:t>
            </w:r>
          </w:p>
        </w:tc>
        <w:tc>
          <w:tcPr>
            <w:tcW w:type="dxa" w:w="1980"/>
          </w:tcPr>
          <w:p>
            <w:pPr>
              <w:spacing w:after="20"/>
            </w:pPr>
            <w:r/>
            <w:r>
              <w:rPr>
                <w:sz w:val="17"/>
              </w:rPr>
              <w:t>Precision@K and lift@K (K = 20,000, or the equivalent top fraction scaled to a snapshot)</w:t>
            </w:r>
          </w:p>
        </w:tc>
        <w:tc>
          <w:tcPr>
            <w:tcW w:type="dxa" w:w="2142"/>
          </w:tcPr>
          <w:p>
            <w:pPr>
              <w:spacing w:after="20"/>
            </w:pPr>
            <w:r/>
            <w:r>
              <w:rPr>
                <w:sz w:val="17"/>
              </w:rPr>
              <w:t>Share of the top K that close voluntarily within 3 months; divided by base rate for lift</w:t>
            </w:r>
          </w:p>
        </w:tc>
        <w:tc>
          <w:tcPr>
            <w:tcW w:type="dxa" w:w="2008"/>
          </w:tcPr>
          <w:p>
            <w:pPr>
              <w:spacing w:after="20"/>
            </w:pPr>
            <w:r/>
            <w:r>
              <w:rPr>
                <w:sz w:val="17"/>
              </w:rPr>
              <w:t>Matches the monthly capacity</w:t>
            </w:r>
          </w:p>
        </w:tc>
        <w:tc>
          <w:tcPr>
            <w:tcW w:type="dxa" w:w="2169"/>
          </w:tcPr>
          <w:p>
            <w:pPr>
              <w:spacing w:after="20"/>
            </w:pPr>
            <w:r/>
            <w:r>
              <w:rPr>
                <w:sz w:val="17"/>
              </w:rPr>
              <w:t>Does not show whether a call changes the outcome</w:t>
            </w:r>
          </w:p>
        </w:tc>
      </w:tr>
      <w:tr>
        <w:tc>
          <w:tcPr>
            <w:tcW w:type="dxa" w:w="1339"/>
            <w:shd w:val="clear" w:color="auto" w:fill="F2F5F9"/>
          </w:tcPr>
          <w:p>
            <w:pPr>
              <w:spacing w:after="20"/>
            </w:pPr>
            <w:r/>
            <w:r>
              <w:rPr>
                <w:sz w:val="17"/>
              </w:rPr>
              <w:t>Secondary</w:t>
            </w:r>
          </w:p>
        </w:tc>
        <w:tc>
          <w:tcPr>
            <w:tcW w:type="dxa" w:w="1980"/>
            <w:shd w:val="clear" w:color="auto" w:fill="F2F5F9"/>
          </w:tcPr>
          <w:p>
            <w:pPr>
              <w:spacing w:after="20"/>
            </w:pPr>
            <w:r/>
            <w:r>
              <w:rPr>
                <w:sz w:val="17"/>
              </w:rPr>
              <w:t>PR-AUC</w:t>
            </w:r>
          </w:p>
        </w:tc>
        <w:tc>
          <w:tcPr>
            <w:tcW w:type="dxa" w:w="2142"/>
            <w:shd w:val="clear" w:color="auto" w:fill="F2F5F9"/>
          </w:tcPr>
          <w:p>
            <w:pPr>
              <w:spacing w:after="20"/>
            </w:pPr>
            <w:r/>
            <w:r>
              <w:rPr>
                <w:sz w:val="17"/>
              </w:rPr>
              <w:t>Area under precision–recall</w:t>
            </w:r>
          </w:p>
        </w:tc>
        <w:tc>
          <w:tcPr>
            <w:tcW w:type="dxa" w:w="2008"/>
            <w:shd w:val="clear" w:color="auto" w:fill="F2F5F9"/>
          </w:tcPr>
          <w:p>
            <w:pPr>
              <w:spacing w:after="20"/>
            </w:pPr>
            <w:r/>
            <w:r>
              <w:rPr>
                <w:sz w:val="17"/>
              </w:rPr>
              <w:t>Threshold-free, suited to ~4% positives</w:t>
            </w:r>
          </w:p>
        </w:tc>
        <w:tc>
          <w:tcPr>
            <w:tcW w:type="dxa" w:w="2169"/>
            <w:shd w:val="clear" w:color="auto" w:fill="F2F5F9"/>
          </w:tcPr>
          <w:p>
            <w:pPr>
              <w:spacing w:after="20"/>
            </w:pPr>
            <w:r/>
            <w:r>
              <w:rPr>
                <w:sz w:val="17"/>
              </w:rPr>
              <w:t>Hard to interpret for executives</w:t>
            </w:r>
          </w:p>
        </w:tc>
      </w:tr>
      <w:tr>
        <w:tc>
          <w:tcPr>
            <w:tcW w:type="dxa" w:w="1339"/>
          </w:tcPr>
          <w:p>
            <w:pPr>
              <w:spacing w:after="20"/>
            </w:pPr>
            <w:r/>
            <w:r>
              <w:rPr>
                <w:sz w:val="17"/>
              </w:rPr>
              <w:t>Secondary</w:t>
            </w:r>
          </w:p>
        </w:tc>
        <w:tc>
          <w:tcPr>
            <w:tcW w:type="dxa" w:w="1980"/>
          </w:tcPr>
          <w:p>
            <w:pPr>
              <w:spacing w:after="20"/>
            </w:pPr>
            <w:r/>
            <w:r>
              <w:rPr>
                <w:sz w:val="17"/>
              </w:rPr>
              <w:t>Recall@K</w:t>
            </w:r>
          </w:p>
        </w:tc>
        <w:tc>
          <w:tcPr>
            <w:tcW w:type="dxa" w:w="2142"/>
          </w:tcPr>
          <w:p>
            <w:pPr>
              <w:spacing w:after="20"/>
            </w:pPr>
            <w:r/>
            <w:r>
              <w:rPr>
                <w:sz w:val="17"/>
              </w:rPr>
              <w:t>Share of all 3-month churners captured in the top K</w:t>
            </w:r>
          </w:p>
        </w:tc>
        <w:tc>
          <w:tcPr>
            <w:tcW w:type="dxa" w:w="2008"/>
          </w:tcPr>
          <w:p>
            <w:pPr>
              <w:spacing w:after="20"/>
            </w:pPr>
            <w:r/>
            <w:r>
              <w:rPr>
                <w:sz w:val="17"/>
              </w:rPr>
              <w:t>Context for coverage</w:t>
            </w:r>
          </w:p>
        </w:tc>
        <w:tc>
          <w:tcPr>
            <w:tcW w:type="dxa" w:w="2169"/>
          </w:tcPr>
          <w:p>
            <w:pPr>
              <w:spacing w:after="20"/>
            </w:pPr>
            <w:r/>
            <w:r>
              <w:rPr>
                <w:sz w:val="17"/>
              </w:rPr>
              <w:t>Capped by capacity (≈19% ceiling under uniform hazard)</w:t>
            </w:r>
          </w:p>
        </w:tc>
      </w:tr>
      <w:tr>
        <w:tc>
          <w:tcPr>
            <w:tcW w:type="dxa" w:w="1339"/>
            <w:shd w:val="clear" w:color="auto" w:fill="F2F5F9"/>
          </w:tcPr>
          <w:p>
            <w:pPr>
              <w:spacing w:after="20"/>
            </w:pPr>
            <w:r/>
            <w:r>
              <w:rPr>
                <w:sz w:val="17"/>
              </w:rPr>
              <w:t>Secondary</w:t>
            </w:r>
          </w:p>
        </w:tc>
        <w:tc>
          <w:tcPr>
            <w:tcW w:type="dxa" w:w="1980"/>
            <w:shd w:val="clear" w:color="auto" w:fill="F2F5F9"/>
          </w:tcPr>
          <w:p>
            <w:pPr>
              <w:spacing w:after="20"/>
            </w:pPr>
            <w:r/>
            <w:r>
              <w:rPr>
                <w:sz w:val="17"/>
              </w:rPr>
              <w:t>Calibration (reliability curve, Brier, calibration slope)</w:t>
            </w:r>
          </w:p>
        </w:tc>
        <w:tc>
          <w:tcPr>
            <w:tcW w:type="dxa" w:w="2142"/>
            <w:shd w:val="clear" w:color="auto" w:fill="F2F5F9"/>
          </w:tcPr>
          <w:p>
            <w:pPr>
              <w:spacing w:after="20"/>
            </w:pPr>
            <w:r/>
            <w:r>
              <w:rPr>
                <w:sz w:val="17"/>
              </w:rPr>
              <w:t>Predicted vs observed rates</w:t>
            </w:r>
          </w:p>
        </w:tc>
        <w:tc>
          <w:tcPr>
            <w:tcW w:type="dxa" w:w="2008"/>
            <w:shd w:val="clear" w:color="auto" w:fill="F2F5F9"/>
          </w:tcPr>
          <w:p>
            <w:pPr>
              <w:spacing w:after="20"/>
            </w:pPr>
            <w:r/>
            <w:r>
              <w:rPr>
                <w:sz w:val="17"/>
              </w:rPr>
              <w:t>Needed for expected-value targeting</w:t>
            </w:r>
          </w:p>
        </w:tc>
        <w:tc>
          <w:tcPr>
            <w:tcW w:type="dxa" w:w="2169"/>
            <w:shd w:val="clear" w:color="auto" w:fill="F2F5F9"/>
          </w:tcPr>
          <w:p>
            <w:pPr>
              <w:spacing w:after="20"/>
            </w:pPr>
            <w:r/>
            <w:r>
              <w:rPr>
                <w:sz w:val="17"/>
              </w:rPr>
              <w:t>Resampling breaks calibration</w:t>
            </w:r>
          </w:p>
        </w:tc>
      </w:tr>
      <w:tr>
        <w:tc>
          <w:tcPr>
            <w:tcW w:type="dxa" w:w="1339"/>
          </w:tcPr>
          <w:p>
            <w:pPr>
              <w:spacing w:after="20"/>
            </w:pPr>
            <w:r/>
            <w:r>
              <w:rPr>
                <w:sz w:val="17"/>
              </w:rPr>
              <w:t>Diagnostic</w:t>
            </w:r>
          </w:p>
        </w:tc>
        <w:tc>
          <w:tcPr>
            <w:tcW w:type="dxa" w:w="1980"/>
          </w:tcPr>
          <w:p>
            <w:pPr>
              <w:spacing w:after="20"/>
            </w:pPr>
            <w:r/>
            <w:r>
              <w:rPr>
                <w:sz w:val="17"/>
              </w:rPr>
              <w:t>ROC-AUC / Gini, KS</w:t>
            </w:r>
          </w:p>
        </w:tc>
        <w:tc>
          <w:tcPr>
            <w:tcW w:type="dxa" w:w="2142"/>
          </w:tcPr>
          <w:p>
            <w:pPr>
              <w:spacing w:after="20"/>
            </w:pPr>
            <w:r/>
            <w:r>
              <w:rPr>
                <w:sz w:val="17"/>
              </w:rPr>
              <w:t>Rank separation</w:t>
            </w:r>
          </w:p>
        </w:tc>
        <w:tc>
          <w:tcPr>
            <w:tcW w:type="dxa" w:w="2008"/>
          </w:tcPr>
          <w:p>
            <w:pPr>
              <w:spacing w:after="20"/>
            </w:pPr>
            <w:r/>
            <w:r>
              <w:rPr>
                <w:sz w:val="17"/>
              </w:rPr>
              <w:t>Familiar to risk teams</w:t>
            </w:r>
          </w:p>
        </w:tc>
        <w:tc>
          <w:tcPr>
            <w:tcW w:type="dxa" w:w="2169"/>
          </w:tcPr>
          <w:p>
            <w:pPr>
              <w:spacing w:after="20"/>
            </w:pPr>
            <w:r/>
            <w:r>
              <w:rPr>
                <w:sz w:val="17"/>
              </w:rPr>
              <w:t>Dominated by the large non-churn mass; do not use as a primary metric</w:t>
            </w:r>
          </w:p>
        </w:tc>
      </w:tr>
      <w:tr>
        <w:tc>
          <w:tcPr>
            <w:tcW w:type="dxa" w:w="1339"/>
            <w:shd w:val="clear" w:color="auto" w:fill="F2F5F9"/>
          </w:tcPr>
          <w:p>
            <w:pPr>
              <w:spacing w:after="20"/>
            </w:pPr>
            <w:r/>
            <w:r>
              <w:rPr>
                <w:sz w:val="17"/>
              </w:rPr>
              <w:t>Diagnostic</w:t>
            </w:r>
          </w:p>
        </w:tc>
        <w:tc>
          <w:tcPr>
            <w:tcW w:type="dxa" w:w="1980"/>
            <w:shd w:val="clear" w:color="auto" w:fill="F2F5F9"/>
          </w:tcPr>
          <w:p>
            <w:pPr>
              <w:spacing w:after="20"/>
            </w:pPr>
            <w:r/>
            <w:r>
              <w:rPr>
                <w:sz w:val="17"/>
              </w:rPr>
              <w:t>PSI / CSI</w:t>
            </w:r>
          </w:p>
        </w:tc>
        <w:tc>
          <w:tcPr>
            <w:tcW w:type="dxa" w:w="2142"/>
            <w:shd w:val="clear" w:color="auto" w:fill="F2F5F9"/>
          </w:tcPr>
          <w:p>
            <w:pPr>
              <w:spacing w:after="20"/>
            </w:pPr>
            <w:r/>
            <w:r>
              <w:rPr>
                <w:sz w:val="17"/>
              </w:rPr>
              <w:t>Distribution shift</w:t>
            </w:r>
          </w:p>
        </w:tc>
        <w:tc>
          <w:tcPr>
            <w:tcW w:type="dxa" w:w="2008"/>
            <w:shd w:val="clear" w:color="auto" w:fill="F2F5F9"/>
          </w:tcPr>
          <w:p>
            <w:pPr>
              <w:spacing w:after="20"/>
            </w:pPr>
            <w:r/>
            <w:r>
              <w:rPr>
                <w:sz w:val="17"/>
              </w:rPr>
              <w:t>Monitoring</w:t>
            </w:r>
          </w:p>
        </w:tc>
        <w:tc>
          <w:tcPr>
            <w:tcW w:type="dxa" w:w="2169"/>
            <w:shd w:val="clear" w:color="auto" w:fill="F2F5F9"/>
          </w:tcPr>
          <w:p>
            <w:pPr>
              <w:spacing w:after="20"/>
            </w:pPr>
            <w:r/>
            <w:r>
              <w:rPr>
                <w:sz w:val="17"/>
              </w:rPr>
              <w:t>Not a performance measure</w:t>
            </w:r>
          </w:p>
        </w:tc>
      </w:tr>
      <w:tr>
        <w:tc>
          <w:tcPr>
            <w:tcW w:type="dxa" w:w="1339"/>
          </w:tcPr>
          <w:p>
            <w:pPr>
              <w:spacing w:after="20"/>
            </w:pPr>
            <w:r/>
            <w:r>
              <w:rPr>
                <w:sz w:val="17"/>
              </w:rPr>
              <w:t>Stability</w:t>
            </w:r>
          </w:p>
        </w:tc>
        <w:tc>
          <w:tcPr>
            <w:tcW w:type="dxa" w:w="1980"/>
          </w:tcPr>
          <w:p>
            <w:pPr>
              <w:spacing w:after="20"/>
            </w:pPr>
            <w:r/>
            <w:r>
              <w:rPr>
                <w:sz w:val="17"/>
              </w:rPr>
              <w:t>Metric by month and segment</w:t>
            </w:r>
          </w:p>
        </w:tc>
        <w:tc>
          <w:tcPr>
            <w:tcW w:type="dxa" w:w="2142"/>
          </w:tcPr>
          <w:p>
            <w:pPr>
              <w:spacing w:after="20"/>
            </w:pPr>
            <w:r/>
            <w:r>
              <w:rPr>
                <w:sz w:val="17"/>
              </w:rPr>
              <w:t>Same metric across folds and segments</w:t>
            </w:r>
          </w:p>
        </w:tc>
        <w:tc>
          <w:tcPr>
            <w:tcW w:type="dxa" w:w="2008"/>
          </w:tcPr>
          <w:p>
            <w:pPr>
              <w:spacing w:after="20"/>
            </w:pPr>
            <w:r/>
            <w:r>
              <w:rPr>
                <w:sz w:val="17"/>
              </w:rPr>
              <w:t>Detect fragile models</w:t>
            </w:r>
          </w:p>
        </w:tc>
        <w:tc>
          <w:tcPr>
            <w:tcW w:type="dxa" w:w="2169"/>
          </w:tcPr>
          <w:p>
            <w:pPr>
              <w:spacing w:after="20"/>
            </w:pPr>
            <w:r/>
            <w:r>
              <w:rPr>
                <w:sz w:val="17"/>
              </w:rPr>
              <w:t>Small segments are noisy</w:t>
            </w:r>
          </w:p>
        </w:tc>
      </w:tr>
      <w:tr>
        <w:tc>
          <w:tcPr>
            <w:tcW w:type="dxa" w:w="1339"/>
            <w:shd w:val="clear" w:color="auto" w:fill="F2F5F9"/>
          </w:tcPr>
          <w:p>
            <w:pPr>
              <w:spacing w:after="20"/>
            </w:pPr>
            <w:r/>
            <w:r>
              <w:rPr>
                <w:sz w:val="17"/>
              </w:rPr>
              <w:t>Business</w:t>
            </w:r>
          </w:p>
        </w:tc>
        <w:tc>
          <w:tcPr>
            <w:tcW w:type="dxa" w:w="1980"/>
            <w:shd w:val="clear" w:color="auto" w:fill="F2F5F9"/>
          </w:tcPr>
          <w:p>
            <w:pPr>
              <w:spacing w:after="20"/>
            </w:pPr>
            <w:r/>
            <w:r>
              <w:rPr>
                <w:sz w:val="17"/>
              </w:rPr>
              <w:t>Incremental retained cards and net margin per ₹ of offer cost</w:t>
            </w:r>
          </w:p>
        </w:tc>
        <w:tc>
          <w:tcPr>
            <w:tcW w:type="dxa" w:w="2142"/>
            <w:shd w:val="clear" w:color="auto" w:fill="F2F5F9"/>
          </w:tcPr>
          <w:p>
            <w:pPr>
              <w:spacing w:after="20"/>
            </w:pPr>
            <w:r/>
            <w:r>
              <w:rPr>
                <w:sz w:val="17"/>
              </w:rPr>
              <w:t>From the randomised experiment</w:t>
            </w:r>
          </w:p>
        </w:tc>
        <w:tc>
          <w:tcPr>
            <w:tcW w:type="dxa" w:w="2008"/>
            <w:shd w:val="clear" w:color="auto" w:fill="F2F5F9"/>
          </w:tcPr>
          <w:p>
            <w:pPr>
              <w:spacing w:after="20"/>
            </w:pPr>
            <w:r/>
            <w:r>
              <w:rPr>
                <w:sz w:val="17"/>
              </w:rPr>
              <w:t>The real objective</w:t>
            </w:r>
          </w:p>
        </w:tc>
        <w:tc>
          <w:tcPr>
            <w:tcW w:type="dxa" w:w="2169"/>
            <w:shd w:val="clear" w:color="auto" w:fill="F2F5F9"/>
          </w:tcPr>
          <w:p>
            <w:pPr>
              <w:spacing w:after="20"/>
            </w:pPr>
            <w:r/>
            <w:r>
              <w:rPr>
                <w:sz w:val="17"/>
              </w:rPr>
              <w:t xml:space="preserve">Needs margin and cost inputs </w:t>
            </w:r>
            <w:r>
              <w:rPr>
                <w:b/>
                <w:color w:val="C0392B"/>
                <w:sz w:val="17"/>
              </w:rPr>
              <w:t>[TBD]</w:t>
            </w:r>
          </w:p>
        </w:tc>
      </w:tr>
    </w:tbl>
    <w:p>
      <w:pPr>
        <w:spacing w:after="40"/>
      </w:pPr>
    </w:p>
    <w:p>
      <w:r>
        <w:rPr>
          <w:b/>
        </w:rPr>
        <w:t>Rejected metrics.</w:t>
      </w:r>
      <w:r>
        <w:rPr/>
        <w:t xml:space="preserve"> Accuracy (a model predicting "no churn" scores ~96%). Using AUC alone as the selection criterion.</w:t>
      </w:r>
    </w:p>
    <w:p>
      <w:r>
        <w:rPr>
          <w:b/>
        </w:rPr>
        <w:t>Decision rule.</w:t>
      </w:r>
      <w:r>
        <w:rPr/>
        <w:t xml:space="preserve"> Take the top K = capacity by risk score (A1). In later waves, rank by expected incremental margin = predicted uplift × margin − offer cost. K is set by call capacity, not by a probability cut-off. Any probability threshold used for tiering is chosen on validation data and frozen before the locked test.</w:t>
      </w:r>
    </w:p>
    <w:p>
      <w:pPr>
        <w:pStyle w:val="Heading2"/>
      </w:pPr>
      <w:r>
        <w:rPr/>
        <w:t>11. Experiment Matrix &amp; Tuning Strategy</w:t>
      </w:r>
    </w:p>
    <w:p>
      <w:pPr>
        <w:pStyle w:val="Heading3"/>
      </w:pPr>
      <w:r>
        <w:rPr/>
        <w:t>Stages</w:t>
      </w:r>
    </w:p>
    <w:tbl>
      <w:tblPr>
        <w:tblStyle w:val="TableGrid"/>
        <w:tblW w:type="auto" w:w="0"/>
        <w:jc w:val="center"/>
        <w:tblLayout w:type="fixed"/>
        <w:tblLook w:firstColumn="1" w:firstRow="1" w:lastColumn="0" w:lastRow="0" w:noHBand="0" w:noVBand="1" w:val="04A0"/>
        <w:tblLayout w:type="fixed"/>
      </w:tblPr>
      <w:tblGrid>
        <w:gridCol w:w="2496"/>
        <w:gridCol w:w="3959"/>
        <w:gridCol w:w="3182"/>
      </w:tblGrid>
      <w:tr>
        <w:trPr>
          <w:tblHeader w:val="true"/>
        </w:trPr>
        <w:tc>
          <w:tcPr>
            <w:tcW w:type="dxa" w:w="2496"/>
            <w:shd w:val="clear" w:color="auto" w:fill="1F3A5F"/>
          </w:tcPr>
          <w:p>
            <w:r/>
            <w:r>
              <w:rPr>
                <w:b/>
                <w:color w:val="FFFFFF"/>
                <w:sz w:val="19"/>
              </w:rPr>
              <w:t>Stage</w:t>
            </w:r>
          </w:p>
        </w:tc>
        <w:tc>
          <w:tcPr>
            <w:tcW w:type="dxa" w:w="3959"/>
            <w:shd w:val="clear" w:color="auto" w:fill="1F3A5F"/>
          </w:tcPr>
          <w:p>
            <w:r/>
            <w:r>
              <w:rPr>
                <w:b/>
                <w:color w:val="FFFFFF"/>
                <w:sz w:val="19"/>
              </w:rPr>
              <w:t>Purpose</w:t>
            </w:r>
          </w:p>
        </w:tc>
        <w:tc>
          <w:tcPr>
            <w:tcW w:type="dxa" w:w="3182"/>
            <w:shd w:val="clear" w:color="auto" w:fill="1F3A5F"/>
          </w:tcPr>
          <w:p>
            <w:r/>
            <w:r>
              <w:rPr>
                <w:b/>
                <w:color w:val="FFFFFF"/>
                <w:sz w:val="19"/>
              </w:rPr>
              <w:t>Exit criterion</w:t>
            </w:r>
          </w:p>
        </w:tc>
      </w:tr>
      <w:tr>
        <w:tc>
          <w:tcPr>
            <w:tcW w:type="dxa" w:w="2496"/>
          </w:tcPr>
          <w:p>
            <w:pPr>
              <w:spacing w:after="20"/>
            </w:pPr>
            <w:r/>
            <w:r>
              <w:rPr>
                <w:sz w:val="19"/>
              </w:rPr>
              <w:t>E0 Data audit and sanity</w:t>
            </w:r>
          </w:p>
        </w:tc>
        <w:tc>
          <w:tcPr>
            <w:tcW w:type="dxa" w:w="3959"/>
          </w:tcPr>
          <w:p>
            <w:pPr>
              <w:spacing w:after="20"/>
            </w:pPr>
            <w:r/>
            <w:r>
              <w:rPr>
                <w:sz w:val="19"/>
              </w:rPr>
              <w:t>Row counts, label maturity, prevalence by month, as-of timestamp audit, keyword scan of features for near-label content</w:t>
            </w:r>
          </w:p>
        </w:tc>
        <w:tc>
          <w:tcPr>
            <w:tcW w:type="dxa" w:w="3182"/>
          </w:tcPr>
          <w:p>
            <w:pPr>
              <w:spacing w:after="20"/>
            </w:pPr>
            <w:r/>
            <w:r>
              <w:rPr>
                <w:sz w:val="19"/>
              </w:rPr>
              <w:t>Data passes checks; label definition signed off; no near-label feature remains</w:t>
            </w:r>
          </w:p>
        </w:tc>
      </w:tr>
      <w:tr>
        <w:tc>
          <w:tcPr>
            <w:tcW w:type="dxa" w:w="2496"/>
            <w:shd w:val="clear" w:color="auto" w:fill="F2F5F9"/>
          </w:tcPr>
          <w:p>
            <w:pPr>
              <w:spacing w:after="20"/>
            </w:pPr>
            <w:r/>
            <w:r>
              <w:rPr>
                <w:sz w:val="19"/>
              </w:rPr>
              <w:t>E1 Baselines</w:t>
            </w:r>
          </w:p>
        </w:tc>
        <w:tc>
          <w:tcPr>
            <w:tcW w:type="dxa" w:w="3959"/>
            <w:shd w:val="clear" w:color="auto" w:fill="F2F5F9"/>
          </w:tcPr>
          <w:p>
            <w:pPr>
              <w:spacing w:after="20"/>
            </w:pPr>
            <w:r/>
            <w:r>
              <w:rPr>
                <w:sz w:val="19"/>
              </w:rPr>
              <w:t>Run B0–B3 on the final split</w:t>
            </w:r>
          </w:p>
        </w:tc>
        <w:tc>
          <w:tcPr>
            <w:tcW w:type="dxa" w:w="3182"/>
            <w:shd w:val="clear" w:color="auto" w:fill="F2F5F9"/>
          </w:tcPr>
          <w:p>
            <w:pPr>
              <w:spacing w:after="20"/>
            </w:pPr>
            <w:r/>
            <w:r>
              <w:rPr>
                <w:sz w:val="19"/>
              </w:rPr>
              <w:t>Bar to beat fixed</w:t>
            </w:r>
          </w:p>
        </w:tc>
      </w:tr>
      <w:tr>
        <w:tc>
          <w:tcPr>
            <w:tcW w:type="dxa" w:w="2496"/>
          </w:tcPr>
          <w:p>
            <w:pPr>
              <w:spacing w:after="20"/>
            </w:pPr>
            <w:r/>
            <w:r>
              <w:rPr>
                <w:sz w:val="19"/>
              </w:rPr>
              <w:t>E2 Candidate models</w:t>
            </w:r>
          </w:p>
        </w:tc>
        <w:tc>
          <w:tcPr>
            <w:tcW w:type="dxa" w:w="3959"/>
          </w:tcPr>
          <w:p>
            <w:pPr>
              <w:spacing w:after="20"/>
            </w:pPr>
            <w:r/>
            <w:r>
              <w:rPr>
                <w:sz w:val="19"/>
              </w:rPr>
              <w:t>GBM and hazard model vs B3</w:t>
            </w:r>
          </w:p>
        </w:tc>
        <w:tc>
          <w:tcPr>
            <w:tcW w:type="dxa" w:w="3182"/>
          </w:tcPr>
          <w:p>
            <w:pPr>
              <w:spacing w:after="20"/>
            </w:pPr>
            <w:r/>
            <w:r>
              <w:rPr>
                <w:sz w:val="19"/>
              </w:rPr>
              <w:t>Gain above noise band or stop</w:t>
            </w:r>
          </w:p>
        </w:tc>
      </w:tr>
      <w:tr>
        <w:tc>
          <w:tcPr>
            <w:tcW w:type="dxa" w:w="2496"/>
            <w:shd w:val="clear" w:color="auto" w:fill="F2F5F9"/>
          </w:tcPr>
          <w:p>
            <w:pPr>
              <w:spacing w:after="20"/>
            </w:pPr>
            <w:r/>
            <w:r>
              <w:rPr>
                <w:sz w:val="19"/>
              </w:rPr>
              <w:t>E3 Feature-group ablations</w:t>
            </w:r>
          </w:p>
        </w:tc>
        <w:tc>
          <w:tcPr>
            <w:tcW w:type="dxa" w:w="3959"/>
            <w:shd w:val="clear" w:color="auto" w:fill="F2F5F9"/>
          </w:tcPr>
          <w:p>
            <w:pPr>
              <w:spacing w:after="20"/>
            </w:pPr>
            <w:r/>
            <w:r>
              <w:rPr>
                <w:sz w:val="19"/>
              </w:rPr>
              <w:t>Which data sources earn their cost</w:t>
            </w:r>
          </w:p>
        </w:tc>
        <w:tc>
          <w:tcPr>
            <w:tcW w:type="dxa" w:w="3182"/>
            <w:shd w:val="clear" w:color="auto" w:fill="F2F5F9"/>
          </w:tcPr>
          <w:p>
            <w:pPr>
              <w:spacing w:after="20"/>
            </w:pPr>
            <w:r/>
            <w:r>
              <w:rPr>
                <w:sz w:val="19"/>
              </w:rPr>
              <w:t>Contribution per group reported</w:t>
            </w:r>
          </w:p>
        </w:tc>
      </w:tr>
      <w:tr>
        <w:tc>
          <w:tcPr>
            <w:tcW w:type="dxa" w:w="2496"/>
          </w:tcPr>
          <w:p>
            <w:pPr>
              <w:spacing w:after="20"/>
            </w:pPr>
            <w:r/>
            <w:r>
              <w:rPr>
                <w:sz w:val="19"/>
              </w:rPr>
              <w:t>E4 Text features</w:t>
            </w:r>
          </w:p>
        </w:tc>
        <w:tc>
          <w:tcPr>
            <w:tcW w:type="dxa" w:w="3959"/>
          </w:tcPr>
          <w:p>
            <w:pPr>
              <w:spacing w:after="20"/>
            </w:pPr>
            <w:r/>
            <w:r>
              <w:rPr>
                <w:sz w:val="19"/>
              </w:rPr>
              <w:t>Complaint and call-note signal</w:t>
            </w:r>
          </w:p>
        </w:tc>
        <w:tc>
          <w:tcPr>
            <w:tcW w:type="dxa" w:w="3182"/>
          </w:tcPr>
          <w:p>
            <w:pPr>
              <w:spacing w:after="20"/>
            </w:pPr>
            <w:r/>
            <w:r>
              <w:rPr>
                <w:sz w:val="19"/>
              </w:rPr>
              <w:t>Include only if gain above noise band and no leakage</w:t>
            </w:r>
          </w:p>
        </w:tc>
      </w:tr>
      <w:tr>
        <w:tc>
          <w:tcPr>
            <w:tcW w:type="dxa" w:w="2496"/>
            <w:shd w:val="clear" w:color="auto" w:fill="F2F5F9"/>
          </w:tcPr>
          <w:p>
            <w:pPr>
              <w:spacing w:after="20"/>
            </w:pPr>
            <w:r/>
            <w:r>
              <w:rPr>
                <w:sz w:val="19"/>
              </w:rPr>
              <w:t>E5 Tuning</w:t>
            </w:r>
          </w:p>
        </w:tc>
        <w:tc>
          <w:tcPr>
            <w:tcW w:type="dxa" w:w="3959"/>
            <w:shd w:val="clear" w:color="auto" w:fill="F2F5F9"/>
          </w:tcPr>
          <w:p>
            <w:pPr>
              <w:spacing w:after="20"/>
            </w:pPr>
            <w:r/>
            <w:r>
              <w:rPr>
                <w:sz w:val="19"/>
              </w:rPr>
              <w:t>Tune only models that beat baseline</w:t>
            </w:r>
          </w:p>
        </w:tc>
        <w:tc>
          <w:tcPr>
            <w:tcW w:type="dxa" w:w="3182"/>
            <w:shd w:val="clear" w:color="auto" w:fill="F2F5F9"/>
          </w:tcPr>
          <w:p>
            <w:pPr>
              <w:spacing w:after="20"/>
            </w:pPr>
            <w:r/>
            <w:r>
              <w:rPr>
                <w:sz w:val="19"/>
              </w:rPr>
              <w:t>Budget exhausted or no gain</w:t>
            </w:r>
          </w:p>
        </w:tc>
      </w:tr>
      <w:tr>
        <w:tc>
          <w:tcPr>
            <w:tcW w:type="dxa" w:w="2496"/>
          </w:tcPr>
          <w:p>
            <w:pPr>
              <w:spacing w:after="20"/>
            </w:pPr>
            <w:r/>
            <w:r>
              <w:rPr>
                <w:sz w:val="19"/>
              </w:rPr>
              <w:t>E6 Calibration</w:t>
            </w:r>
          </w:p>
        </w:tc>
        <w:tc>
          <w:tcPr>
            <w:tcW w:type="dxa" w:w="3959"/>
          </w:tcPr>
          <w:p>
            <w:pPr>
              <w:spacing w:after="20"/>
            </w:pPr>
            <w:r/>
            <w:r>
              <w:rPr>
                <w:sz w:val="19"/>
              </w:rPr>
              <w:t>Isotonic / Platt on a held-out calibration window</w:t>
            </w:r>
          </w:p>
        </w:tc>
        <w:tc>
          <w:tcPr>
            <w:tcW w:type="dxa" w:w="3182"/>
          </w:tcPr>
          <w:p>
            <w:pPr>
              <w:spacing w:after="20"/>
            </w:pPr>
            <w:r/>
            <w:r>
              <w:rPr>
                <w:sz w:val="19"/>
              </w:rPr>
              <w:t>Calibration slope in agreed range</w:t>
            </w:r>
          </w:p>
        </w:tc>
      </w:tr>
      <w:tr>
        <w:tc>
          <w:tcPr>
            <w:tcW w:type="dxa" w:w="2496"/>
            <w:shd w:val="clear" w:color="auto" w:fill="F2F5F9"/>
          </w:tcPr>
          <w:p>
            <w:pPr>
              <w:spacing w:after="20"/>
            </w:pPr>
            <w:r/>
            <w:r>
              <w:rPr>
                <w:sz w:val="19"/>
              </w:rPr>
              <w:t>E7 Robustness, fairness, stability</w:t>
            </w:r>
          </w:p>
        </w:tc>
        <w:tc>
          <w:tcPr>
            <w:tcW w:type="dxa" w:w="3959"/>
            <w:shd w:val="clear" w:color="auto" w:fill="F2F5F9"/>
          </w:tcPr>
          <w:p>
            <w:pPr>
              <w:spacing w:after="20"/>
            </w:pPr>
            <w:r/>
            <w:r>
              <w:rPr>
                <w:sz w:val="19"/>
              </w:rPr>
              <w:t>Segments and time slices; target-shuffle test (performance must collapse to base rate); adversarial validation (train vs latest period)</w:t>
            </w:r>
          </w:p>
        </w:tc>
        <w:tc>
          <w:tcPr>
            <w:tcW w:type="dxa" w:w="3182"/>
            <w:shd w:val="clear" w:color="auto" w:fill="F2F5F9"/>
          </w:tcPr>
          <w:p>
            <w:pPr>
              <w:spacing w:after="20"/>
            </w:pPr>
            <w:r/>
            <w:r>
              <w:rPr>
                <w:sz w:val="19"/>
              </w:rPr>
              <w:t>Acceptance criteria met; shuffle and adversarial checks pass</w:t>
            </w:r>
          </w:p>
        </w:tc>
      </w:tr>
      <w:tr>
        <w:tc>
          <w:tcPr>
            <w:tcW w:type="dxa" w:w="2496"/>
          </w:tcPr>
          <w:p>
            <w:pPr>
              <w:spacing w:after="20"/>
            </w:pPr>
            <w:r/>
            <w:r>
              <w:rPr>
                <w:sz w:val="19"/>
              </w:rPr>
              <w:t>E8 Locked test</w:t>
            </w:r>
          </w:p>
        </w:tc>
        <w:tc>
          <w:tcPr>
            <w:tcW w:type="dxa" w:w="3959"/>
          </w:tcPr>
          <w:p>
            <w:pPr>
              <w:spacing w:after="20"/>
            </w:pPr>
            <w:r/>
            <w:r>
              <w:rPr>
                <w:sz w:val="19"/>
              </w:rPr>
              <w:t>One evaluation of the frozen pipeline</w:t>
            </w:r>
          </w:p>
        </w:tc>
        <w:tc>
          <w:tcPr>
            <w:tcW w:type="dxa" w:w="3182"/>
          </w:tcPr>
          <w:p>
            <w:pPr>
              <w:spacing w:after="20"/>
            </w:pPr>
            <w:r/>
            <w:r>
              <w:rPr>
                <w:sz w:val="19"/>
              </w:rPr>
              <w:t>Report, no further tuning</w:t>
            </w:r>
          </w:p>
        </w:tc>
      </w:tr>
    </w:tbl>
    <w:p>
      <w:pPr>
        <w:spacing w:after="40"/>
      </w:pPr>
    </w:p>
    <w:p>
      <w:pPr>
        <w:pStyle w:val="Heading3"/>
      </w:pPr>
      <w:r>
        <w:rPr/>
        <w:t>Experiment cards</w:t>
      </w:r>
    </w:p>
    <w:tbl>
      <w:tblPr>
        <w:tblStyle w:val="TableGrid"/>
        <w:tblW w:type="auto" w:w="0"/>
        <w:jc w:val="center"/>
        <w:tblLayout w:type="fixed"/>
        <w:tblLook w:firstColumn="1" w:firstRow="1" w:lastColumn="0" w:lastRow="0" w:noHBand="0" w:noVBand="1" w:val="04A0"/>
        <w:tblLayout w:type="fixed"/>
      </w:tblPr>
      <w:tblGrid>
        <w:gridCol w:w="765"/>
        <w:gridCol w:w="1966"/>
        <w:gridCol w:w="1138"/>
        <w:gridCol w:w="1138"/>
        <w:gridCol w:w="1138"/>
        <w:gridCol w:w="1552"/>
        <w:gridCol w:w="1939"/>
      </w:tblGrid>
      <w:tr>
        <w:trPr>
          <w:tblHeader w:val="true"/>
        </w:trPr>
        <w:tc>
          <w:tcPr>
            <w:tcW w:type="dxa" w:w="765"/>
            <w:shd w:val="clear" w:color="auto" w:fill="1F3A5F"/>
          </w:tcPr>
          <w:p>
            <w:r/>
            <w:r>
              <w:rPr>
                <w:b/>
                <w:color w:val="FFFFFF"/>
                <w:sz w:val="15"/>
              </w:rPr>
              <w:t>ID</w:t>
            </w:r>
          </w:p>
        </w:tc>
        <w:tc>
          <w:tcPr>
            <w:tcW w:type="dxa" w:w="1966"/>
            <w:shd w:val="clear" w:color="auto" w:fill="1F3A5F"/>
          </w:tcPr>
          <w:p>
            <w:r/>
            <w:r>
              <w:rPr>
                <w:b/>
                <w:color w:val="FFFFFF"/>
                <w:sz w:val="15"/>
              </w:rPr>
              <w:t>Hypothesis</w:t>
            </w:r>
          </w:p>
        </w:tc>
        <w:tc>
          <w:tcPr>
            <w:tcW w:type="dxa" w:w="1138"/>
            <w:shd w:val="clear" w:color="auto" w:fill="1F3A5F"/>
          </w:tcPr>
          <w:p>
            <w:r/>
            <w:r>
              <w:rPr>
                <w:b/>
                <w:color w:val="FFFFFF"/>
                <w:sz w:val="15"/>
              </w:rPr>
              <w:t>Change</w:t>
            </w:r>
          </w:p>
        </w:tc>
        <w:tc>
          <w:tcPr>
            <w:tcW w:type="dxa" w:w="1138"/>
            <w:shd w:val="clear" w:color="auto" w:fill="1F3A5F"/>
          </w:tcPr>
          <w:p>
            <w:r/>
            <w:r>
              <w:rPr>
                <w:b/>
                <w:color w:val="FFFFFF"/>
                <w:sz w:val="15"/>
              </w:rPr>
              <w:t>Fixed conditions</w:t>
            </w:r>
          </w:p>
        </w:tc>
        <w:tc>
          <w:tcPr>
            <w:tcW w:type="dxa" w:w="1138"/>
            <w:shd w:val="clear" w:color="auto" w:fill="1F3A5F"/>
          </w:tcPr>
          <w:p>
            <w:r/>
            <w:r>
              <w:rPr>
                <w:b/>
                <w:color w:val="FFFFFF"/>
                <w:sz w:val="15"/>
              </w:rPr>
              <w:t>Split</w:t>
            </w:r>
          </w:p>
        </w:tc>
        <w:tc>
          <w:tcPr>
            <w:tcW w:type="dxa" w:w="1552"/>
            <w:shd w:val="clear" w:color="auto" w:fill="1F3A5F"/>
          </w:tcPr>
          <w:p>
            <w:r/>
            <w:r>
              <w:rPr>
                <w:b/>
                <w:color w:val="FFFFFF"/>
                <w:sz w:val="15"/>
              </w:rPr>
              <w:t>Metrics</w:t>
            </w:r>
          </w:p>
        </w:tc>
        <w:tc>
          <w:tcPr>
            <w:tcW w:type="dxa" w:w="1939"/>
            <w:shd w:val="clear" w:color="auto" w:fill="1F3A5F"/>
          </w:tcPr>
          <w:p>
            <w:r/>
            <w:r>
              <w:rPr>
                <w:b/>
                <w:color w:val="FFFFFF"/>
                <w:sz w:val="15"/>
              </w:rPr>
              <w:t>Stopping rule</w:t>
            </w:r>
          </w:p>
        </w:tc>
      </w:tr>
      <w:tr>
        <w:tc>
          <w:tcPr>
            <w:tcW w:type="dxa" w:w="765"/>
          </w:tcPr>
          <w:p>
            <w:pPr>
              <w:spacing w:after="20"/>
            </w:pPr>
            <w:r/>
            <w:r>
              <w:rPr>
                <w:sz w:val="15"/>
              </w:rPr>
              <w:t>X1</w:t>
            </w:r>
          </w:p>
        </w:tc>
        <w:tc>
          <w:tcPr>
            <w:tcW w:type="dxa" w:w="1966"/>
          </w:tcPr>
          <w:p>
            <w:pPr>
              <w:spacing w:after="20"/>
            </w:pPr>
            <w:r/>
            <w:r>
              <w:rPr>
                <w:sz w:val="15"/>
              </w:rPr>
              <w:t>A ranked model beats the current rule</w:t>
            </w:r>
          </w:p>
        </w:tc>
        <w:tc>
          <w:tcPr>
            <w:tcW w:type="dxa" w:w="1138"/>
          </w:tcPr>
          <w:p>
            <w:pPr>
              <w:spacing w:after="20"/>
            </w:pPr>
            <w:r/>
            <w:r>
              <w:rPr>
                <w:sz w:val="15"/>
              </w:rPr>
              <w:t>B1 vs B3</w:t>
            </w:r>
          </w:p>
        </w:tc>
        <w:tc>
          <w:tcPr>
            <w:tcW w:type="dxa" w:w="1138"/>
          </w:tcPr>
          <w:p>
            <w:pPr>
              <w:spacing w:after="20"/>
            </w:pPr>
            <w:r/>
            <w:r>
              <w:rPr>
                <w:sz w:val="15"/>
              </w:rPr>
              <w:t>Same snapshots and K</w:t>
            </w:r>
          </w:p>
        </w:tc>
        <w:tc>
          <w:tcPr>
            <w:tcW w:type="dxa" w:w="1138"/>
          </w:tcPr>
          <w:p>
            <w:pPr>
              <w:spacing w:after="20"/>
            </w:pPr>
            <w:r/>
            <w:r>
              <w:rPr>
                <w:sz w:val="15"/>
              </w:rPr>
              <w:t>Rolling out-of-time folds</w:t>
            </w:r>
          </w:p>
        </w:tc>
        <w:tc>
          <w:tcPr>
            <w:tcW w:type="dxa" w:w="1552"/>
          </w:tcPr>
          <w:p>
            <w:pPr>
              <w:spacing w:after="20"/>
            </w:pPr>
            <w:r/>
            <w:r>
              <w:rPr>
                <w:sz w:val="15"/>
              </w:rPr>
              <w:t>Precision@K, lift</w:t>
            </w:r>
          </w:p>
        </w:tc>
        <w:tc>
          <w:tcPr>
            <w:tcW w:type="dxa" w:w="1939"/>
          </w:tcPr>
          <w:p>
            <w:pPr>
              <w:spacing w:after="20"/>
            </w:pPr>
            <w:r/>
            <w:r>
              <w:rPr>
                <w:sz w:val="15"/>
              </w:rPr>
              <w:t>Run all folds; proceed to X2 only if B3 beats B1 by the minimum meaningful improvement, else revisit features</w:t>
            </w:r>
          </w:p>
        </w:tc>
      </w:tr>
      <w:tr>
        <w:tc>
          <w:tcPr>
            <w:tcW w:type="dxa" w:w="765"/>
            <w:shd w:val="clear" w:color="auto" w:fill="F2F5F9"/>
          </w:tcPr>
          <w:p>
            <w:pPr>
              <w:spacing w:after="20"/>
            </w:pPr>
            <w:r/>
            <w:r>
              <w:rPr>
                <w:sz w:val="15"/>
              </w:rPr>
              <w:t>X2</w:t>
            </w:r>
          </w:p>
        </w:tc>
        <w:tc>
          <w:tcPr>
            <w:tcW w:type="dxa" w:w="1966"/>
            <w:shd w:val="clear" w:color="auto" w:fill="F2F5F9"/>
          </w:tcPr>
          <w:p>
            <w:pPr>
              <w:spacing w:after="20"/>
            </w:pPr>
            <w:r/>
            <w:r>
              <w:rPr>
                <w:sz w:val="15"/>
              </w:rPr>
              <w:t>Boosted trees beat logistic</w:t>
            </w:r>
          </w:p>
        </w:tc>
        <w:tc>
          <w:tcPr>
            <w:tcW w:type="dxa" w:w="1138"/>
            <w:shd w:val="clear" w:color="auto" w:fill="F2F5F9"/>
          </w:tcPr>
          <w:p>
            <w:pPr>
              <w:spacing w:after="20"/>
            </w:pPr>
            <w:r/>
            <w:r>
              <w:rPr>
                <w:sz w:val="15"/>
              </w:rPr>
              <w:t>B3 vs GBM</w:t>
            </w:r>
          </w:p>
        </w:tc>
        <w:tc>
          <w:tcPr>
            <w:tcW w:type="dxa" w:w="1138"/>
            <w:shd w:val="clear" w:color="auto" w:fill="F2F5F9"/>
          </w:tcPr>
          <w:p>
            <w:pPr>
              <w:spacing w:after="20"/>
            </w:pPr>
            <w:r/>
            <w:r>
              <w:rPr>
                <w:sz w:val="15"/>
              </w:rPr>
              <w:t>Same features and folds</w:t>
            </w:r>
          </w:p>
        </w:tc>
        <w:tc>
          <w:tcPr>
            <w:tcW w:type="dxa" w:w="1138"/>
            <w:shd w:val="clear" w:color="auto" w:fill="F2F5F9"/>
          </w:tcPr>
          <w:p>
            <w:pPr>
              <w:spacing w:after="20"/>
            </w:pPr>
            <w:r/>
            <w:r>
              <w:rPr>
                <w:sz w:val="15"/>
              </w:rPr>
              <w:t>Same</w:t>
            </w:r>
          </w:p>
        </w:tc>
        <w:tc>
          <w:tcPr>
            <w:tcW w:type="dxa" w:w="1552"/>
            <w:shd w:val="clear" w:color="auto" w:fill="F2F5F9"/>
          </w:tcPr>
          <w:p>
            <w:pPr>
              <w:spacing w:after="20"/>
            </w:pPr>
            <w:r/>
            <w:r>
              <w:rPr>
                <w:sz w:val="15"/>
              </w:rPr>
              <w:t>Precision@K, PR-AUC</w:t>
            </w:r>
          </w:p>
        </w:tc>
        <w:tc>
          <w:tcPr>
            <w:tcW w:type="dxa" w:w="1939"/>
            <w:shd w:val="clear" w:color="auto" w:fill="F2F5F9"/>
          </w:tcPr>
          <w:p>
            <w:pPr>
              <w:spacing w:after="20"/>
            </w:pPr>
            <w:r/>
            <w:r>
              <w:rPr>
                <w:sz w:val="15"/>
              </w:rPr>
              <w:t>Stop if difference is within noise</w:t>
            </w:r>
          </w:p>
        </w:tc>
      </w:tr>
      <w:tr>
        <w:tc>
          <w:tcPr>
            <w:tcW w:type="dxa" w:w="765"/>
          </w:tcPr>
          <w:p>
            <w:pPr>
              <w:spacing w:after="20"/>
            </w:pPr>
            <w:r/>
            <w:r>
              <w:rPr>
                <w:sz w:val="15"/>
              </w:rPr>
              <w:t>X3</w:t>
            </w:r>
          </w:p>
        </w:tc>
        <w:tc>
          <w:tcPr>
            <w:tcW w:type="dxa" w:w="1966"/>
          </w:tcPr>
          <w:p>
            <w:pPr>
              <w:spacing w:after="20"/>
            </w:pPr>
            <w:r/>
            <w:r>
              <w:rPr>
                <w:sz w:val="15"/>
              </w:rPr>
              <w:t>Class weights or negative down-sampling help</w:t>
            </w:r>
          </w:p>
        </w:tc>
        <w:tc>
          <w:tcPr>
            <w:tcW w:type="dxa" w:w="1138"/>
          </w:tcPr>
          <w:p>
            <w:pPr>
              <w:spacing w:after="20"/>
            </w:pPr>
            <w:r/>
            <w:r>
              <w:rPr>
                <w:sz w:val="15"/>
              </w:rPr>
              <w:t>Weights vs none</w:t>
            </w:r>
          </w:p>
        </w:tc>
        <w:tc>
          <w:tcPr>
            <w:tcW w:type="dxa" w:w="1138"/>
          </w:tcPr>
          <w:p>
            <w:pPr>
              <w:spacing w:after="20"/>
            </w:pPr>
            <w:r/>
            <w:r>
              <w:rPr>
                <w:sz w:val="15"/>
              </w:rPr>
              <w:t>Best model of X2</w:t>
            </w:r>
          </w:p>
        </w:tc>
        <w:tc>
          <w:tcPr>
            <w:tcW w:type="dxa" w:w="1138"/>
          </w:tcPr>
          <w:p>
            <w:pPr>
              <w:spacing w:after="20"/>
            </w:pPr>
            <w:r/>
            <w:r>
              <w:rPr>
                <w:sz w:val="15"/>
              </w:rPr>
              <w:t>Same</w:t>
            </w:r>
          </w:p>
        </w:tc>
        <w:tc>
          <w:tcPr>
            <w:tcW w:type="dxa" w:w="1552"/>
          </w:tcPr>
          <w:p>
            <w:pPr>
              <w:spacing w:after="20"/>
            </w:pPr>
            <w:r/>
            <w:r>
              <w:rPr>
                <w:sz w:val="15"/>
              </w:rPr>
              <w:t>Precision@K, calibration</w:t>
            </w:r>
          </w:p>
        </w:tc>
        <w:tc>
          <w:tcPr>
            <w:tcW w:type="dxa" w:w="1939"/>
          </w:tcPr>
          <w:p>
            <w:pPr>
              <w:spacing w:after="20"/>
            </w:pPr>
            <w:r/>
            <w:r>
              <w:rPr>
                <w:sz w:val="15"/>
              </w:rPr>
              <w:t>Reject if the precision@K interval includes zero or the calibration slope leaves the agreed band</w:t>
            </w:r>
          </w:p>
        </w:tc>
      </w:tr>
      <w:tr>
        <w:tc>
          <w:tcPr>
            <w:tcW w:type="dxa" w:w="765"/>
            <w:shd w:val="clear" w:color="auto" w:fill="F2F5F9"/>
          </w:tcPr>
          <w:p>
            <w:pPr>
              <w:spacing w:after="20"/>
            </w:pPr>
            <w:r/>
            <w:r>
              <w:rPr>
                <w:sz w:val="15"/>
              </w:rPr>
              <w:t>X4</w:t>
            </w:r>
          </w:p>
        </w:tc>
        <w:tc>
          <w:tcPr>
            <w:tcW w:type="dxa" w:w="1966"/>
            <w:shd w:val="clear" w:color="auto" w:fill="F2F5F9"/>
          </w:tcPr>
          <w:p>
            <w:pPr>
              <w:spacing w:after="20"/>
            </w:pPr>
            <w:r/>
            <w:r>
              <w:rPr>
                <w:sz w:val="15"/>
              </w:rPr>
              <w:t>Service-interaction features add signal</w:t>
            </w:r>
          </w:p>
        </w:tc>
        <w:tc>
          <w:tcPr>
            <w:tcW w:type="dxa" w:w="1138"/>
            <w:shd w:val="clear" w:color="auto" w:fill="F2F5F9"/>
          </w:tcPr>
          <w:p>
            <w:pPr>
              <w:spacing w:after="20"/>
            </w:pPr>
            <w:r/>
            <w:r>
              <w:rPr>
                <w:sz w:val="15"/>
              </w:rPr>
              <w:t>Ablate complaints / call data</w:t>
            </w:r>
          </w:p>
        </w:tc>
        <w:tc>
          <w:tcPr>
            <w:tcW w:type="dxa" w:w="1138"/>
            <w:shd w:val="clear" w:color="auto" w:fill="F2F5F9"/>
          </w:tcPr>
          <w:p>
            <w:pPr>
              <w:spacing w:after="20"/>
            </w:pPr>
            <w:r/>
            <w:r>
              <w:rPr>
                <w:sz w:val="15"/>
              </w:rPr>
              <w:t>Best model</w:t>
            </w:r>
          </w:p>
        </w:tc>
        <w:tc>
          <w:tcPr>
            <w:tcW w:type="dxa" w:w="1138"/>
            <w:shd w:val="clear" w:color="auto" w:fill="F2F5F9"/>
          </w:tcPr>
          <w:p>
            <w:pPr>
              <w:spacing w:after="20"/>
            </w:pPr>
            <w:r/>
            <w:r>
              <w:rPr>
                <w:sz w:val="15"/>
              </w:rPr>
              <w:t>Same</w:t>
            </w:r>
          </w:p>
        </w:tc>
        <w:tc>
          <w:tcPr>
            <w:tcW w:type="dxa" w:w="1552"/>
            <w:shd w:val="clear" w:color="auto" w:fill="F2F5F9"/>
          </w:tcPr>
          <w:p>
            <w:pPr>
              <w:spacing w:after="20"/>
            </w:pPr>
            <w:r/>
            <w:r>
              <w:rPr>
                <w:sz w:val="15"/>
              </w:rPr>
              <w:t>Precision@K</w:t>
            </w:r>
          </w:p>
        </w:tc>
        <w:tc>
          <w:tcPr>
            <w:tcW w:type="dxa" w:w="1939"/>
            <w:shd w:val="clear" w:color="auto" w:fill="F2F5F9"/>
          </w:tcPr>
          <w:p>
            <w:pPr>
              <w:spacing w:after="20"/>
            </w:pPr>
            <w:r/>
            <w:r>
              <w:rPr>
                <w:sz w:val="15"/>
              </w:rPr>
              <w:t>Keep if gain exceeds noise band</w:t>
            </w:r>
          </w:p>
        </w:tc>
      </w:tr>
      <w:tr>
        <w:tc>
          <w:tcPr>
            <w:tcW w:type="dxa" w:w="765"/>
          </w:tcPr>
          <w:p>
            <w:pPr>
              <w:spacing w:after="20"/>
            </w:pPr>
            <w:r/>
            <w:r>
              <w:rPr>
                <w:sz w:val="15"/>
              </w:rPr>
              <w:t>X5</w:t>
            </w:r>
          </w:p>
        </w:tc>
        <w:tc>
          <w:tcPr>
            <w:tcW w:type="dxa" w:w="1966"/>
          </w:tcPr>
          <w:p>
            <w:pPr>
              <w:spacing w:after="20"/>
            </w:pPr>
            <w:r/>
            <w:r>
              <w:rPr>
                <w:sz w:val="15"/>
              </w:rPr>
              <w:t>Fee-event and rewards features add signal</w:t>
            </w:r>
          </w:p>
        </w:tc>
        <w:tc>
          <w:tcPr>
            <w:tcW w:type="dxa" w:w="1138"/>
          </w:tcPr>
          <w:p>
            <w:pPr>
              <w:spacing w:after="20"/>
            </w:pPr>
            <w:r/>
            <w:r>
              <w:rPr>
                <w:sz w:val="15"/>
              </w:rPr>
              <w:t>Ablate groups</w:t>
            </w:r>
          </w:p>
        </w:tc>
        <w:tc>
          <w:tcPr>
            <w:tcW w:type="dxa" w:w="1138"/>
          </w:tcPr>
          <w:p>
            <w:pPr>
              <w:spacing w:after="20"/>
            </w:pPr>
            <w:r/>
            <w:r>
              <w:rPr>
                <w:sz w:val="15"/>
              </w:rPr>
              <w:t>Best model</w:t>
            </w:r>
          </w:p>
        </w:tc>
        <w:tc>
          <w:tcPr>
            <w:tcW w:type="dxa" w:w="1138"/>
          </w:tcPr>
          <w:p>
            <w:pPr>
              <w:spacing w:after="20"/>
            </w:pPr>
            <w:r/>
            <w:r>
              <w:rPr>
                <w:sz w:val="15"/>
              </w:rPr>
              <w:t>Same</w:t>
            </w:r>
          </w:p>
        </w:tc>
        <w:tc>
          <w:tcPr>
            <w:tcW w:type="dxa" w:w="1552"/>
          </w:tcPr>
          <w:p>
            <w:pPr>
              <w:spacing w:after="20"/>
            </w:pPr>
            <w:r/>
            <w:r>
              <w:rPr>
                <w:sz w:val="15"/>
              </w:rPr>
              <w:t>Precision@K</w:t>
            </w:r>
          </w:p>
        </w:tc>
        <w:tc>
          <w:tcPr>
            <w:tcW w:type="dxa" w:w="1939"/>
          </w:tcPr>
          <w:p>
            <w:pPr>
              <w:spacing w:after="20"/>
            </w:pPr>
            <w:r/>
            <w:r>
              <w:rPr>
                <w:sz w:val="15"/>
              </w:rPr>
              <w:t>Same</w:t>
            </w:r>
          </w:p>
        </w:tc>
      </w:tr>
      <w:tr>
        <w:tc>
          <w:tcPr>
            <w:tcW w:type="dxa" w:w="765"/>
            <w:shd w:val="clear" w:color="auto" w:fill="F2F5F9"/>
          </w:tcPr>
          <w:p>
            <w:pPr>
              <w:spacing w:after="20"/>
            </w:pPr>
            <w:r/>
            <w:r>
              <w:rPr>
                <w:sz w:val="15"/>
              </w:rPr>
              <w:t>X6</w:t>
            </w:r>
          </w:p>
        </w:tc>
        <w:tc>
          <w:tcPr>
            <w:tcW w:type="dxa" w:w="1966"/>
            <w:shd w:val="clear" w:color="auto" w:fill="F2F5F9"/>
          </w:tcPr>
          <w:p>
            <w:pPr>
              <w:spacing w:after="20"/>
            </w:pPr>
            <w:r/>
            <w:r>
              <w:rPr>
                <w:sz w:val="15"/>
              </w:rPr>
              <w:t>Retention-history features inflate performance</w:t>
            </w:r>
          </w:p>
        </w:tc>
        <w:tc>
          <w:tcPr>
            <w:tcW w:type="dxa" w:w="1138"/>
            <w:shd w:val="clear" w:color="auto" w:fill="F2F5F9"/>
          </w:tcPr>
          <w:p>
            <w:pPr>
              <w:spacing w:after="20"/>
            </w:pPr>
            <w:r/>
            <w:r>
              <w:rPr>
                <w:sz w:val="15"/>
              </w:rPr>
              <w:t>With vs without</w:t>
            </w:r>
          </w:p>
        </w:tc>
        <w:tc>
          <w:tcPr>
            <w:tcW w:type="dxa" w:w="1138"/>
            <w:shd w:val="clear" w:color="auto" w:fill="F2F5F9"/>
          </w:tcPr>
          <w:p>
            <w:pPr>
              <w:spacing w:after="20"/>
            </w:pPr>
            <w:r/>
            <w:r>
              <w:rPr>
                <w:sz w:val="15"/>
              </w:rPr>
              <w:t>Best model</w:t>
            </w:r>
          </w:p>
        </w:tc>
        <w:tc>
          <w:tcPr>
            <w:tcW w:type="dxa" w:w="1138"/>
            <w:shd w:val="clear" w:color="auto" w:fill="F2F5F9"/>
          </w:tcPr>
          <w:p>
            <w:pPr>
              <w:spacing w:after="20"/>
            </w:pPr>
            <w:r/>
            <w:r>
              <w:rPr>
                <w:sz w:val="15"/>
              </w:rPr>
              <w:t>Same</w:t>
            </w:r>
          </w:p>
        </w:tc>
        <w:tc>
          <w:tcPr>
            <w:tcW w:type="dxa" w:w="1552"/>
            <w:shd w:val="clear" w:color="auto" w:fill="F2F5F9"/>
          </w:tcPr>
          <w:p>
            <w:pPr>
              <w:spacing w:after="20"/>
            </w:pPr>
            <w:r/>
            <w:r>
              <w:rPr>
                <w:sz w:val="15"/>
              </w:rPr>
              <w:t>Precision@K; behaviour on never-contacted customers</w:t>
            </w:r>
          </w:p>
        </w:tc>
        <w:tc>
          <w:tcPr>
            <w:tcW w:type="dxa" w:w="1939"/>
            <w:shd w:val="clear" w:color="auto" w:fill="F2F5F9"/>
          </w:tcPr>
          <w:p>
            <w:pPr>
              <w:spacing w:after="20"/>
            </w:pPr>
            <w:r/>
            <w:r>
              <w:rPr>
                <w:sz w:val="15"/>
              </w:rPr>
              <w:t>Drop if gain comes from contact status only</w:t>
            </w:r>
          </w:p>
        </w:tc>
      </w:tr>
      <w:tr>
        <w:tc>
          <w:tcPr>
            <w:tcW w:type="dxa" w:w="765"/>
          </w:tcPr>
          <w:p>
            <w:pPr>
              <w:spacing w:after="20"/>
            </w:pPr>
            <w:r/>
            <w:r>
              <w:rPr>
                <w:sz w:val="15"/>
              </w:rPr>
              <w:t>X7</w:t>
            </w:r>
          </w:p>
        </w:tc>
        <w:tc>
          <w:tcPr>
            <w:tcW w:type="dxa" w:w="1966"/>
          </w:tcPr>
          <w:p>
            <w:pPr>
              <w:spacing w:after="20"/>
            </w:pPr>
            <w:r/>
            <w:r>
              <w:rPr>
                <w:sz w:val="15"/>
              </w:rPr>
              <w:t>Survival formulation improves recent-snapshot use</w:t>
            </w:r>
          </w:p>
        </w:tc>
        <w:tc>
          <w:tcPr>
            <w:tcW w:type="dxa" w:w="1138"/>
          </w:tcPr>
          <w:p>
            <w:pPr>
              <w:spacing w:after="20"/>
            </w:pPr>
            <w:r/>
            <w:r>
              <w:rPr>
                <w:sz w:val="15"/>
              </w:rPr>
              <w:t>Hazard vs binary</w:t>
            </w:r>
          </w:p>
        </w:tc>
        <w:tc>
          <w:tcPr>
            <w:tcW w:type="dxa" w:w="1138"/>
          </w:tcPr>
          <w:p>
            <w:pPr>
              <w:spacing w:after="20"/>
            </w:pPr>
            <w:r/>
            <w:r>
              <w:rPr>
                <w:sz w:val="15"/>
              </w:rPr>
              <w:t>Same features</w:t>
            </w:r>
          </w:p>
        </w:tc>
        <w:tc>
          <w:tcPr>
            <w:tcW w:type="dxa" w:w="1138"/>
          </w:tcPr>
          <w:p>
            <w:pPr>
              <w:spacing w:after="20"/>
            </w:pPr>
            <w:r/>
            <w:r>
              <w:rPr>
                <w:sz w:val="15"/>
              </w:rPr>
              <w:t>Same</w:t>
            </w:r>
          </w:p>
        </w:tc>
        <w:tc>
          <w:tcPr>
            <w:tcW w:type="dxa" w:w="1552"/>
          </w:tcPr>
          <w:p>
            <w:pPr>
              <w:spacing w:after="20"/>
            </w:pPr>
            <w:r/>
            <w:r>
              <w:rPr>
                <w:sz w:val="15"/>
              </w:rPr>
              <w:t>Precision@K</w:t>
            </w:r>
          </w:p>
        </w:tc>
        <w:tc>
          <w:tcPr>
            <w:tcW w:type="dxa" w:w="1939"/>
          </w:tcPr>
          <w:p>
            <w:pPr>
              <w:spacing w:after="20"/>
            </w:pPr>
            <w:r/>
            <w:r>
              <w:rPr>
                <w:sz w:val="15"/>
              </w:rPr>
              <w:t>Keep only if better</w:t>
            </w:r>
          </w:p>
        </w:tc>
      </w:tr>
      <w:tr>
        <w:tc>
          <w:tcPr>
            <w:tcW w:type="dxa" w:w="765"/>
            <w:shd w:val="clear" w:color="auto" w:fill="F2F5F9"/>
          </w:tcPr>
          <w:p>
            <w:pPr>
              <w:spacing w:after="20"/>
            </w:pPr>
            <w:r/>
            <w:r>
              <w:rPr>
                <w:sz w:val="15"/>
              </w:rPr>
              <w:t>X8</w:t>
            </w:r>
          </w:p>
        </w:tc>
        <w:tc>
          <w:tcPr>
            <w:tcW w:type="dxa" w:w="1966"/>
            <w:shd w:val="clear" w:color="auto" w:fill="F2F5F9"/>
          </w:tcPr>
          <w:p>
            <w:pPr>
              <w:spacing w:after="20"/>
            </w:pPr>
            <w:r/>
            <w:r>
              <w:rPr>
                <w:sz w:val="15"/>
              </w:rPr>
              <w:t>Calibration is stable</w:t>
            </w:r>
          </w:p>
        </w:tc>
        <w:tc>
          <w:tcPr>
            <w:tcW w:type="dxa" w:w="1138"/>
            <w:shd w:val="clear" w:color="auto" w:fill="F2F5F9"/>
          </w:tcPr>
          <w:p>
            <w:pPr>
              <w:spacing w:after="20"/>
            </w:pPr>
            <w:r/>
            <w:r>
              <w:rPr>
                <w:sz w:val="15"/>
              </w:rPr>
              <w:t>Isotonic vs Platt</w:t>
            </w:r>
          </w:p>
        </w:tc>
        <w:tc>
          <w:tcPr>
            <w:tcW w:type="dxa" w:w="1138"/>
            <w:shd w:val="clear" w:color="auto" w:fill="F2F5F9"/>
          </w:tcPr>
          <w:p>
            <w:pPr>
              <w:spacing w:after="20"/>
            </w:pPr>
            <w:r/>
            <w:r>
              <w:rPr>
                <w:sz w:val="15"/>
              </w:rPr>
              <w:t>Frozen model</w:t>
            </w:r>
          </w:p>
        </w:tc>
        <w:tc>
          <w:tcPr>
            <w:tcW w:type="dxa" w:w="1138"/>
            <w:shd w:val="clear" w:color="auto" w:fill="F2F5F9"/>
          </w:tcPr>
          <w:p>
            <w:pPr>
              <w:spacing w:after="20"/>
            </w:pPr>
            <w:r/>
            <w:r>
              <w:rPr>
                <w:sz w:val="15"/>
              </w:rPr>
              <w:t>Calibration window</w:t>
            </w:r>
          </w:p>
        </w:tc>
        <w:tc>
          <w:tcPr>
            <w:tcW w:type="dxa" w:w="1552"/>
            <w:shd w:val="clear" w:color="auto" w:fill="F2F5F9"/>
          </w:tcPr>
          <w:p>
            <w:pPr>
              <w:spacing w:after="20"/>
            </w:pPr>
            <w:r/>
            <w:r>
              <w:rPr>
                <w:sz w:val="15"/>
              </w:rPr>
              <w:t>Slope, Brier</w:t>
            </w:r>
          </w:p>
        </w:tc>
        <w:tc>
          <w:tcPr>
            <w:tcW w:type="dxa" w:w="1939"/>
            <w:shd w:val="clear" w:color="auto" w:fill="F2F5F9"/>
          </w:tcPr>
          <w:p>
            <w:pPr>
              <w:spacing w:after="20"/>
            </w:pPr>
            <w:r/>
            <w:r>
              <w:rPr>
                <w:sz w:val="15"/>
              </w:rPr>
              <w:t>Choose the more stable</w:t>
            </w:r>
          </w:p>
        </w:tc>
      </w:tr>
      <w:tr>
        <w:tc>
          <w:tcPr>
            <w:tcW w:type="dxa" w:w="765"/>
          </w:tcPr>
          <w:p>
            <w:pPr>
              <w:spacing w:after="20"/>
            </w:pPr>
            <w:r/>
            <w:r>
              <w:rPr>
                <w:sz w:val="15"/>
              </w:rPr>
              <w:t>X9</w:t>
            </w:r>
          </w:p>
        </w:tc>
        <w:tc>
          <w:tcPr>
            <w:tcW w:type="dxa" w:w="1966"/>
          </w:tcPr>
          <w:p>
            <w:pPr>
              <w:spacing w:after="20"/>
            </w:pPr>
            <w:r/>
            <w:r>
              <w:rPr>
                <w:sz w:val="15"/>
              </w:rPr>
              <w:t>Value-weighted ranking changes the list</w:t>
            </w:r>
          </w:p>
        </w:tc>
        <w:tc>
          <w:tcPr>
            <w:tcW w:type="dxa" w:w="1138"/>
          </w:tcPr>
          <w:p>
            <w:pPr>
              <w:spacing w:after="20"/>
            </w:pPr>
            <w:r/>
            <w:r>
              <w:rPr>
                <w:sz w:val="15"/>
              </w:rPr>
              <w:t>Risk vs risk × margin</w:t>
            </w:r>
          </w:p>
        </w:tc>
        <w:tc>
          <w:tcPr>
            <w:tcW w:type="dxa" w:w="1138"/>
          </w:tcPr>
          <w:p>
            <w:pPr>
              <w:spacing w:after="20"/>
            </w:pPr>
            <w:r/>
            <w:r>
              <w:rPr>
                <w:sz w:val="15"/>
              </w:rPr>
              <w:t>Frozen model</w:t>
            </w:r>
          </w:p>
        </w:tc>
        <w:tc>
          <w:tcPr>
            <w:tcW w:type="dxa" w:w="1138"/>
          </w:tcPr>
          <w:p>
            <w:pPr>
              <w:spacing w:after="20"/>
            </w:pPr>
            <w:r/>
            <w:r>
              <w:rPr>
                <w:sz w:val="15"/>
              </w:rPr>
              <w:t>Same</w:t>
            </w:r>
          </w:p>
        </w:tc>
        <w:tc>
          <w:tcPr>
            <w:tcW w:type="dxa" w:w="1552"/>
          </w:tcPr>
          <w:p>
            <w:pPr>
              <w:spacing w:after="20"/>
            </w:pPr>
            <w:r/>
            <w:r>
              <w:rPr>
                <w:sz w:val="15"/>
              </w:rPr>
              <w:t>Margin captured at K</w:t>
            </w:r>
          </w:p>
        </w:tc>
        <w:tc>
          <w:tcPr>
            <w:tcW w:type="dxa" w:w="1939"/>
          </w:tcPr>
          <w:p>
            <w:pPr>
              <w:spacing w:after="20"/>
            </w:pPr>
            <w:r/>
            <w:r>
              <w:rPr>
                <w:sz w:val="15"/>
              </w:rPr>
              <w:t>Report; adopt only with client agreement</w:t>
            </w:r>
          </w:p>
        </w:tc>
      </w:tr>
      <w:tr>
        <w:tc>
          <w:tcPr>
            <w:tcW w:type="dxa" w:w="765"/>
            <w:shd w:val="clear" w:color="auto" w:fill="F2F5F9"/>
          </w:tcPr>
          <w:p>
            <w:pPr>
              <w:spacing w:after="20"/>
            </w:pPr>
            <w:r/>
            <w:r>
              <w:rPr>
                <w:sz w:val="15"/>
              </w:rPr>
              <w:t>X11</w:t>
            </w:r>
          </w:p>
        </w:tc>
        <w:tc>
          <w:tcPr>
            <w:tcW w:type="dxa" w:w="1966"/>
            <w:shd w:val="clear" w:color="auto" w:fill="F2F5F9"/>
          </w:tcPr>
          <w:p>
            <w:pPr>
              <w:spacing w:after="20"/>
            </w:pPr>
            <w:r/>
            <w:r>
              <w:rPr>
                <w:sz w:val="15"/>
              </w:rPr>
              <w:t>Offers reduce 90-day closure vs no call (A3)</w:t>
            </w:r>
          </w:p>
        </w:tc>
        <w:tc>
          <w:tcPr>
            <w:tcW w:type="dxa" w:w="1138"/>
            <w:shd w:val="clear" w:color="auto" w:fill="F2F5F9"/>
          </w:tcPr>
          <w:p>
            <w:pPr>
              <w:spacing w:after="20"/>
            </w:pPr>
            <w:r/>
            <w:r>
              <w:rPr>
                <w:sz w:val="15"/>
              </w:rPr>
              <w:t>Randomised arms (§14)</w:t>
            </w:r>
          </w:p>
        </w:tc>
        <w:tc>
          <w:tcPr>
            <w:tcW w:type="dxa" w:w="1138"/>
            <w:shd w:val="clear" w:color="auto" w:fill="F2F5F9"/>
          </w:tcPr>
          <w:p>
            <w:pPr>
              <w:spacing w:after="20"/>
            </w:pPr>
            <w:r/>
            <w:r>
              <w:rPr>
                <w:sz w:val="15"/>
              </w:rPr>
              <w:t>Same pool rules, scripts and suppression</w:t>
            </w:r>
          </w:p>
        </w:tc>
        <w:tc>
          <w:tcPr>
            <w:tcW w:type="dxa" w:w="1138"/>
            <w:shd w:val="clear" w:color="auto" w:fill="F2F5F9"/>
          </w:tcPr>
          <w:p>
            <w:pPr>
              <w:spacing w:after="20"/>
            </w:pPr>
            <w:r/>
            <w:r>
              <w:rPr>
                <w:sz w:val="15"/>
              </w:rPr>
              <w:t>Randomised waves</w:t>
            </w:r>
          </w:p>
        </w:tc>
        <w:tc>
          <w:tcPr>
            <w:tcW w:type="dxa" w:w="1552"/>
            <w:shd w:val="clear" w:color="auto" w:fill="F2F5F9"/>
          </w:tcPr>
          <w:p>
            <w:pPr>
              <w:spacing w:after="20"/>
            </w:pPr>
            <w:r/>
            <w:r>
              <w:rPr>
                <w:sz w:val="15"/>
              </w:rPr>
              <w:t>Closure-rate difference with 95% CI; net value</w:t>
            </w:r>
          </w:p>
        </w:tc>
        <w:tc>
          <w:tcPr>
            <w:tcW w:type="dxa" w:w="1939"/>
            <w:shd w:val="clear" w:color="auto" w:fill="F2F5F9"/>
          </w:tcPr>
          <w:p>
            <w:pPr>
              <w:spacing w:after="20"/>
            </w:pPr>
            <w:r/>
            <w:r>
              <w:rPr>
                <w:sz w:val="15"/>
              </w:rPr>
              <w:t>Stop only at the pre-registered interim look (§14)</w:t>
            </w:r>
          </w:p>
        </w:tc>
      </w:tr>
      <w:tr>
        <w:tc>
          <w:tcPr>
            <w:tcW w:type="dxa" w:w="765"/>
          </w:tcPr>
          <w:p>
            <w:pPr>
              <w:spacing w:after="20"/>
            </w:pPr>
            <w:r/>
            <w:r>
              <w:rPr>
                <w:sz w:val="15"/>
              </w:rPr>
              <w:t>X12</w:t>
            </w:r>
          </w:p>
        </w:tc>
        <w:tc>
          <w:tcPr>
            <w:tcW w:type="dxa" w:w="1966"/>
          </w:tcPr>
          <w:p>
            <w:pPr>
              <w:spacing w:after="20"/>
            </w:pPr>
            <w:r/>
            <w:r>
              <w:rPr>
                <w:sz w:val="15"/>
              </w:rPr>
              <w:t>Uplift ranking beats risk ranking (A4)</w:t>
            </w:r>
          </w:p>
        </w:tc>
        <w:tc>
          <w:tcPr>
            <w:tcW w:type="dxa" w:w="1138"/>
          </w:tcPr>
          <w:p>
            <w:pPr>
              <w:spacing w:after="20"/>
            </w:pPr>
            <w:r/>
            <w:r>
              <w:rPr>
                <w:sz w:val="15"/>
              </w:rPr>
              <w:t>Uplift model vs risk score</w:t>
            </w:r>
          </w:p>
        </w:tc>
        <w:tc>
          <w:tcPr>
            <w:tcW w:type="dxa" w:w="1138"/>
          </w:tcPr>
          <w:p>
            <w:pPr>
              <w:spacing w:after="20"/>
            </w:pPr>
            <w:r/>
            <w:r>
              <w:rPr>
                <w:sz w:val="15"/>
              </w:rPr>
              <w:t>Held-out randomised wave</w:t>
            </w:r>
          </w:p>
        </w:tc>
        <w:tc>
          <w:tcPr>
            <w:tcW w:type="dxa" w:w="1138"/>
          </w:tcPr>
          <w:p>
            <w:pPr>
              <w:spacing w:after="20"/>
            </w:pPr>
            <w:r/>
            <w:r>
              <w:rPr>
                <w:sz w:val="15"/>
              </w:rPr>
              <w:t>Held-out wave</w:t>
            </w:r>
          </w:p>
        </w:tc>
        <w:tc>
          <w:tcPr>
            <w:tcW w:type="dxa" w:w="1552"/>
          </w:tcPr>
          <w:p>
            <w:pPr>
              <w:spacing w:after="20"/>
            </w:pPr>
            <w:r/>
            <w:r>
              <w:rPr>
                <w:sz w:val="15"/>
              </w:rPr>
              <w:t>Qini, incremental retained margin at K</w:t>
            </w:r>
          </w:p>
        </w:tc>
        <w:tc>
          <w:tcPr>
            <w:tcW w:type="dxa" w:w="1939"/>
          </w:tcPr>
          <w:p>
            <w:pPr>
              <w:spacing w:after="20"/>
            </w:pPr>
            <w:r/>
            <w:r>
              <w:rPr>
                <w:sz w:val="15"/>
              </w:rPr>
              <w:t>Adopt if the interval for the gain excludes zero and exceeds the minimum meaningful improvement</w:t>
            </w:r>
          </w:p>
        </w:tc>
      </w:tr>
      <w:tr>
        <w:tc>
          <w:tcPr>
            <w:tcW w:type="dxa" w:w="765"/>
            <w:shd w:val="clear" w:color="auto" w:fill="F2F5F9"/>
          </w:tcPr>
          <w:p>
            <w:pPr>
              <w:spacing w:after="20"/>
            </w:pPr>
            <w:r/>
            <w:r>
              <w:rPr>
                <w:sz w:val="15"/>
              </w:rPr>
              <w:t>X10</w:t>
            </w:r>
          </w:p>
        </w:tc>
        <w:tc>
          <w:tcPr>
            <w:tcW w:type="dxa" w:w="1966"/>
            <w:shd w:val="clear" w:color="auto" w:fill="F2F5F9"/>
          </w:tcPr>
          <w:p>
            <w:pPr>
              <w:spacing w:after="20"/>
            </w:pPr>
            <w:r/>
            <w:r>
              <w:rPr>
                <w:sz w:val="15"/>
              </w:rPr>
              <w:t>Silent-attrition model</w:t>
            </w:r>
          </w:p>
        </w:tc>
        <w:tc>
          <w:tcPr>
            <w:tcW w:type="dxa" w:w="1138"/>
            <w:shd w:val="clear" w:color="auto" w:fill="F2F5F9"/>
          </w:tcPr>
          <w:p>
            <w:pPr>
              <w:spacing w:after="20"/>
            </w:pPr>
            <w:r/>
            <w:r>
              <w:rPr>
                <w:sz w:val="15"/>
              </w:rPr>
              <w:t>Alternative target</w:t>
            </w:r>
          </w:p>
        </w:tc>
        <w:tc>
          <w:tcPr>
            <w:tcW w:type="dxa" w:w="1138"/>
            <w:shd w:val="clear" w:color="auto" w:fill="F2F5F9"/>
          </w:tcPr>
          <w:p>
            <w:pPr>
              <w:spacing w:after="20"/>
            </w:pPr>
            <w:r/>
            <w:r>
              <w:rPr>
                <w:sz w:val="15"/>
              </w:rPr>
              <w:t>Same features</w:t>
            </w:r>
          </w:p>
        </w:tc>
        <w:tc>
          <w:tcPr>
            <w:tcW w:type="dxa" w:w="1138"/>
            <w:shd w:val="clear" w:color="auto" w:fill="F2F5F9"/>
          </w:tcPr>
          <w:p>
            <w:pPr>
              <w:spacing w:after="20"/>
            </w:pPr>
            <w:r/>
            <w:r>
              <w:rPr>
                <w:sz w:val="15"/>
              </w:rPr>
              <w:t>Same</w:t>
            </w:r>
          </w:p>
        </w:tc>
        <w:tc>
          <w:tcPr>
            <w:tcW w:type="dxa" w:w="1552"/>
            <w:shd w:val="clear" w:color="auto" w:fill="F2F5F9"/>
          </w:tcPr>
          <w:p>
            <w:pPr>
              <w:spacing w:after="20"/>
            </w:pPr>
            <w:r/>
            <w:r>
              <w:rPr>
                <w:sz w:val="15"/>
              </w:rPr>
              <w:t>PR-AUC</w:t>
            </w:r>
          </w:p>
        </w:tc>
        <w:tc>
          <w:tcPr>
            <w:tcW w:type="dxa" w:w="1939"/>
            <w:shd w:val="clear" w:color="auto" w:fill="F2F5F9"/>
          </w:tcPr>
          <w:p>
            <w:pPr>
              <w:spacing w:after="20"/>
            </w:pPr>
            <w:r/>
            <w:r>
              <w:rPr>
                <w:sz w:val="15"/>
              </w:rPr>
              <w:t>Exploratory</w:t>
            </w:r>
          </w:p>
        </w:tc>
      </w:tr>
    </w:tbl>
    <w:p>
      <w:pPr>
        <w:spacing w:after="40"/>
      </w:pPr>
    </w:p>
    <w:p>
      <w:r>
        <w:rPr>
          <w:b/>
        </w:rPr>
        <w:t>Tuning strategy.</w:t>
      </w:r>
      <w:r>
        <w:rPr/>
        <w:t xml:space="preserve"> Random search first, then Bayesian optimisation with early stopping for the winning family. Use rolling time-based folds. Budget: ~100–200 trials for the GBM, to be set against compute. Priority order: learning rate and number of trees, leaves/depth, min samples per leaf, feature/row subsampling, L1/L2 regularisation, class weight. Tuning happens only on validation folds, never on the locked test.</w:t>
      </w:r>
    </w:p>
    <w:p>
      <w:r>
        <w:rPr>
          <w:b/>
        </w:rPr>
        <w:t>Reproducibility.</w:t>
      </w:r>
      <w:r>
        <w:rPr/>
        <w:t xml:space="preserve"> Fixed seeds; environment lockfile; versioned and hashed data snapshots; versioned split definitions; configs in version control; an experiment tracker (MLflow or equivalent); a model card; and a log of every test-set access.</w:t>
      </w:r>
    </w:p>
    <w:p>
      <w:r>
        <w:rPr>
          <w:b/>
        </w:rPr>
        <w:t>Operational definitions.</w:t>
      </w:r>
      <w:r>
        <w:rPr/>
        <w:t xml:space="preserve"> </w:t>
      </w:r>
      <w:r>
        <w:rPr>
          <w:i/>
        </w:rPr>
        <w:t>Noise band</w:t>
      </w:r>
      <w:r>
        <w:rPr/>
        <w:t xml:space="preserve"> = the 95% paired-bootstrap interval (by customer) of the metric difference across validation folds; a difference counts as real only if its interval excludes zero </w:t>
      </w:r>
      <w:r>
        <w:rPr>
          <w:b/>
        </w:rPr>
        <w:t>and</w:t>
      </w:r>
      <w:r>
        <w:rPr/>
        <w:t xml:space="preserve"> exceeds the minimum meaningful improvement. </w:t>
      </w:r>
      <w:r>
        <w:rPr>
          <w:i/>
        </w:rPr>
        <w:t>Minimum meaningful improvement</w:t>
      </w:r>
      <w:r>
        <w:rPr/>
        <w:t xml:space="preserve"> = </w:t>
      </w:r>
      <w:r>
        <w:rPr>
          <w:b/>
          <w:color w:val="C0392B"/>
        </w:rPr>
        <w:t>[TBD with client]</w:t>
      </w:r>
      <w:r>
        <w:rPr/>
        <w:t xml:space="preserve">; proposed default: the precision@K gain that yields positive net value after the extra operating cost. </w:t>
      </w:r>
      <w:r>
        <w:rPr>
          <w:b/>
        </w:rPr>
        <w:t>Tuning protocol:</w:t>
      </w:r>
      <w:r>
        <w:rPr/>
        <w:t xml:space="preserve"> hyperparameters are tuned on inner rolling folds inside the training period; model-family comparisons (X1–X10) use outer folds that tuning never touches, and the number of comparisons is logged and reported.</w:t>
      </w:r>
    </w:p>
    <w:p>
      <w:r>
        <w:rPr>
          <w:b/>
        </w:rPr>
        <w:t>Comparison protocol.</w:t>
      </w:r>
      <w:r>
        <w:rPr/>
        <w:t xml:space="preserve"> Identical folds, paired comparison with bootstrap intervals (resampling customers, not rows), and a pre-declared minimum meaningful improvement </w:t>
      </w:r>
      <w:r>
        <w:rPr>
          <w:b/>
          <w:color w:val="C0392B"/>
        </w:rPr>
        <w:t>[TBD with client]</w:t>
      </w:r>
      <w:r>
        <w:rPr/>
        <w:t>.</w:t>
      </w:r>
    </w:p>
    <w:p>
      <w:pPr>
        <w:pStyle w:val="Heading2"/>
      </w:pPr>
      <w:r>
        <w:rPr/>
        <w:t>12. Train / Validation / Test Design</w:t>
      </w:r>
    </w:p>
    <w:p>
      <w:r>
        <w:rPr>
          <w:b/>
        </w:rPr>
        <w:t>Deployment scenario.</w:t>
      </w:r>
      <w:r>
        <w:rPr/>
        <w:t xml:space="preserve"> At each month-end the bank scores all eligible active cards using data up to that date, then calls the top K over the following weeks. Most customers are returning (the same customer appears in many snapshots), and the label needs 3 further months to mature.</w:t>
      </w:r>
    </w:p>
    <w:p>
      <w:r>
        <w:rPr>
          <w:b/>
        </w:rPr>
        <w:t>Strategy.</w:t>
      </w:r>
      <w:r>
        <w:rPr/>
        <w:t xml:space="preserve"> Out-of-time rolling-origin validation on monthly snapshots, with a </w:t>
      </w:r>
      <w:r>
        <w:rPr>
          <w:b/>
        </w:rPr>
        <w:t>3-month embargo</w:t>
      </w:r>
      <w:r>
        <w:rPr/>
        <w:t xml:space="preserve"> between training labels and the evaluation period, and embargo and customer-level bootstrap. This estimates performance on a future month-end for a mostly known customer base.</w:t>
      </w:r>
    </w:p>
    <w:p>
      <w:pPr>
        <w:shd w:val="clear" w:color="auto" w:fill="FFF4E5"/>
        <w:pBdr>
          <w:left w:val="single" w:sz="18" w:space="8" w:color="2E75B6"/>
        </w:pBdr>
        <w:spacing w:before="80" w:after="120"/>
        <w:ind w:left="170"/>
      </w:pPr>
      <w:r>
        <w:rPr>
          <w:b/>
        </w:rPr>
        <w:t>Assumption:</w:t>
      </w:r>
      <w:r>
        <w:rPr/>
        <w:t xml:space="preserve"> about 36 months of history (minimum 30; S1). Feasibility arithmetic: ~12 months minimum training + 3 months embargo + 3 rolling validation origins + a 3-month calibration block + a 3-month locked test + 3 months for test labels to mature. With 30 months this allows only 2 validation origins and a shorter initial training window. With fewer than 24 months the full design is not feasible and the plan must be re-scoped (fewer folds, no seasonal-cycle coverage).</w:t>
      </w:r>
    </w:p>
    <w:p>
      <w:pPr>
        <w:shd w:val="clear" w:color="auto" w:fill="F4F4F4"/>
        <w:spacing w:after="120"/>
      </w:pPr>
      <w:r>
        <w:rPr>
          <w:rFonts w:ascii="Consolas" w:hAnsi="Consolas" w:eastAsia="Consolas"/>
          <w:sz w:val="16"/>
        </w:rPr>
        <w:t>Month index (36 months of history; label data complete through m36):</w:t>
        <w:br/>
      </w:r>
      <w:r>
        <w:rPr>
          <w:rFonts w:ascii="Consolas" w:hAnsi="Consolas" w:eastAsia="Consolas"/>
          <w:sz w:val="16"/>
        </w:rPr>
        <w:t>m1 ........ m12 | m13-m15 | m16 .... m24 | m25-m27 | m28-m30 | m31-m33     | m34-m36</w:t>
        <w:br/>
      </w:r>
      <w:r>
        <w:rPr>
          <w:rFonts w:ascii="Consolas" w:hAnsi="Consolas" w:eastAsia="Consolas"/>
          <w:sz w:val="16"/>
        </w:rPr>
        <w:t xml:space="preserve"> expanding train  embargo    validation     calib.    embargo   LOCKED TEST   labels mature</w:t>
        <w:br/>
      </w:r>
      <w:r>
        <w:rPr>
          <w:rFonts w:ascii="Consolas" w:hAnsi="Consolas" w:eastAsia="Consolas"/>
          <w:sz w:val="16"/>
        </w:rPr>
        <w:t>Validation: 3 origins (train through m12 / m15 / m18, each + 3-month embargo), scoring the next 3 snapshots</w:t>
        <w:br/>
      </w:r>
      <w:r>
        <w:rPr>
          <w:rFonts w:ascii="Consolas" w:hAnsi="Consolas" w:eastAsia="Consolas"/>
          <w:sz w:val="16"/>
        </w:rPr>
        <w:t>Calibration: held-out block after the last validation fold, never used to fit the model</w:t>
        <w:br/>
      </w:r>
      <w:r>
        <w:rPr>
          <w:rFonts w:ascii="Consolas" w:hAnsi="Consolas" w:eastAsia="Consolas"/>
          <w:sz w:val="16"/>
        </w:rPr>
        <w:t>Locked test: snapshots m31-m33, labelled through m36; touched once</w:t>
        <w:br/>
      </w:r>
      <w:r>
        <w:rPr>
          <w:rFonts w:ascii="Consolas" w:hAnsi="Consolas" w:eastAsia="Consolas"/>
          <w:sz w:val="16"/>
        </w:rPr>
        <w:t>Retrain cadence: quarterly in production; monthly re-scoring</w:t>
      </w:r>
    </w:p>
    <w:p>
      <w:r>
        <w:rPr/>
        <w:t xml:space="preserve">Customers recur across snapshots </w:t>
      </w:r>
      <w:r>
        <w:rPr>
          <w:b/>
        </w:rPr>
        <w:t>by design</w:t>
      </w:r>
      <w:r>
        <w:rPr/>
        <w:t>: in production the model scores customers it has already seen. The temporal split plus embargo is the primary protection. Customer grouping is used only for bootstrap resampling of intervals and for any non-temporal diagnostic cross-validation, not for the main split.</w:t>
      </w:r>
    </w:p>
    <w:p>
      <w:r>
        <w:rPr>
          <w:b/>
        </w:rPr>
        <w:t>Hygiene rules.</w:t>
      </w:r>
    </w:p>
    <w:p>
      <w:pPr>
        <w:pStyle w:val="ListBullet"/>
        <w:spacing w:after="40"/>
        <w:ind w:left="357" w:hanging="357"/>
      </w:pPr>
      <w:r>
        <w:rPr/>
        <w:t>Deduplicate before splitting.</w:t>
      </w:r>
    </w:p>
    <w:p>
      <w:pPr>
        <w:pStyle w:val="ListBullet"/>
        <w:spacing w:after="40"/>
        <w:ind w:left="357" w:hanging="357"/>
      </w:pPr>
      <w:r>
        <w:rPr/>
        <w:t>Fit all transforms inside training folds.</w:t>
      </w:r>
    </w:p>
    <w:p>
      <w:pPr>
        <w:pStyle w:val="ListBullet"/>
        <w:spacing w:after="40"/>
        <w:ind w:left="357" w:hanging="357"/>
      </w:pPr>
      <w:r>
        <w:rPr/>
        <w:t>Resample only inside training folds, and always evaluate on the untouched natural distribution.</w:t>
      </w:r>
    </w:p>
    <w:p>
      <w:pPr>
        <w:pStyle w:val="ListBullet"/>
        <w:spacing w:after="40"/>
        <w:ind w:left="357" w:hanging="357"/>
      </w:pPr>
      <w:r>
        <w:rPr/>
        <w:t>The embargo ensures no training label window overlaps the evaluation period.</w:t>
      </w:r>
    </w:p>
    <w:p>
      <w:pPr>
        <w:pStyle w:val="ListBullet"/>
        <w:spacing w:after="40"/>
        <w:ind w:left="357" w:hanging="357"/>
      </w:pPr>
      <w:r>
        <w:rPr/>
        <w:t>Use the point-in-time data vintage.</w:t>
      </w:r>
    </w:p>
    <w:p>
      <w:pPr>
        <w:pStyle w:val="ListBullet"/>
        <w:spacing w:after="40"/>
        <w:ind w:left="357" w:hanging="357"/>
      </w:pPr>
      <w:r>
        <w:rPr/>
        <w:t>Version the split definitions.</w:t>
      </w:r>
    </w:p>
    <w:p>
      <w:pPr>
        <w:pStyle w:val="ListBullet"/>
        <w:spacing w:after="40"/>
        <w:ind w:left="357" w:hanging="357"/>
      </w:pPr>
      <w:r>
        <w:rPr/>
        <w:t>Never tune thresholds or early stopping on the test.</w:t>
      </w:r>
    </w:p>
    <w:p>
      <w:r>
        <w:rPr>
          <w:b/>
        </w:rPr>
        <w:t>Why not random k-fold.</w:t>
      </w:r>
      <w:r>
        <w:rPr/>
        <w:t xml:space="preserve"> A random split would mix snapshots from the same customers and from the future, inflate performance and ignore drift.</w:t>
      </w:r>
    </w:p>
    <w:p>
      <w:pPr>
        <w:pStyle w:val="Heading2"/>
      </w:pPr>
      <w:r>
        <w:rPr/>
        <w:t>13. Leakage Audit Checklist</w:t>
      </w:r>
    </w:p>
    <w:tbl>
      <w:tblPr>
        <w:tblStyle w:val="TableGrid"/>
        <w:tblW w:type="auto" w:w="0"/>
        <w:jc w:val="center"/>
        <w:tblLayout w:type="fixed"/>
        <w:tblLook w:firstColumn="1" w:firstRow="1" w:lastColumn="0" w:lastRow="0" w:noHBand="0" w:noVBand="1" w:val="04A0"/>
        <w:tblLayout w:type="fixed"/>
      </w:tblPr>
      <w:tblGrid>
        <w:gridCol w:w="1824"/>
        <w:gridCol w:w="1042"/>
        <w:gridCol w:w="2714"/>
        <w:gridCol w:w="2886"/>
        <w:gridCol w:w="1172"/>
      </w:tblGrid>
      <w:tr>
        <w:trPr>
          <w:tblHeader w:val="true"/>
        </w:trPr>
        <w:tc>
          <w:tcPr>
            <w:tcW w:type="dxa" w:w="1824"/>
            <w:shd w:val="clear" w:color="auto" w:fill="1F3A5F"/>
          </w:tcPr>
          <w:p>
            <w:r/>
            <w:r>
              <w:rPr>
                <w:b/>
                <w:color w:val="FFFFFF"/>
                <w:sz w:val="17"/>
              </w:rPr>
              <w:t>Risk</w:t>
            </w:r>
          </w:p>
        </w:tc>
        <w:tc>
          <w:tcPr>
            <w:tcW w:type="dxa" w:w="1042"/>
            <w:shd w:val="clear" w:color="auto" w:fill="1F3A5F"/>
          </w:tcPr>
          <w:p>
            <w:r/>
            <w:r>
              <w:rPr>
                <w:b/>
                <w:color w:val="FFFFFF"/>
                <w:sz w:val="17"/>
              </w:rPr>
              <w:t>Applies?</w:t>
            </w:r>
          </w:p>
        </w:tc>
        <w:tc>
          <w:tcPr>
            <w:tcW w:type="dxa" w:w="2714"/>
            <w:shd w:val="clear" w:color="auto" w:fill="1F3A5F"/>
          </w:tcPr>
          <w:p>
            <w:r/>
            <w:r>
              <w:rPr>
                <w:b/>
                <w:color w:val="FFFFFF"/>
                <w:sz w:val="17"/>
              </w:rPr>
              <w:t>Where it could occur in this case</w:t>
            </w:r>
          </w:p>
        </w:tc>
        <w:tc>
          <w:tcPr>
            <w:tcW w:type="dxa" w:w="2886"/>
            <w:shd w:val="clear" w:color="auto" w:fill="1F3A5F"/>
          </w:tcPr>
          <w:p>
            <w:r/>
            <w:r>
              <w:rPr>
                <w:b/>
                <w:color w:val="FFFFFF"/>
                <w:sz w:val="17"/>
              </w:rPr>
              <w:t>Mitigation</w:t>
            </w:r>
          </w:p>
        </w:tc>
        <w:tc>
          <w:tcPr>
            <w:tcW w:type="dxa" w:w="1172"/>
            <w:shd w:val="clear" w:color="auto" w:fill="1F3A5F"/>
          </w:tcPr>
          <w:p>
            <w:r/>
            <w:r>
              <w:rPr>
                <w:b/>
                <w:color w:val="FFFFFF"/>
                <w:sz w:val="17"/>
              </w:rPr>
              <w:t>Owner</w:t>
            </w:r>
          </w:p>
        </w:tc>
      </w:tr>
      <w:tr>
        <w:tc>
          <w:tcPr>
            <w:tcW w:type="dxa" w:w="1824"/>
          </w:tcPr>
          <w:p>
            <w:pPr>
              <w:spacing w:after="20"/>
            </w:pPr>
            <w:r/>
            <w:r>
              <w:rPr>
                <w:sz w:val="17"/>
              </w:rPr>
              <w:t>Target leakage</w:t>
            </w:r>
          </w:p>
        </w:tc>
        <w:tc>
          <w:tcPr>
            <w:tcW w:type="dxa" w:w="1042"/>
          </w:tcPr>
          <w:p>
            <w:pPr>
              <w:spacing w:after="20"/>
            </w:pPr>
            <w:r/>
            <w:r>
              <w:rPr>
                <w:sz w:val="17"/>
              </w:rPr>
              <w:t>Yes</w:t>
            </w:r>
          </w:p>
        </w:tc>
        <w:tc>
          <w:tcPr>
            <w:tcW w:type="dxa" w:w="2714"/>
          </w:tcPr>
          <w:p>
            <w:pPr>
              <w:spacing w:after="20"/>
            </w:pPr>
            <w:r/>
            <w:r>
              <w:rPr>
                <w:sz w:val="17"/>
              </w:rPr>
              <w:t>Closure-request call tags, "balance transfer out", closure-related complaint categories, final-statement flags</w:t>
            </w:r>
          </w:p>
        </w:tc>
        <w:tc>
          <w:tcPr>
            <w:tcW w:type="dxa" w:w="2886"/>
          </w:tcPr>
          <w:p>
            <w:pPr>
              <w:spacing w:after="20"/>
            </w:pPr>
            <w:r/>
            <w:r>
              <w:rPr>
                <w:sz w:val="17"/>
              </w:rPr>
              <w:t>Remove or time-bound; scan features for near-label signals; exclude pending closure requests</w:t>
            </w:r>
          </w:p>
        </w:tc>
        <w:tc>
          <w:tcPr>
            <w:tcW w:type="dxa" w:w="1172"/>
          </w:tcPr>
          <w:p>
            <w:pPr>
              <w:spacing w:after="20"/>
            </w:pPr>
            <w:r/>
            <w:r>
              <w:rPr>
                <w:sz w:val="17"/>
              </w:rPr>
              <w:t>DS + contact centre</w:t>
            </w:r>
          </w:p>
        </w:tc>
      </w:tr>
      <w:tr>
        <w:tc>
          <w:tcPr>
            <w:tcW w:type="dxa" w:w="1824"/>
            <w:shd w:val="clear" w:color="auto" w:fill="F2F5F9"/>
          </w:tcPr>
          <w:p>
            <w:pPr>
              <w:spacing w:after="20"/>
            </w:pPr>
            <w:r/>
            <w:r>
              <w:rPr>
                <w:sz w:val="17"/>
              </w:rPr>
              <w:t>Temporal leakage</w:t>
            </w:r>
          </w:p>
        </w:tc>
        <w:tc>
          <w:tcPr>
            <w:tcW w:type="dxa" w:w="1042"/>
            <w:shd w:val="clear" w:color="auto" w:fill="F2F5F9"/>
          </w:tcPr>
          <w:p>
            <w:pPr>
              <w:spacing w:after="20"/>
            </w:pPr>
            <w:r/>
            <w:r>
              <w:rPr>
                <w:sz w:val="17"/>
              </w:rPr>
              <w:t>Yes</w:t>
            </w:r>
          </w:p>
        </w:tc>
        <w:tc>
          <w:tcPr>
            <w:tcW w:type="dxa" w:w="2714"/>
            <w:shd w:val="clear" w:color="auto" w:fill="F2F5F9"/>
          </w:tcPr>
          <w:p>
            <w:pPr>
              <w:spacing w:after="20"/>
            </w:pPr>
            <w:r/>
            <w:r>
              <w:rPr>
                <w:sz w:val="17"/>
              </w:rPr>
              <w:t>Current-state demographic or limit tables; statements finalised after t0</w:t>
            </w:r>
          </w:p>
        </w:tc>
        <w:tc>
          <w:tcPr>
            <w:tcW w:type="dxa" w:w="2886"/>
            <w:shd w:val="clear" w:color="auto" w:fill="F2F5F9"/>
          </w:tcPr>
          <w:p>
            <w:pPr>
              <w:spacing w:after="20"/>
            </w:pPr>
            <w:r/>
            <w:r>
              <w:rPr>
                <w:sz w:val="17"/>
              </w:rPr>
              <w:t>Rebuild features with as-of dates; use archived snapshots</w:t>
            </w:r>
          </w:p>
        </w:tc>
        <w:tc>
          <w:tcPr>
            <w:tcW w:type="dxa" w:w="1172"/>
            <w:shd w:val="clear" w:color="auto" w:fill="F2F5F9"/>
          </w:tcPr>
          <w:p>
            <w:pPr>
              <w:spacing w:after="20"/>
            </w:pPr>
            <w:r/>
            <w:r>
              <w:rPr>
                <w:sz w:val="17"/>
              </w:rPr>
              <w:t>Data eng</w:t>
            </w:r>
          </w:p>
        </w:tc>
      </w:tr>
      <w:tr>
        <w:tc>
          <w:tcPr>
            <w:tcW w:type="dxa" w:w="1824"/>
          </w:tcPr>
          <w:p>
            <w:pPr>
              <w:spacing w:after="20"/>
            </w:pPr>
            <w:r/>
            <w:r>
              <w:rPr>
                <w:sz w:val="17"/>
              </w:rPr>
              <w:t>Label delay / immature labels</w:t>
            </w:r>
          </w:p>
        </w:tc>
        <w:tc>
          <w:tcPr>
            <w:tcW w:type="dxa" w:w="1042"/>
          </w:tcPr>
          <w:p>
            <w:pPr>
              <w:spacing w:after="20"/>
            </w:pPr>
            <w:r/>
            <w:r>
              <w:rPr>
                <w:sz w:val="17"/>
              </w:rPr>
              <w:t>Yes</w:t>
            </w:r>
          </w:p>
        </w:tc>
        <w:tc>
          <w:tcPr>
            <w:tcW w:type="dxa" w:w="2714"/>
          </w:tcPr>
          <w:p>
            <w:pPr>
              <w:spacing w:after="20"/>
            </w:pPr>
            <w:r/>
            <w:r>
              <w:rPr>
                <w:sz w:val="17"/>
              </w:rPr>
              <w:t>Closures posted late; last 3 months unlabelled</w:t>
            </w:r>
          </w:p>
        </w:tc>
        <w:tc>
          <w:tcPr>
            <w:tcW w:type="dxa" w:w="2886"/>
          </w:tcPr>
          <w:p>
            <w:pPr>
              <w:spacing w:after="20"/>
            </w:pPr>
            <w:r/>
            <w:r>
              <w:rPr>
                <w:sz w:val="17"/>
              </w:rPr>
              <w:t>Maturity filter; evaluate on matured windows</w:t>
            </w:r>
          </w:p>
        </w:tc>
        <w:tc>
          <w:tcPr>
            <w:tcW w:type="dxa" w:w="1172"/>
          </w:tcPr>
          <w:p>
            <w:pPr>
              <w:spacing w:after="20"/>
            </w:pPr>
            <w:r/>
            <w:r>
              <w:rPr>
                <w:sz w:val="17"/>
              </w:rPr>
              <w:t>DS</w:t>
            </w:r>
          </w:p>
        </w:tc>
      </w:tr>
      <w:tr>
        <w:tc>
          <w:tcPr>
            <w:tcW w:type="dxa" w:w="1824"/>
            <w:shd w:val="clear" w:color="auto" w:fill="F2F5F9"/>
          </w:tcPr>
          <w:p>
            <w:pPr>
              <w:spacing w:after="20"/>
            </w:pPr>
            <w:r/>
            <w:r>
              <w:rPr>
                <w:sz w:val="17"/>
              </w:rPr>
              <w:t>Entity overlap</w:t>
            </w:r>
          </w:p>
        </w:tc>
        <w:tc>
          <w:tcPr>
            <w:tcW w:type="dxa" w:w="1042"/>
            <w:shd w:val="clear" w:color="auto" w:fill="F2F5F9"/>
          </w:tcPr>
          <w:p>
            <w:pPr>
              <w:spacing w:after="20"/>
            </w:pPr>
            <w:r/>
            <w:r>
              <w:rPr>
                <w:sz w:val="17"/>
              </w:rPr>
              <w:t>Yes</w:t>
            </w:r>
          </w:p>
        </w:tc>
        <w:tc>
          <w:tcPr>
            <w:tcW w:type="dxa" w:w="2714"/>
            <w:shd w:val="clear" w:color="auto" w:fill="F2F5F9"/>
          </w:tcPr>
          <w:p>
            <w:pPr>
              <w:spacing w:after="20"/>
            </w:pPr>
            <w:r/>
            <w:r>
              <w:rPr>
                <w:sz w:val="17"/>
              </w:rPr>
              <w:t>Same customer across train and test; multiple cards</w:t>
            </w:r>
          </w:p>
        </w:tc>
        <w:tc>
          <w:tcPr>
            <w:tcW w:type="dxa" w:w="2886"/>
            <w:shd w:val="clear" w:color="auto" w:fill="F2F5F9"/>
          </w:tcPr>
          <w:p>
            <w:pPr>
              <w:spacing w:after="20"/>
            </w:pPr>
            <w:r/>
            <w:r>
              <w:rPr>
                <w:sz w:val="17"/>
              </w:rPr>
              <w:t>Time-based split plus embargo; customer overlap across time is intended; group by customer only for bootstrap and non-temporal diagnostics</w:t>
            </w:r>
          </w:p>
        </w:tc>
        <w:tc>
          <w:tcPr>
            <w:tcW w:type="dxa" w:w="1172"/>
            <w:shd w:val="clear" w:color="auto" w:fill="F2F5F9"/>
          </w:tcPr>
          <w:p>
            <w:pPr>
              <w:spacing w:after="20"/>
            </w:pPr>
            <w:r/>
            <w:r>
              <w:rPr>
                <w:sz w:val="17"/>
              </w:rPr>
              <w:t>DS</w:t>
            </w:r>
          </w:p>
        </w:tc>
      </w:tr>
      <w:tr>
        <w:tc>
          <w:tcPr>
            <w:tcW w:type="dxa" w:w="1824"/>
          </w:tcPr>
          <w:p>
            <w:pPr>
              <w:spacing w:after="20"/>
            </w:pPr>
            <w:r/>
            <w:r>
              <w:rPr>
                <w:sz w:val="17"/>
              </w:rPr>
              <w:t>Preprocessing outside folds</w:t>
            </w:r>
          </w:p>
        </w:tc>
        <w:tc>
          <w:tcPr>
            <w:tcW w:type="dxa" w:w="1042"/>
          </w:tcPr>
          <w:p>
            <w:pPr>
              <w:spacing w:after="20"/>
            </w:pPr>
            <w:r/>
            <w:r>
              <w:rPr>
                <w:sz w:val="17"/>
              </w:rPr>
              <w:t>Yes</w:t>
            </w:r>
          </w:p>
        </w:tc>
        <w:tc>
          <w:tcPr>
            <w:tcW w:type="dxa" w:w="2714"/>
          </w:tcPr>
          <w:p>
            <w:pPr>
              <w:spacing w:after="20"/>
            </w:pPr>
            <w:r/>
            <w:r>
              <w:rPr>
                <w:sz w:val="17"/>
              </w:rPr>
              <w:t>Imputers, encoders, scalers</w:t>
            </w:r>
          </w:p>
        </w:tc>
        <w:tc>
          <w:tcPr>
            <w:tcW w:type="dxa" w:w="2886"/>
          </w:tcPr>
          <w:p>
            <w:pPr>
              <w:spacing w:after="20"/>
            </w:pPr>
            <w:r/>
            <w:r>
              <w:rPr>
                <w:sz w:val="17"/>
              </w:rPr>
              <w:t>Pipelines fit in-fold</w:t>
            </w:r>
          </w:p>
        </w:tc>
        <w:tc>
          <w:tcPr>
            <w:tcW w:type="dxa" w:w="1172"/>
          </w:tcPr>
          <w:p>
            <w:pPr>
              <w:spacing w:after="20"/>
            </w:pPr>
            <w:r/>
            <w:r>
              <w:rPr>
                <w:sz w:val="17"/>
              </w:rPr>
              <w:t>DS</w:t>
            </w:r>
          </w:p>
        </w:tc>
      </w:tr>
      <w:tr>
        <w:tc>
          <w:tcPr>
            <w:tcW w:type="dxa" w:w="1824"/>
            <w:shd w:val="clear" w:color="auto" w:fill="F2F5F9"/>
          </w:tcPr>
          <w:p>
            <w:pPr>
              <w:spacing w:after="20"/>
            </w:pPr>
            <w:r/>
            <w:r>
              <w:rPr>
                <w:sz w:val="17"/>
              </w:rPr>
              <w:t>Selective labels / treatment contamination</w:t>
            </w:r>
          </w:p>
        </w:tc>
        <w:tc>
          <w:tcPr>
            <w:tcW w:type="dxa" w:w="1042"/>
            <w:shd w:val="clear" w:color="auto" w:fill="F2F5F9"/>
          </w:tcPr>
          <w:p>
            <w:pPr>
              <w:spacing w:after="20"/>
            </w:pPr>
            <w:r/>
            <w:r>
              <w:rPr>
                <w:sz w:val="17"/>
              </w:rPr>
              <w:t>Yes</w:t>
            </w:r>
          </w:p>
        </w:tc>
        <w:tc>
          <w:tcPr>
            <w:tcW w:type="dxa" w:w="2714"/>
            <w:shd w:val="clear" w:color="auto" w:fill="F2F5F9"/>
          </w:tcPr>
          <w:p>
            <w:pPr>
              <w:spacing w:after="20"/>
            </w:pPr>
            <w:r/>
            <w:r>
              <w:rPr>
                <w:sz w:val="17"/>
              </w:rPr>
              <w:t>Past retention calls and offers suppress churn for treated customers; agents choose whom to call</w:t>
            </w:r>
          </w:p>
        </w:tc>
        <w:tc>
          <w:tcPr>
            <w:tcW w:type="dxa" w:w="2886"/>
            <w:shd w:val="clear" w:color="auto" w:fill="F2F5F9"/>
          </w:tcPr>
          <w:p>
            <w:pPr>
              <w:spacing w:after="20"/>
            </w:pPr>
            <w:r/>
            <w:r>
              <w:rPr>
                <w:sz w:val="17"/>
              </w:rPr>
              <w:t>Include contact history as a feature only with care; analyse never-contacted separately; rely on the randomised experiment for effects</w:t>
            </w:r>
          </w:p>
        </w:tc>
        <w:tc>
          <w:tcPr>
            <w:tcW w:type="dxa" w:w="1172"/>
            <w:shd w:val="clear" w:color="auto" w:fill="F2F5F9"/>
          </w:tcPr>
          <w:p>
            <w:pPr>
              <w:spacing w:after="20"/>
            </w:pPr>
            <w:r/>
            <w:r>
              <w:rPr>
                <w:sz w:val="17"/>
              </w:rPr>
              <w:t>DS + retention</w:t>
            </w:r>
          </w:p>
        </w:tc>
      </w:tr>
      <w:tr>
        <w:tc>
          <w:tcPr>
            <w:tcW w:type="dxa" w:w="1824"/>
          </w:tcPr>
          <w:p>
            <w:pPr>
              <w:spacing w:after="20"/>
            </w:pPr>
            <w:r/>
            <w:r>
              <w:rPr>
                <w:sz w:val="17"/>
              </w:rPr>
              <w:t>Policy changes / regime shifts</w:t>
            </w:r>
          </w:p>
        </w:tc>
        <w:tc>
          <w:tcPr>
            <w:tcW w:type="dxa" w:w="1042"/>
          </w:tcPr>
          <w:p>
            <w:pPr>
              <w:spacing w:after="20"/>
            </w:pPr>
            <w:r/>
            <w:r>
              <w:rPr>
                <w:sz w:val="17"/>
              </w:rPr>
              <w:t>Yes</w:t>
            </w:r>
          </w:p>
        </w:tc>
        <w:tc>
          <w:tcPr>
            <w:tcW w:type="dxa" w:w="2714"/>
          </w:tcPr>
          <w:p>
            <w:pPr>
              <w:spacing w:after="20"/>
            </w:pPr>
            <w:r/>
            <w:r>
              <w:rPr>
                <w:sz w:val="17"/>
              </w:rPr>
              <w:t>Fee or reward devaluations, product changes, closure process changes</w:t>
            </w:r>
          </w:p>
        </w:tc>
        <w:tc>
          <w:tcPr>
            <w:tcW w:type="dxa" w:w="2886"/>
          </w:tcPr>
          <w:p>
            <w:pPr>
              <w:spacing w:after="20"/>
            </w:pPr>
            <w:r/>
            <w:r>
              <w:rPr>
                <w:sz w:val="17"/>
              </w:rPr>
              <w:t>Period indicators; stability tests; restrict windows if needed</w:t>
            </w:r>
          </w:p>
        </w:tc>
        <w:tc>
          <w:tcPr>
            <w:tcW w:type="dxa" w:w="1172"/>
          </w:tcPr>
          <w:p>
            <w:pPr>
              <w:spacing w:after="20"/>
            </w:pPr>
            <w:r/>
            <w:r>
              <w:rPr>
                <w:sz w:val="17"/>
              </w:rPr>
              <w:t>Business</w:t>
            </w:r>
          </w:p>
        </w:tc>
      </w:tr>
      <w:tr>
        <w:tc>
          <w:tcPr>
            <w:tcW w:type="dxa" w:w="1824"/>
            <w:shd w:val="clear" w:color="auto" w:fill="F2F5F9"/>
          </w:tcPr>
          <w:p>
            <w:pPr>
              <w:spacing w:after="20"/>
            </w:pPr>
            <w:r/>
            <w:r>
              <w:rPr>
                <w:sz w:val="17"/>
              </w:rPr>
              <w:t>Test-set reuse</w:t>
            </w:r>
          </w:p>
        </w:tc>
        <w:tc>
          <w:tcPr>
            <w:tcW w:type="dxa" w:w="1042"/>
            <w:shd w:val="clear" w:color="auto" w:fill="F2F5F9"/>
          </w:tcPr>
          <w:p>
            <w:pPr>
              <w:spacing w:after="20"/>
            </w:pPr>
            <w:r/>
            <w:r>
              <w:rPr>
                <w:sz w:val="17"/>
              </w:rPr>
              <w:t>Yes</w:t>
            </w:r>
          </w:p>
        </w:tc>
        <w:tc>
          <w:tcPr>
            <w:tcW w:type="dxa" w:w="2714"/>
            <w:shd w:val="clear" w:color="auto" w:fill="F2F5F9"/>
          </w:tcPr>
          <w:p>
            <w:pPr>
              <w:spacing w:after="20"/>
            </w:pPr>
            <w:r/>
            <w:r>
              <w:rPr>
                <w:sz w:val="17"/>
              </w:rPr>
              <w:t>Repeated looks at the test</w:t>
            </w:r>
          </w:p>
        </w:tc>
        <w:tc>
          <w:tcPr>
            <w:tcW w:type="dxa" w:w="2886"/>
            <w:shd w:val="clear" w:color="auto" w:fill="F2F5F9"/>
          </w:tcPr>
          <w:p>
            <w:pPr>
              <w:spacing w:after="20"/>
            </w:pPr>
            <w:r/>
            <w:r>
              <w:rPr>
                <w:sz w:val="17"/>
              </w:rPr>
              <w:t>Locked test, access log</w:t>
            </w:r>
          </w:p>
        </w:tc>
        <w:tc>
          <w:tcPr>
            <w:tcW w:type="dxa" w:w="1172"/>
            <w:shd w:val="clear" w:color="auto" w:fill="F2F5F9"/>
          </w:tcPr>
          <w:p>
            <w:pPr>
              <w:spacing w:after="20"/>
            </w:pPr>
            <w:r/>
            <w:r>
              <w:rPr>
                <w:sz w:val="17"/>
              </w:rPr>
              <w:t>DS lead</w:t>
            </w:r>
          </w:p>
        </w:tc>
      </w:tr>
      <w:tr>
        <w:tc>
          <w:tcPr>
            <w:tcW w:type="dxa" w:w="1824"/>
          </w:tcPr>
          <w:p>
            <w:pPr>
              <w:spacing w:after="20"/>
            </w:pPr>
            <w:r/>
            <w:r>
              <w:rPr>
                <w:sz w:val="17"/>
              </w:rPr>
              <w:t>Resampling leakage</w:t>
            </w:r>
          </w:p>
        </w:tc>
        <w:tc>
          <w:tcPr>
            <w:tcW w:type="dxa" w:w="1042"/>
          </w:tcPr>
          <w:p>
            <w:pPr>
              <w:spacing w:after="20"/>
            </w:pPr>
            <w:r/>
            <w:r>
              <w:rPr>
                <w:sz w:val="17"/>
              </w:rPr>
              <w:t>Yes</w:t>
            </w:r>
          </w:p>
        </w:tc>
        <w:tc>
          <w:tcPr>
            <w:tcW w:type="dxa" w:w="2714"/>
          </w:tcPr>
          <w:p>
            <w:pPr>
              <w:spacing w:after="20"/>
            </w:pPr>
            <w:r/>
            <w:r>
              <w:rPr>
                <w:sz w:val="17"/>
              </w:rPr>
              <w:t>Over/under-sampling before splitting</w:t>
            </w:r>
          </w:p>
        </w:tc>
        <w:tc>
          <w:tcPr>
            <w:tcW w:type="dxa" w:w="2886"/>
          </w:tcPr>
          <w:p>
            <w:pPr>
              <w:spacing w:after="20"/>
            </w:pPr>
            <w:r/>
            <w:r>
              <w:rPr>
                <w:sz w:val="17"/>
              </w:rPr>
              <w:t>Resample inside training folds only</w:t>
            </w:r>
          </w:p>
        </w:tc>
        <w:tc>
          <w:tcPr>
            <w:tcW w:type="dxa" w:w="1172"/>
          </w:tcPr>
          <w:p>
            <w:pPr>
              <w:spacing w:after="20"/>
            </w:pPr>
            <w:r/>
            <w:r>
              <w:rPr>
                <w:sz w:val="17"/>
              </w:rPr>
              <w:t>DS</w:t>
            </w:r>
          </w:p>
        </w:tc>
      </w:tr>
      <w:tr>
        <w:tc>
          <w:tcPr>
            <w:tcW w:type="dxa" w:w="1824"/>
            <w:shd w:val="clear" w:color="auto" w:fill="F2F5F9"/>
          </w:tcPr>
          <w:p>
            <w:pPr>
              <w:spacing w:after="20"/>
            </w:pPr>
            <w:r/>
            <w:r>
              <w:rPr>
                <w:sz w:val="17"/>
              </w:rPr>
              <w:t>Aggregation leakage</w:t>
            </w:r>
          </w:p>
        </w:tc>
        <w:tc>
          <w:tcPr>
            <w:tcW w:type="dxa" w:w="1042"/>
            <w:shd w:val="clear" w:color="auto" w:fill="F2F5F9"/>
          </w:tcPr>
          <w:p>
            <w:pPr>
              <w:spacing w:after="20"/>
            </w:pPr>
            <w:r/>
            <w:r>
              <w:rPr>
                <w:sz w:val="17"/>
              </w:rPr>
              <w:t>Yes</w:t>
            </w:r>
          </w:p>
        </w:tc>
        <w:tc>
          <w:tcPr>
            <w:tcW w:type="dxa" w:w="2714"/>
            <w:shd w:val="clear" w:color="auto" w:fill="F2F5F9"/>
          </w:tcPr>
          <w:p>
            <w:pPr>
              <w:spacing w:after="20"/>
            </w:pPr>
            <w:r/>
            <w:r>
              <w:rPr>
                <w:sz w:val="17"/>
              </w:rPr>
              <w:t>Windows crossing t0</w:t>
            </w:r>
          </w:p>
        </w:tc>
        <w:tc>
          <w:tcPr>
            <w:tcW w:type="dxa" w:w="2886"/>
            <w:shd w:val="clear" w:color="auto" w:fill="F2F5F9"/>
          </w:tcPr>
          <w:p>
            <w:pPr>
              <w:spacing w:after="20"/>
            </w:pPr>
            <w:r/>
            <w:r>
              <w:rPr>
                <w:sz w:val="17"/>
              </w:rPr>
              <w:t>Window end ≤ t0</w:t>
            </w:r>
          </w:p>
        </w:tc>
        <w:tc>
          <w:tcPr>
            <w:tcW w:type="dxa" w:w="1172"/>
            <w:shd w:val="clear" w:color="auto" w:fill="F2F5F9"/>
          </w:tcPr>
          <w:p>
            <w:pPr>
              <w:spacing w:after="20"/>
            </w:pPr>
            <w:r/>
            <w:r>
              <w:rPr>
                <w:sz w:val="17"/>
              </w:rPr>
              <w:t>Data eng</w:t>
            </w:r>
          </w:p>
        </w:tc>
      </w:tr>
      <w:tr>
        <w:tc>
          <w:tcPr>
            <w:tcW w:type="dxa" w:w="1824"/>
          </w:tcPr>
          <w:p>
            <w:pPr>
              <w:spacing w:after="20"/>
            </w:pPr>
            <w:r/>
            <w:r>
              <w:rPr>
                <w:sz w:val="17"/>
              </w:rPr>
              <w:t>Proxy discrimination</w:t>
            </w:r>
          </w:p>
        </w:tc>
        <w:tc>
          <w:tcPr>
            <w:tcW w:type="dxa" w:w="1042"/>
          </w:tcPr>
          <w:p>
            <w:pPr>
              <w:spacing w:after="20"/>
            </w:pPr>
            <w:r/>
            <w:r>
              <w:rPr>
                <w:sz w:val="17"/>
              </w:rPr>
              <w:t>Possible</w:t>
            </w:r>
          </w:p>
        </w:tc>
        <w:tc>
          <w:tcPr>
            <w:tcW w:type="dxa" w:w="2714"/>
          </w:tcPr>
          <w:p>
            <w:pPr>
              <w:spacing w:after="20"/>
            </w:pPr>
            <w:r/>
            <w:r>
              <w:rPr>
                <w:sz w:val="17"/>
              </w:rPr>
              <w:t>Pincode, language, device</w:t>
            </w:r>
          </w:p>
        </w:tc>
        <w:tc>
          <w:tcPr>
            <w:tcW w:type="dxa" w:w="2886"/>
          </w:tcPr>
          <w:p>
            <w:pPr>
              <w:spacing w:after="20"/>
            </w:pPr>
            <w:r/>
            <w:r>
              <w:rPr>
                <w:sz w:val="17"/>
              </w:rPr>
              <w:t>Fairness review; drop or constrain</w:t>
            </w:r>
          </w:p>
        </w:tc>
        <w:tc>
          <w:tcPr>
            <w:tcW w:type="dxa" w:w="1172"/>
          </w:tcPr>
          <w:p>
            <w:pPr>
              <w:spacing w:after="20"/>
            </w:pPr>
            <w:r/>
            <w:r>
              <w:rPr>
                <w:sz w:val="17"/>
              </w:rPr>
              <w:t>Risk</w:t>
            </w:r>
          </w:p>
        </w:tc>
      </w:tr>
    </w:tbl>
    <w:p>
      <w:pPr>
        <w:spacing w:after="40"/>
      </w:pPr>
    </w:p>
    <w:p>
      <w:pPr>
        <w:pStyle w:val="Heading2"/>
      </w:pPr>
      <w:r>
        <w:rPr/>
        <w:t>14. Statistical Inference &amp; Causal Analysis Plan</w:t>
      </w:r>
    </w:p>
    <w:p>
      <w:pPr>
        <w:pStyle w:val="Heading3"/>
      </w:pPr>
      <w:r>
        <w:rPr/>
        <w:t>A2 — What is associated with churn?</w:t>
      </w:r>
    </w:p>
    <w:p>
      <w:pPr>
        <w:pStyle w:val="ListBullet"/>
        <w:spacing w:after="40"/>
        <w:ind w:left="357" w:hanging="357"/>
      </w:pPr>
      <w:r>
        <w:rPr>
          <w:b/>
        </w:rPr>
        <w:t>Estimand.</w:t>
      </w:r>
      <w:r>
        <w:rPr/>
        <w:t xml:space="preserve"> Adjusted association between each driver group and 3-month voluntary closure. Not an effect.</w:t>
      </w:r>
    </w:p>
    <w:p>
      <w:pPr>
        <w:pStyle w:val="ListBullet"/>
        <w:spacing w:after="40"/>
        <w:ind w:left="357" w:hanging="357"/>
      </w:pPr>
      <w:r>
        <w:rPr>
          <w:b/>
        </w:rPr>
        <w:t>Methods.</w:t>
      </w:r>
      <w:r>
        <w:rPr/>
        <w:t xml:space="preserve"> Discrete-time hazard or logistic model with standardised features and pre-specified groups; SHAP and grouped permutation importance on the GBM; partial dependence for key variables. Report effect sizes with 95% confidence intervals (bootstrap by customer).</w:t>
      </w:r>
    </w:p>
    <w:p>
      <w:pPr>
        <w:pStyle w:val="ListBullet"/>
        <w:spacing w:after="40"/>
        <w:ind w:left="357" w:hanging="357"/>
      </w:pPr>
      <w:r>
        <w:rPr>
          <w:b/>
        </w:rPr>
        <w:t>Language.</w:t>
      </w:r>
      <w:r>
        <w:rPr/>
        <w:t xml:space="preserve"> Always "associated with". Importance scores say what the model uses, not what causes closure.</w:t>
      </w:r>
    </w:p>
    <w:p>
      <w:pPr>
        <w:pStyle w:val="ListBullet"/>
        <w:spacing w:after="40"/>
        <w:ind w:left="357" w:hanging="357"/>
      </w:pPr>
      <w:r>
        <w:rPr>
          <w:b/>
        </w:rPr>
        <w:t>Multiple testing.</w:t>
      </w:r>
      <w:r>
        <w:rPr/>
        <w:t xml:space="preserve"> Pre-specify confirmatory driver groups; control the rest with BH false-discovery-rate control and label them exploratory.</w:t>
      </w:r>
    </w:p>
    <w:p>
      <w:pPr>
        <w:pStyle w:val="ListBullet"/>
        <w:spacing w:after="40"/>
        <w:ind w:left="357" w:hanging="357"/>
      </w:pPr>
      <w:r>
        <w:rPr>
          <w:b/>
        </w:rPr>
        <w:t>Pitfalls.</w:t>
      </w:r>
      <w:r>
        <w:rPr/>
        <w:t xml:space="preserve"> Correlated features split importance; reverse causality (complaints follow disengagement); variables recorded after the decision to leave.</w:t>
      </w:r>
    </w:p>
    <w:p>
      <w:pPr>
        <w:pStyle w:val="ListBullet"/>
        <w:spacing w:after="40"/>
        <w:ind w:left="357" w:hanging="357"/>
      </w:pPr>
      <w:r>
        <w:rPr>
          <w:b/>
        </w:rPr>
        <w:t>Moving from association to levers.</w:t>
      </w:r>
      <w:r>
        <w:rPr/>
        <w:t xml:space="preserve"> For levers that can be changed, use a design that supports causal claims:</w:t>
      </w:r>
    </w:p>
    <w:p>
      <w:pPr>
        <w:pStyle w:val="ListBullet2"/>
        <w:spacing w:after="40"/>
        <w:ind w:left="714" w:hanging="357"/>
      </w:pPr>
      <w:r>
        <w:rPr>
          <w:i/>
        </w:rPr>
        <w:t>Annual-fee posting:</w:t>
      </w:r>
      <w:r>
        <w:rPr/>
        <w:t xml:space="preserve"> event-study or difference-in-differences around billing timing, if billing dates vary across customers for administrative reasons. Check that timing is not self-selected.</w:t>
      </w:r>
    </w:p>
    <w:p>
      <w:pPr>
        <w:pStyle w:val="ListBullet2"/>
        <w:spacing w:after="40"/>
        <w:ind w:left="714" w:hanging="357"/>
      </w:pPr>
      <w:r>
        <w:rPr>
          <w:i/>
        </w:rPr>
        <w:t>Reward changes or fee changes:</w:t>
      </w:r>
      <w:r>
        <w:rPr/>
        <w:t xml:space="preserve"> difference-in-differences with a comparison group if rollout varied by product. Test pre-trends.</w:t>
      </w:r>
    </w:p>
    <w:p>
      <w:pPr>
        <w:pStyle w:val="ListBullet2"/>
        <w:spacing w:after="40"/>
        <w:ind w:left="714" w:hanging="357"/>
      </w:pPr>
      <w:r>
        <w:rPr>
          <w:i/>
        </w:rPr>
        <w:t>Complaint resolution speed:</w:t>
      </w:r>
      <w:r>
        <w:rPr/>
        <w:t xml:space="preserve"> observational and confounded; report as association only.</w:t>
      </w:r>
    </w:p>
    <w:p>
      <w:pPr>
        <w:pStyle w:val="Heading3"/>
      </w:pPr>
      <w:r>
        <w:rPr/>
        <w:t>A3 — Do the retention offers work?</w:t>
      </w:r>
    </w:p>
    <w:p>
      <w:r>
        <w:rPr>
          <w:b/>
        </w:rPr>
        <w:t>Estimand.</w:t>
      </w:r>
      <w:r>
        <w:rPr/>
        <w:t xml:space="preserve"> For eligible high-risk customers, the effect of being assigned to (a) a call with a fee waiver or (b) a call with reward points, versus no call, on voluntary closure within 90 days (intention-to-treat, ITT). Secondary: effect among customers actually reached (complier effect, using assignment as instrument), with the caveat that it applies to reachable customers.</w:t>
      </w:r>
    </w:p>
    <w:p>
      <w:r>
        <w:rPr>
          <w:b/>
        </w:rPr>
        <w:t>Why not use history.</w:t>
      </w:r>
      <w:r>
        <w:rPr/>
        <w:t xml:space="preserve"> If past offers went to customers who phoned to cancel, or were chosen by agents, a naive comparison will make offers look ineffective or harmful (confounding by indication). A propensity-weighted or doubly robust analysis of past campaigns is allowed </w:t>
      </w:r>
      <w:r>
        <w:rPr>
          <w:b/>
        </w:rPr>
        <w:t>only as exploratory input</w:t>
      </w:r>
      <w:r>
        <w:rPr/>
        <w:t xml:space="preserve"> for sizing the pilot, and carries the assumption of no unmeasured confounding.</w:t>
      </w:r>
    </w:p>
    <w:p>
      <w:r>
        <w:rPr>
          <w:b/>
        </w:rPr>
        <w:t>Design (preferred): randomised controlled experiment embedded in the monthly campaign.</w:t>
      </w:r>
    </w:p>
    <w:tbl>
      <w:tblPr>
        <w:tblStyle w:val="TableGrid"/>
        <w:tblW w:type="auto" w:w="0"/>
        <w:jc w:val="center"/>
        <w:tblLayout w:type="fixed"/>
        <w:tblLook w:firstColumn="1" w:firstRow="1" w:lastColumn="0" w:lastRow="0" w:noHBand="0" w:noVBand="1" w:val="04A0"/>
        <w:tblLayout w:type="fixed"/>
      </w:tblPr>
      <w:tblGrid>
        <w:gridCol w:w="2746"/>
        <w:gridCol w:w="6892"/>
      </w:tblGrid>
      <w:tr>
        <w:trPr>
          <w:tblHeader w:val="true"/>
        </w:trPr>
        <w:tc>
          <w:tcPr>
            <w:tcW w:type="dxa" w:w="2746"/>
            <w:shd w:val="clear" w:color="auto" w:fill="1F3A5F"/>
          </w:tcPr>
          <w:p>
            <w:r/>
            <w:r>
              <w:rPr>
                <w:b/>
                <w:color w:val="FFFFFF"/>
                <w:sz w:val="19"/>
              </w:rPr>
              <w:t>Item</w:t>
            </w:r>
          </w:p>
        </w:tc>
        <w:tc>
          <w:tcPr>
            <w:tcW w:type="dxa" w:w="6892"/>
            <w:shd w:val="clear" w:color="auto" w:fill="1F3A5F"/>
          </w:tcPr>
          <w:p>
            <w:r/>
            <w:r>
              <w:rPr>
                <w:b/>
                <w:color w:val="FFFFFF"/>
                <w:sz w:val="19"/>
              </w:rPr>
              <w:t>Specification</w:t>
            </w:r>
          </w:p>
        </w:tc>
      </w:tr>
      <w:tr>
        <w:tc>
          <w:tcPr>
            <w:tcW w:type="dxa" w:w="2746"/>
          </w:tcPr>
          <w:p>
            <w:pPr>
              <w:spacing w:after="20"/>
            </w:pPr>
            <w:r/>
            <w:r>
              <w:rPr>
                <w:sz w:val="19"/>
              </w:rPr>
              <w:t>Eligible pool</w:t>
            </w:r>
          </w:p>
        </w:tc>
        <w:tc>
          <w:tcPr>
            <w:tcW w:type="dxa" w:w="6892"/>
          </w:tcPr>
          <w:p>
            <w:pPr>
              <w:spacing w:after="20"/>
            </w:pPr>
            <w:r/>
            <w:r>
              <w:rPr>
                <w:sz w:val="19"/>
              </w:rPr>
              <w:t>Top-ranked customers by the A1 model (pool size ≈ capacity plus control, set with the client) after suppression rules</w:t>
            </w:r>
          </w:p>
        </w:tc>
      </w:tr>
      <w:tr>
        <w:tc>
          <w:tcPr>
            <w:tcW w:type="dxa" w:w="2746"/>
            <w:shd w:val="clear" w:color="auto" w:fill="F2F5F9"/>
          </w:tcPr>
          <w:p>
            <w:pPr>
              <w:spacing w:after="20"/>
            </w:pPr>
            <w:r/>
            <w:r>
              <w:rPr>
                <w:sz w:val="19"/>
              </w:rPr>
              <w:t>Randomisation unit</w:t>
            </w:r>
          </w:p>
        </w:tc>
        <w:tc>
          <w:tcPr>
            <w:tcW w:type="dxa" w:w="6892"/>
            <w:shd w:val="clear" w:color="auto" w:fill="F2F5F9"/>
          </w:tcPr>
          <w:p>
            <w:pPr>
              <w:spacing w:after="20"/>
            </w:pPr>
            <w:r/>
            <w:r>
              <w:rPr>
                <w:sz w:val="19"/>
              </w:rPr>
              <w:t>Customer, stratified by risk decile, tenure band and product</w:t>
            </w:r>
          </w:p>
        </w:tc>
      </w:tr>
      <w:tr>
        <w:tc>
          <w:tcPr>
            <w:tcW w:type="dxa" w:w="2746"/>
          </w:tcPr>
          <w:p>
            <w:pPr>
              <w:spacing w:after="20"/>
            </w:pPr>
            <w:r/>
            <w:r>
              <w:rPr>
                <w:sz w:val="19"/>
              </w:rPr>
              <w:t>Arms</w:t>
            </w:r>
          </w:p>
        </w:tc>
        <w:tc>
          <w:tcPr>
            <w:tcW w:type="dxa" w:w="6892"/>
          </w:tcPr>
          <w:p>
            <w:pPr>
              <w:spacing w:after="20"/>
            </w:pPr>
            <w:r/>
            <w:r>
              <w:rPr>
                <w:sz w:val="19"/>
              </w:rPr>
              <w:t>Control (no call); call + fee waiver; call + reward points. Optional: call without an offer, to separate call effect from offer effect</w:t>
            </w:r>
          </w:p>
        </w:tc>
      </w:tr>
      <w:tr>
        <w:tc>
          <w:tcPr>
            <w:tcW w:type="dxa" w:w="2746"/>
            <w:shd w:val="clear" w:color="auto" w:fill="F2F5F9"/>
          </w:tcPr>
          <w:p>
            <w:pPr>
              <w:spacing w:after="20"/>
            </w:pPr>
            <w:r/>
            <w:r>
              <w:rPr>
                <w:sz w:val="19"/>
              </w:rPr>
              <w:t>Enrolment</w:t>
            </w:r>
          </w:p>
        </w:tc>
        <w:tc>
          <w:tcPr>
            <w:tcW w:type="dxa" w:w="6892"/>
            <w:shd w:val="clear" w:color="auto" w:fill="F2F5F9"/>
          </w:tcPr>
          <w:p>
            <w:pPr>
              <w:spacing w:after="20"/>
            </w:pPr>
            <w:r/>
            <w:r>
              <w:rPr>
                <w:b/>
                <w:sz w:val="19"/>
              </w:rPr>
              <w:t>Once per customer within a 90-day outcome window</w:t>
            </w:r>
            <w:r>
              <w:rPr>
                <w:sz w:val="19"/>
              </w:rPr>
              <w:t>: a customer enrolled in one wave is ineligible for later waves until their 90-day outcome is observed, so waves do not overlap and the contact cap (§17) is respected.</w:t>
            </w:r>
          </w:p>
        </w:tc>
      </w:tr>
      <w:tr>
        <w:tc>
          <w:tcPr>
            <w:tcW w:type="dxa" w:w="2746"/>
          </w:tcPr>
          <w:p>
            <w:pPr>
              <w:spacing w:after="20"/>
            </w:pPr>
            <w:r/>
            <w:r>
              <w:rPr>
                <w:sz w:val="19"/>
              </w:rPr>
              <w:t>Allocation</w:t>
            </w:r>
          </w:p>
        </w:tc>
        <w:tc>
          <w:tcPr>
            <w:tcW w:type="dxa" w:w="6892"/>
          </w:tcPr>
          <w:p>
            <w:pPr>
              <w:spacing w:after="20"/>
            </w:pPr>
            <w:r/>
            <w:r>
              <w:rPr>
                <w:sz w:val="19"/>
              </w:rPr>
              <w:t>Illustrative only: a pool of ~25,000 per month with ~10,000 per offer arm and ~5,000 control, so calls stay within the 20,000 capacity. Final sizes follow from the power grid below and the client's tolerance for an uncalled control.</w:t>
            </w:r>
          </w:p>
        </w:tc>
      </w:tr>
      <w:tr>
        <w:tc>
          <w:tcPr>
            <w:tcW w:type="dxa" w:w="2746"/>
            <w:shd w:val="clear" w:color="auto" w:fill="F2F5F9"/>
          </w:tcPr>
          <w:p>
            <w:pPr>
              <w:spacing w:after="20"/>
            </w:pPr>
            <w:r/>
            <w:r>
              <w:rPr>
                <w:sz w:val="19"/>
              </w:rPr>
              <w:t>Exploration</w:t>
            </w:r>
          </w:p>
        </w:tc>
        <w:tc>
          <w:tcPr>
            <w:tcW w:type="dxa" w:w="6892"/>
            <w:shd w:val="clear" w:color="auto" w:fill="F2F5F9"/>
          </w:tcPr>
          <w:p>
            <w:pPr>
              <w:spacing w:after="20"/>
            </w:pPr>
            <w:r/>
            <w:r>
              <w:rPr>
                <w:sz w:val="19"/>
              </w:rPr>
              <w:t>A small random slice (e.g., ~5% of calls) from lower-risk bands to learn uplift across the risk range, subject to client agreement</w:t>
            </w:r>
          </w:p>
        </w:tc>
      </w:tr>
      <w:tr>
        <w:tc>
          <w:tcPr>
            <w:tcW w:type="dxa" w:w="2746"/>
          </w:tcPr>
          <w:p>
            <w:pPr>
              <w:spacing w:after="20"/>
            </w:pPr>
            <w:r/>
            <w:r>
              <w:rPr>
                <w:sz w:val="19"/>
              </w:rPr>
              <w:t>Primary outcome</w:t>
            </w:r>
          </w:p>
        </w:tc>
        <w:tc>
          <w:tcPr>
            <w:tcW w:type="dxa" w:w="6892"/>
          </w:tcPr>
          <w:p>
            <w:pPr>
              <w:spacing w:after="20"/>
            </w:pPr>
            <w:r/>
            <w:r>
              <w:rPr>
                <w:sz w:val="19"/>
              </w:rPr>
              <w:t>Voluntary closure within 90 days of assignment</w:t>
            </w:r>
          </w:p>
        </w:tc>
      </w:tr>
      <w:tr>
        <w:tc>
          <w:tcPr>
            <w:tcW w:type="dxa" w:w="2746"/>
            <w:shd w:val="clear" w:color="auto" w:fill="F2F5F9"/>
          </w:tcPr>
          <w:p>
            <w:pPr>
              <w:spacing w:after="20"/>
            </w:pPr>
            <w:r/>
            <w:r>
              <w:rPr>
                <w:sz w:val="19"/>
              </w:rPr>
              <w:t>Secondary outcomes</w:t>
            </w:r>
          </w:p>
        </w:tc>
        <w:tc>
          <w:tcPr>
            <w:tcW w:type="dxa" w:w="6892"/>
            <w:shd w:val="clear" w:color="auto" w:fill="F2F5F9"/>
          </w:tcPr>
          <w:p>
            <w:pPr>
              <w:spacing w:after="20"/>
            </w:pPr>
            <w:r/>
            <w:r>
              <w:rPr>
                <w:sz w:val="19"/>
              </w:rPr>
              <w:t>180- and 365-day closure (for delayed churn when a waiver expires), spend, revolving balance, margin, offer cost, offer take-up</w:t>
            </w:r>
          </w:p>
        </w:tc>
      </w:tr>
      <w:tr>
        <w:tc>
          <w:tcPr>
            <w:tcW w:type="dxa" w:w="2746"/>
          </w:tcPr>
          <w:p>
            <w:pPr>
              <w:spacing w:after="20"/>
            </w:pPr>
            <w:r/>
            <w:r>
              <w:rPr>
                <w:sz w:val="19"/>
              </w:rPr>
              <w:t>Guardrails</w:t>
            </w:r>
          </w:p>
        </w:tc>
        <w:tc>
          <w:tcPr>
            <w:tcW w:type="dxa" w:w="6892"/>
          </w:tcPr>
          <w:p>
            <w:pPr>
              <w:spacing w:after="20"/>
            </w:pPr>
            <w:r/>
            <w:r>
              <w:rPr>
                <w:sz w:val="19"/>
              </w:rPr>
              <w:t>Complaints, opt-outs, customer-experience scores, offer-cost overrun, contactability</w:t>
            </w:r>
          </w:p>
        </w:tc>
      </w:tr>
      <w:tr>
        <w:tc>
          <w:tcPr>
            <w:tcW w:type="dxa" w:w="2746"/>
            <w:shd w:val="clear" w:color="auto" w:fill="F2F5F9"/>
          </w:tcPr>
          <w:p>
            <w:pPr>
              <w:spacing w:after="20"/>
            </w:pPr>
            <w:r/>
            <w:r>
              <w:rPr>
                <w:sz w:val="19"/>
              </w:rPr>
              <w:t>Integrity checks</w:t>
            </w:r>
          </w:p>
        </w:tc>
        <w:tc>
          <w:tcPr>
            <w:tcW w:type="dxa" w:w="6892"/>
            <w:shd w:val="clear" w:color="auto" w:fill="F2F5F9"/>
          </w:tcPr>
          <w:p>
            <w:pPr>
              <w:spacing w:after="20"/>
            </w:pPr>
            <w:r/>
            <w:r>
              <w:rPr>
                <w:sz w:val="19"/>
              </w:rPr>
              <w:t>Sample-ratio mismatch check, covariate balance table, call-log compliance (agents calling control customers), contamination</w:t>
            </w:r>
          </w:p>
        </w:tc>
      </w:tr>
      <w:tr>
        <w:tc>
          <w:tcPr>
            <w:tcW w:type="dxa" w:w="2746"/>
          </w:tcPr>
          <w:p>
            <w:pPr>
              <w:spacing w:after="20"/>
            </w:pPr>
            <w:r/>
            <w:r>
              <w:rPr>
                <w:sz w:val="19"/>
              </w:rPr>
              <w:t>Interim looks and stopping</w:t>
            </w:r>
          </w:p>
        </w:tc>
        <w:tc>
          <w:tcPr>
            <w:tcW w:type="dxa" w:w="6892"/>
          </w:tcPr>
          <w:p>
            <w:pPr>
              <w:spacing w:after="20"/>
            </w:pPr>
            <w:r/>
            <w:r>
              <w:rPr>
                <w:sz w:val="19"/>
              </w:rPr>
              <w:t>Pre-registered: one interim look after wave 2 outcomes using a conservative alpha-spending boundary (O'Brien–Fleming type). Stop an arm early for harm if a guardrail (complaints, opt-outs, cost per retained card) breaches its agreed limit. No other early stopping.</w:t>
            </w:r>
          </w:p>
        </w:tc>
      </w:tr>
      <w:tr>
        <w:tc>
          <w:tcPr>
            <w:tcW w:type="dxa" w:w="2746"/>
            <w:shd w:val="clear" w:color="auto" w:fill="F2F5F9"/>
          </w:tcPr>
          <w:p>
            <w:pPr>
              <w:spacing w:after="20"/>
            </w:pPr>
            <w:r/>
            <w:r>
              <w:rPr>
                <w:sz w:val="19"/>
              </w:rPr>
              <w:t>Analysis</w:t>
            </w:r>
          </w:p>
        </w:tc>
        <w:tc>
          <w:tcPr>
            <w:tcW w:type="dxa" w:w="6892"/>
            <w:shd w:val="clear" w:color="auto" w:fill="F2F5F9"/>
          </w:tcPr>
          <w:p>
            <w:pPr>
              <w:spacing w:after="20"/>
            </w:pPr>
            <w:r/>
            <w:r>
              <w:rPr>
                <w:sz w:val="19"/>
              </w:rPr>
              <w:t>ITT difference in closure rates with 95% CI; risk ratio; adjusted estimate (pre-specified covariates) as precision gain; per-reached effect via assignment as instrument; net value per customer</w:t>
            </w:r>
          </w:p>
        </w:tc>
      </w:tr>
      <w:tr>
        <w:tc>
          <w:tcPr>
            <w:tcW w:type="dxa" w:w="2746"/>
          </w:tcPr>
          <w:p>
            <w:pPr>
              <w:spacing w:after="20"/>
            </w:pPr>
            <w:r/>
            <w:r>
              <w:rPr>
                <w:sz w:val="19"/>
              </w:rPr>
              <w:t>Heterogeneity</w:t>
            </w:r>
          </w:p>
        </w:tc>
        <w:tc>
          <w:tcPr>
            <w:tcW w:type="dxa" w:w="6892"/>
          </w:tcPr>
          <w:p>
            <w:pPr>
              <w:spacing w:after="20"/>
            </w:pPr>
            <w:r/>
            <w:r>
              <w:rPr>
                <w:sz w:val="19"/>
              </w:rPr>
              <w:t>Pre-specified subgroups (risk tier, tenure, spend, revolver vs transactor), then uplift modelling on the pooled data</w:t>
            </w:r>
          </w:p>
        </w:tc>
      </w:tr>
      <w:tr>
        <w:tc>
          <w:tcPr>
            <w:tcW w:type="dxa" w:w="2746"/>
            <w:shd w:val="clear" w:color="auto" w:fill="F2F5F9"/>
          </w:tcPr>
          <w:p>
            <w:pPr>
              <w:spacing w:after="20"/>
            </w:pPr>
            <w:r/>
            <w:r>
              <w:rPr>
                <w:sz w:val="19"/>
              </w:rPr>
              <w:t>Pre-registration</w:t>
            </w:r>
          </w:p>
        </w:tc>
        <w:tc>
          <w:tcPr>
            <w:tcW w:type="dxa" w:w="6892"/>
            <w:shd w:val="clear" w:color="auto" w:fill="F2F5F9"/>
          </w:tcPr>
          <w:p>
            <w:pPr>
              <w:spacing w:after="20"/>
            </w:pPr>
            <w:r/>
            <w:r>
              <w:rPr>
                <w:sz w:val="19"/>
              </w:rPr>
              <w:t>Written analysis plan, hypotheses and stopping rule before launch</w:t>
            </w:r>
          </w:p>
        </w:tc>
      </w:tr>
      <w:tr>
        <w:tc>
          <w:tcPr>
            <w:tcW w:type="dxa" w:w="2746"/>
          </w:tcPr>
          <w:p>
            <w:pPr>
              <w:spacing w:after="20"/>
            </w:pPr>
            <w:r/>
            <w:r>
              <w:rPr>
                <w:sz w:val="19"/>
              </w:rPr>
              <w:t>Multiplicity</w:t>
            </w:r>
          </w:p>
        </w:tc>
        <w:tc>
          <w:tcPr>
            <w:tcW w:type="dxa" w:w="6892"/>
          </w:tcPr>
          <w:p>
            <w:pPr>
              <w:spacing w:after="20"/>
            </w:pPr>
            <w:r/>
            <w:r>
              <w:rPr>
                <w:sz w:val="19"/>
              </w:rPr>
              <w:t>Two primary comparisons (each offer vs control) with Holm correction; offer-vs-offer and subgroups are secondary or exploratory</w:t>
            </w:r>
          </w:p>
        </w:tc>
      </w:tr>
      <w:tr>
        <w:tc>
          <w:tcPr>
            <w:tcW w:type="dxa" w:w="2746"/>
            <w:shd w:val="clear" w:color="auto" w:fill="F2F5F9"/>
          </w:tcPr>
          <w:p>
            <w:pPr>
              <w:spacing w:after="20"/>
            </w:pPr>
            <w:r/>
            <w:r>
              <w:rPr>
                <w:sz w:val="19"/>
              </w:rPr>
              <w:t>Duration</w:t>
            </w:r>
          </w:p>
        </w:tc>
        <w:tc>
          <w:tcPr>
            <w:tcW w:type="dxa" w:w="6892"/>
            <w:shd w:val="clear" w:color="auto" w:fill="F2F5F9"/>
          </w:tcPr>
          <w:p>
            <w:pPr>
              <w:spacing w:after="20"/>
            </w:pPr>
            <w:r/>
            <w:r>
              <w:rPr>
                <w:sz w:val="19"/>
              </w:rPr>
              <w:t>Three monthly waves, each followed for 90 days (primary) and up to 12 months (secondary). Primary readout about 6 months after launch; full follow-up about 15 months.</w:t>
            </w:r>
          </w:p>
        </w:tc>
      </w:tr>
      <w:tr>
        <w:tc>
          <w:tcPr>
            <w:tcW w:type="dxa" w:w="2746"/>
          </w:tcPr>
          <w:p>
            <w:pPr>
              <w:spacing w:after="20"/>
            </w:pPr>
            <w:r/>
            <w:r>
              <w:rPr>
                <w:sz w:val="19"/>
              </w:rPr>
              <w:t>Ongoing</w:t>
            </w:r>
          </w:p>
        </w:tc>
        <w:tc>
          <w:tcPr>
            <w:tcW w:type="dxa" w:w="6892"/>
          </w:tcPr>
          <w:p>
            <w:pPr>
              <w:spacing w:after="20"/>
            </w:pPr>
            <w:r/>
            <w:r>
              <w:rPr>
                <w:sz w:val="19"/>
              </w:rPr>
              <w:t>After the pilot, keep a permanent random holdout (small, e.g., 2–5%, size set with the client) to track incremental impact</w:t>
            </w:r>
          </w:p>
        </w:tc>
      </w:tr>
    </w:tbl>
    <w:p>
      <w:pPr>
        <w:spacing w:after="40"/>
      </w:pPr>
    </w:p>
    <w:p>
      <w:r>
        <w:rPr>
          <w:b/>
        </w:rPr>
        <w:t>Power / minimum detectable effect (ILLUSTRATIVE; every input is an assumption, not client data).</w:t>
      </w:r>
    </w:p>
    <w:p>
      <w:r>
        <w:rPr/>
        <w:t xml:space="preserve">Formula for a two-proportion comparison: MDE ≈ (z₁₋α/₂ + z₁₋β) × √(p(1−p)(1/n_arm + 1/n_ctrl)), with 80% power and α = 0.025 per comparison after Holm (z ≈ 2.24 + 0.84). Two unknown inputs drive the result: the control closure rate p in the pool, and the </w:t>
      </w:r>
      <w:r>
        <w:rPr>
          <w:b/>
        </w:rPr>
        <w:t>contact rate c</w:t>
      </w:r>
      <w:r>
        <w:rPr/>
        <w:t xml:space="preserve"> (the share of assigned customers actually reached). The ITT effect is diluted by c, so the smallest detectable effect among reached customers is the ITT MDE divided by c.</w:t>
      </w:r>
    </w:p>
    <w:p>
      <w:r>
        <w:rPr/>
        <w:t>Sensitivity grid for three pooled waves (30,000 per offer arm, 15,000 control; a single wave has an MDE about 1.7 times larger):</w:t>
      </w:r>
    </w:p>
    <w:tbl>
      <w:tblPr>
        <w:tblStyle w:val="TableGrid"/>
        <w:tblW w:type="auto" w:w="0"/>
        <w:jc w:val="center"/>
        <w:tblLayout w:type="fixed"/>
        <w:tblLook w:firstColumn="1" w:firstRow="1" w:lastColumn="0" w:lastRow="0" w:noHBand="0" w:noVBand="1" w:val="04A0"/>
        <w:tblLayout w:type="fixed"/>
      </w:tblPr>
      <w:tblGrid>
        <w:gridCol w:w="2417"/>
        <w:gridCol w:w="1752"/>
        <w:gridCol w:w="3716"/>
        <w:gridCol w:w="1752"/>
      </w:tblGrid>
      <w:tr>
        <w:trPr>
          <w:tblHeader w:val="true"/>
        </w:trPr>
        <w:tc>
          <w:tcPr>
            <w:tcW w:type="dxa" w:w="2417"/>
            <w:shd w:val="clear" w:color="auto" w:fill="1F3A5F"/>
          </w:tcPr>
          <w:p>
            <w:r/>
            <w:r>
              <w:rPr>
                <w:b/>
                <w:color w:val="FFFFFF"/>
                <w:sz w:val="19"/>
              </w:rPr>
              <w:t>Control closure rate p</w:t>
            </w:r>
          </w:p>
        </w:tc>
        <w:tc>
          <w:tcPr>
            <w:tcW w:type="dxa" w:w="1752"/>
            <w:shd w:val="clear" w:color="auto" w:fill="1F3A5F"/>
          </w:tcPr>
          <w:p>
            <w:r/>
            <w:r>
              <w:rPr>
                <w:b/>
                <w:color w:val="FFFFFF"/>
                <w:sz w:val="19"/>
              </w:rPr>
              <w:t>ITT MDE (pp)</w:t>
            </w:r>
          </w:p>
        </w:tc>
        <w:tc>
          <w:tcPr>
            <w:tcW w:type="dxa" w:w="3716"/>
            <w:shd w:val="clear" w:color="auto" w:fill="1F3A5F"/>
          </w:tcPr>
          <w:p>
            <w:r/>
            <w:r>
              <w:rPr>
                <w:b/>
                <w:color w:val="FFFFFF"/>
                <w:sz w:val="19"/>
              </w:rPr>
              <w:t>Smallest detectable effect among reached customers, c = 60% (pp)</w:t>
            </w:r>
          </w:p>
        </w:tc>
        <w:tc>
          <w:tcPr>
            <w:tcW w:type="dxa" w:w="1752"/>
            <w:shd w:val="clear" w:color="auto" w:fill="1F3A5F"/>
          </w:tcPr>
          <w:p>
            <w:r/>
            <w:r>
              <w:rPr>
                <w:b/>
                <w:color w:val="FFFFFF"/>
                <w:sz w:val="19"/>
              </w:rPr>
              <w:t>c = 40% (pp)</w:t>
            </w:r>
          </w:p>
        </w:tc>
      </w:tr>
      <w:tr>
        <w:tc>
          <w:tcPr>
            <w:tcW w:type="dxa" w:w="2417"/>
          </w:tcPr>
          <w:p>
            <w:pPr>
              <w:spacing w:after="20"/>
            </w:pPr>
            <w:r/>
            <w:r>
              <w:rPr>
                <w:sz w:val="19"/>
              </w:rPr>
              <w:t>8%</w:t>
            </w:r>
          </w:p>
        </w:tc>
        <w:tc>
          <w:tcPr>
            <w:tcW w:type="dxa" w:w="1752"/>
          </w:tcPr>
          <w:p>
            <w:pPr>
              <w:spacing w:after="20"/>
            </w:pPr>
            <w:r/>
            <w:r>
              <w:rPr>
                <w:sz w:val="19"/>
              </w:rPr>
              <w:t>≈ 0.8</w:t>
            </w:r>
          </w:p>
        </w:tc>
        <w:tc>
          <w:tcPr>
            <w:tcW w:type="dxa" w:w="3716"/>
          </w:tcPr>
          <w:p>
            <w:pPr>
              <w:spacing w:after="20"/>
            </w:pPr>
            <w:r/>
            <w:r>
              <w:rPr>
                <w:sz w:val="19"/>
              </w:rPr>
              <w:t>≈ 1.3</w:t>
            </w:r>
          </w:p>
        </w:tc>
        <w:tc>
          <w:tcPr>
            <w:tcW w:type="dxa" w:w="1752"/>
          </w:tcPr>
          <w:p>
            <w:pPr>
              <w:spacing w:after="20"/>
            </w:pPr>
            <w:r/>
            <w:r>
              <w:rPr>
                <w:sz w:val="19"/>
              </w:rPr>
              <w:t>≈ 1.9</w:t>
            </w:r>
          </w:p>
        </w:tc>
      </w:tr>
      <w:tr>
        <w:tc>
          <w:tcPr>
            <w:tcW w:type="dxa" w:w="2417"/>
            <w:shd w:val="clear" w:color="auto" w:fill="F2F5F9"/>
          </w:tcPr>
          <w:p>
            <w:pPr>
              <w:spacing w:after="20"/>
            </w:pPr>
            <w:r/>
            <w:r>
              <w:rPr>
                <w:sz w:val="19"/>
              </w:rPr>
              <w:t>15%</w:t>
            </w:r>
          </w:p>
        </w:tc>
        <w:tc>
          <w:tcPr>
            <w:tcW w:type="dxa" w:w="1752"/>
            <w:shd w:val="clear" w:color="auto" w:fill="F2F5F9"/>
          </w:tcPr>
          <w:p>
            <w:pPr>
              <w:spacing w:after="20"/>
            </w:pPr>
            <w:r/>
            <w:r>
              <w:rPr>
                <w:sz w:val="19"/>
              </w:rPr>
              <w:t>≈ 1.1</w:t>
            </w:r>
          </w:p>
        </w:tc>
        <w:tc>
          <w:tcPr>
            <w:tcW w:type="dxa" w:w="3716"/>
            <w:shd w:val="clear" w:color="auto" w:fill="F2F5F9"/>
          </w:tcPr>
          <w:p>
            <w:pPr>
              <w:spacing w:after="20"/>
            </w:pPr>
            <w:r/>
            <w:r>
              <w:rPr>
                <w:sz w:val="19"/>
              </w:rPr>
              <w:t>≈ 1.8</w:t>
            </w:r>
          </w:p>
        </w:tc>
        <w:tc>
          <w:tcPr>
            <w:tcW w:type="dxa" w:w="1752"/>
            <w:shd w:val="clear" w:color="auto" w:fill="F2F5F9"/>
          </w:tcPr>
          <w:p>
            <w:pPr>
              <w:spacing w:after="20"/>
            </w:pPr>
            <w:r/>
            <w:r>
              <w:rPr>
                <w:sz w:val="19"/>
              </w:rPr>
              <w:t>≈ 2.7</w:t>
            </w:r>
          </w:p>
        </w:tc>
      </w:tr>
      <w:tr>
        <w:tc>
          <w:tcPr>
            <w:tcW w:type="dxa" w:w="2417"/>
          </w:tcPr>
          <w:p>
            <w:pPr>
              <w:spacing w:after="20"/>
            </w:pPr>
            <w:r/>
            <w:r>
              <w:rPr>
                <w:sz w:val="19"/>
              </w:rPr>
              <w:t>25%</w:t>
            </w:r>
          </w:p>
        </w:tc>
        <w:tc>
          <w:tcPr>
            <w:tcW w:type="dxa" w:w="1752"/>
          </w:tcPr>
          <w:p>
            <w:pPr>
              <w:spacing w:after="20"/>
            </w:pPr>
            <w:r/>
            <w:r>
              <w:rPr>
                <w:sz w:val="19"/>
              </w:rPr>
              <w:t>≈ 1.4</w:t>
            </w:r>
          </w:p>
        </w:tc>
        <w:tc>
          <w:tcPr>
            <w:tcW w:type="dxa" w:w="3716"/>
          </w:tcPr>
          <w:p>
            <w:pPr>
              <w:spacing w:after="20"/>
            </w:pPr>
            <w:r/>
            <w:r>
              <w:rPr>
                <w:sz w:val="19"/>
              </w:rPr>
              <w:t>≈ 2.3</w:t>
            </w:r>
          </w:p>
        </w:tc>
        <w:tc>
          <w:tcPr>
            <w:tcW w:type="dxa" w:w="1752"/>
          </w:tcPr>
          <w:p>
            <w:pPr>
              <w:spacing w:after="20"/>
            </w:pPr>
            <w:r/>
            <w:r>
              <w:rPr>
                <w:sz w:val="19"/>
              </w:rPr>
              <w:t>≈ 3.5</w:t>
            </w:r>
          </w:p>
        </w:tc>
      </w:tr>
    </w:tbl>
    <w:p>
      <w:pPr>
        <w:spacing w:after="40"/>
      </w:pPr>
    </w:p>
    <w:p>
      <w:r>
        <w:rPr/>
        <w:t>Recompute with the real p and c once known. Compare the MDE with the smallest effect that makes the offer profitable (offer cost and margin, Q8). If the profitable effect is below the MDE, the pilot will be inconclusive for that arm and the design should be revised before launch (more waves, fewer arms, or a larger pool). Analyses are clustered by customer as a safeguard.</w:t>
      </w:r>
    </w:p>
    <w:p>
      <w:r>
        <w:rPr>
          <w:b/>
        </w:rPr>
        <w:t>Threats and what this design can and cannot identify.</w:t>
      </w:r>
    </w:p>
    <w:p>
      <w:pPr>
        <w:pStyle w:val="ListBullet"/>
        <w:spacing w:after="40"/>
        <w:ind w:left="357" w:hanging="357"/>
      </w:pPr>
      <w:r>
        <w:rPr/>
        <w:t xml:space="preserve">Identifies the average effect of the </w:t>
      </w:r>
      <w:r>
        <w:rPr>
          <w:i/>
        </w:rPr>
        <w:t>assigned</w:t>
      </w:r>
      <w:r>
        <w:rPr/>
        <w:t xml:space="preserve"> offers in the </w:t>
      </w:r>
      <w:r>
        <w:rPr>
          <w:i/>
        </w:rPr>
        <w:t>high-risk pool</w:t>
      </w:r>
      <w:r>
        <w:rPr/>
        <w:t xml:space="preserve">, in the </w:t>
      </w:r>
      <w:r>
        <w:rPr>
          <w:i/>
        </w:rPr>
        <w:t>tested period and call script</w:t>
      </w:r>
      <w:r>
        <w:rPr/>
        <w:t>. Does not identify the effect for low-risk customers (except the exploration slice), the effect of other offers, long-run effects beyond follow-up, or the effect when scaled to different capacity.</w:t>
      </w:r>
    </w:p>
    <w:p>
      <w:pPr>
        <w:pStyle w:val="ListBullet"/>
        <w:spacing w:after="40"/>
        <w:ind w:left="357" w:hanging="357"/>
      </w:pPr>
      <w:r>
        <w:rPr/>
        <w:t>Control customers are at risk and receive no call, so there is a commercial and customer-fairness cost to the control group. Size it as small as power allows, and get approval (Q5).</w:t>
      </w:r>
    </w:p>
    <w:p>
      <w:pPr>
        <w:pStyle w:val="ListBullet"/>
        <w:spacing w:after="40"/>
        <w:ind w:left="357" w:hanging="357"/>
      </w:pPr>
      <w:r>
        <w:rPr/>
        <w:t>Spillover is limited because customers are independent, but household members and social effects may exist.</w:t>
      </w:r>
    </w:p>
    <w:p>
      <w:pPr>
        <w:pStyle w:val="ListBullet"/>
        <w:spacing w:after="40"/>
        <w:ind w:left="357" w:hanging="357"/>
      </w:pPr>
      <w:r>
        <w:rPr/>
        <w:t>Fee waivers can postpone rather than prevent churn; hence the 12-month follow-up.</w:t>
      </w:r>
    </w:p>
    <w:p>
      <w:pPr>
        <w:pStyle w:val="ListBullet"/>
        <w:spacing w:after="40"/>
        <w:ind w:left="357" w:hanging="357"/>
      </w:pPr>
      <w:r>
        <w:rPr/>
        <w:t>If randomisation is refused, fall back to a regression-discontinuity design only if a risk-score cut-off already drives who is called (check for manipulation and continuity), or to an observational AIPW analysis with sensitivity analysis (E-value) and the label "exploratory — association".</w:t>
      </w:r>
    </w:p>
    <w:p>
      <w:r>
        <w:rPr>
          <w:b/>
        </w:rPr>
        <w:t>Uplift modelling (follow-on).</w:t>
      </w:r>
      <w:r>
        <w:rPr/>
        <w:t xml:space="preserve"> Train on the pooled randomised data. Evaluate on held-out randomised data using Qini / uplift-by-decile curves. Adopt for targeting only if it beats risk-ranking on incremental retained margin in a second randomised wave.</w:t>
      </w:r>
    </w:p>
    <w:p>
      <w:pPr>
        <w:pStyle w:val="Heading2"/>
      </w:pPr>
      <w:r>
        <w:rPr/>
        <w:t>15. Robustness &amp; Sensitivity Tests</w:t>
      </w:r>
    </w:p>
    <w:p>
      <w:pPr>
        <w:pStyle w:val="ListBullet"/>
        <w:spacing w:after="40"/>
        <w:ind w:left="357" w:hanging="357"/>
      </w:pPr>
      <w:r>
        <w:rPr>
          <w:b/>
        </w:rPr>
        <w:t>Time slices.</w:t>
      </w:r>
      <w:r>
        <w:rPr/>
        <w:t xml:space="preserve"> Performance by month and quarter, including seasonal peaks and any policy-change period.</w:t>
      </w:r>
    </w:p>
    <w:p>
      <w:pPr>
        <w:pStyle w:val="ListBullet"/>
        <w:spacing w:after="40"/>
        <w:ind w:left="357" w:hanging="357"/>
      </w:pPr>
      <w:r>
        <w:rPr>
          <w:b/>
        </w:rPr>
        <w:t>Segments.</w:t>
      </w:r>
      <w:r>
        <w:rPr/>
        <w:t xml:space="preserve"> Product, tenure band, spend tier, city tier, channel, and new vs mature customers.</w:t>
      </w:r>
    </w:p>
    <w:p>
      <w:pPr>
        <w:pStyle w:val="ListBullet"/>
        <w:spacing w:after="40"/>
        <w:ind w:left="357" w:hanging="357"/>
      </w:pPr>
      <w:r>
        <w:rPr>
          <w:b/>
        </w:rPr>
        <w:t>Label sensitivity.</w:t>
      </w:r>
      <w:r>
        <w:rPr/>
        <w:t xml:space="preserve"> Different closure definitions (including or excluding product migrations), 2- and 4-month horizons, and minimum lead time (Q7).</w:t>
      </w:r>
    </w:p>
    <w:p>
      <w:pPr>
        <w:pStyle w:val="ListBullet"/>
        <w:spacing w:after="40"/>
        <w:ind w:left="357" w:hanging="357"/>
      </w:pPr>
      <w:r>
        <w:rPr>
          <w:b/>
        </w:rPr>
        <w:t>Feature-availability stress.</w:t>
      </w:r>
      <w:r>
        <w:rPr/>
        <w:t xml:space="preserve"> Delay key feeds by one cycle to simulate late data.</w:t>
      </w:r>
    </w:p>
    <w:p>
      <w:pPr>
        <w:pStyle w:val="ListBullet"/>
        <w:spacing w:after="40"/>
        <w:ind w:left="357" w:hanging="357"/>
      </w:pPr>
      <w:r>
        <w:rPr>
          <w:b/>
        </w:rPr>
        <w:t>Label-maturity simulation.</w:t>
      </w:r>
      <w:r>
        <w:rPr/>
        <w:t xml:space="preserve"> Evaluate as if only the labels available at deployment time were known.</w:t>
      </w:r>
    </w:p>
    <w:p>
      <w:pPr>
        <w:pStyle w:val="ListBullet"/>
        <w:spacing w:after="40"/>
        <w:ind w:left="357" w:hanging="357"/>
      </w:pPr>
      <w:r>
        <w:rPr>
          <w:b/>
        </w:rPr>
        <w:t>Target-shuffle and adversarial validation.</w:t>
      </w:r>
      <w:r>
        <w:rPr/>
        <w:t xml:space="preserve"> Check for leakage and for shift between train and the latest period.</w:t>
      </w:r>
    </w:p>
    <w:p>
      <w:pPr>
        <w:pStyle w:val="ListBullet"/>
        <w:spacing w:after="40"/>
        <w:ind w:left="357" w:hanging="357"/>
      </w:pPr>
      <w:r>
        <w:rPr>
          <w:b/>
        </w:rPr>
        <w:t>Experiment sensitivity.</w:t>
      </w:r>
      <w:r>
        <w:rPr/>
        <w:t xml:space="preserve"> Re-estimate A3 with and without covariate adjustment, trimmed outliers, and per-protocol vs ITT.</w:t>
      </w:r>
    </w:p>
    <w:p>
      <w:pPr>
        <w:pStyle w:val="Heading2"/>
      </w:pPr>
      <w:r>
        <w:rPr/>
        <w:t>16. Interpretability &amp; Uncertainty</w:t>
      </w:r>
    </w:p>
    <w:p>
      <w:pPr>
        <w:pStyle w:val="ListBullet"/>
        <w:spacing w:after="40"/>
        <w:ind w:left="357" w:hanging="357"/>
      </w:pPr>
      <w:r>
        <w:rPr>
          <w:b/>
        </w:rPr>
        <w:t>Global.</w:t>
      </w:r>
      <w:r>
        <w:rPr/>
        <w:t xml:space="preserve"> Coefficients of the logistic reference model; SHAP summary and grouped importance for the GBM. Describe as model behaviour and association.</w:t>
      </w:r>
    </w:p>
    <w:p>
      <w:pPr>
        <w:pStyle w:val="ListBullet"/>
        <w:spacing w:after="40"/>
        <w:ind w:left="357" w:hanging="357"/>
      </w:pPr>
      <w:r>
        <w:rPr>
          <w:b/>
        </w:rPr>
        <w:t>Local.</w:t>
      </w:r>
      <w:r>
        <w:rPr/>
        <w:t xml:space="preserve"> Top 3–5 contributing factors per customer as agent-facing "reason codes" in plain language (e.g., spend decline, unresolved complaint, annual fee due). Reasons are cues for a conversation, not stated causes.</w:t>
      </w:r>
    </w:p>
    <w:p>
      <w:pPr>
        <w:pStyle w:val="ListBullet"/>
        <w:spacing w:after="40"/>
        <w:ind w:left="357" w:hanging="357"/>
      </w:pPr>
      <w:r>
        <w:rPr>
          <w:b/>
        </w:rPr>
        <w:t>Constraints.</w:t>
      </w:r>
      <w:r>
        <w:rPr/>
        <w:t xml:space="preserve"> Monotonic constraints where the business logic is clear; review any non-monotone behaviour with the business.</w:t>
      </w:r>
    </w:p>
    <w:p>
      <w:pPr>
        <w:pStyle w:val="ListBullet"/>
        <w:spacing w:after="40"/>
        <w:ind w:left="357" w:hanging="357"/>
      </w:pPr>
      <w:r>
        <w:rPr>
          <w:b/>
        </w:rPr>
        <w:t>Uncertainty.</w:t>
      </w:r>
      <w:r>
        <w:rPr/>
        <w:t xml:space="preserve"> Calibrated probabilities with bootstrap intervals for metrics. Report effect sizes with confidence intervals everywhere. For the experiment, show intervals on net value, not just closure rates.</w:t>
      </w:r>
    </w:p>
    <w:p>
      <w:pPr>
        <w:pStyle w:val="ListBullet"/>
        <w:spacing w:after="40"/>
        <w:ind w:left="357" w:hanging="357"/>
      </w:pPr>
      <w:r>
        <w:rPr>
          <w:b/>
        </w:rPr>
        <w:t>Communication.</w:t>
      </w:r>
      <w:r>
        <w:rPr/>
        <w:t xml:space="preserve"> Agents see a priority tier and reasons, not raw probabilities. Executives see lift, incremental retention and net value with intervals.</w:t>
      </w:r>
    </w:p>
    <w:p>
      <w:pPr>
        <w:pStyle w:val="Heading2"/>
      </w:pPr>
      <w:r>
        <w:rPr/>
        <w:t>17. Deployment &amp; Monitoring Strategy</w:t>
      </w:r>
    </w:p>
    <w:p>
      <w:r>
        <w:rPr>
          <w:b/>
        </w:rPr>
        <w:t>Serving pattern.</w:t>
      </w:r>
      <w:r>
        <w:rPr/>
        <w:t xml:space="preserve"> Monthly batch scoring on the month-end snapshot (weekly or event-triggered refresh is a later option), writing a ranked list to the CRM or dialler with offer assignment. No real-time requirement is assumed.</w:t>
      </w:r>
    </w:p>
    <w:p>
      <w:r>
        <w:rPr>
          <w:b/>
        </w:rPr>
        <w:t>Pipeline and parity.</w:t>
      </w:r>
      <w:r>
        <w:rPr/>
        <w:t xml:space="preserve"> Same feature code in training and scoring, with a versioned feature store or table. Score-time data checks before release.</w:t>
      </w:r>
    </w:p>
    <w:p>
      <w:r>
        <w:rPr>
          <w:b/>
        </w:rPr>
        <w:t>Business rules wrapped around the model.</w:t>
      </w:r>
    </w:p>
    <w:p>
      <w:pPr>
        <w:pStyle w:val="ListBullet"/>
        <w:spacing w:after="40"/>
        <w:ind w:left="357" w:hanging="357"/>
      </w:pPr>
      <w:r>
        <w:rPr/>
        <w:t>Suppress customers who are on do-not-call or lack marketing consent, have an open complaint, are in collections, or have been called within N days (N set with client).</w:t>
      </w:r>
    </w:p>
    <w:p>
      <w:pPr>
        <w:pStyle w:val="ListBullet"/>
        <w:spacing w:after="40"/>
        <w:ind w:left="357" w:hanging="357"/>
      </w:pPr>
      <w:r>
        <w:rPr/>
        <w:t>Cap repeated contact so the same customer is not re-called every month.</w:t>
      </w:r>
    </w:p>
    <w:p>
      <w:pPr>
        <w:pStyle w:val="ListBullet"/>
        <w:spacing w:after="40"/>
        <w:ind w:left="357" w:hanging="357"/>
      </w:pPr>
      <w:r>
        <w:rPr/>
        <w:t>Apply offer-eligibility rules from product and finance.</w:t>
      </w:r>
    </w:p>
    <w:p>
      <w:r>
        <w:rPr>
          <w:b/>
        </w:rPr>
        <w:t>Human in the loop.</w:t>
      </w:r>
      <w:r>
        <w:rPr/>
        <w:t xml:space="preserve"> Agents may override with a logged reason. Scripts must follow fair-practice and mis-selling rules. Overrides are analysed.</w:t>
      </w:r>
    </w:p>
    <w:p>
      <w:r>
        <w:rPr>
          <w:b/>
        </w:rPr>
        <w:t>Rollout.</w:t>
      </w:r>
      <w:r>
        <w:rPr/>
        <w:t xml:space="preserve"> Shadow scoring against the existing list → randomised pilot (A3) → champion–challenger on call lists → full rollout, with the rule-based list as fallback.</w:t>
      </w:r>
    </w:p>
    <w:p>
      <w:pPr>
        <w:pStyle w:val="Heading3"/>
      </w:pPr>
      <w:r>
        <w:rPr/>
        <w:t>Monitoring plan</w:t>
      </w:r>
    </w:p>
    <w:tbl>
      <w:tblPr>
        <w:tblStyle w:val="TableGrid"/>
        <w:tblW w:type="auto" w:w="0"/>
        <w:jc w:val="center"/>
        <w:tblLayout w:type="fixed"/>
        <w:tblLook w:firstColumn="1" w:firstRow="1" w:lastColumn="0" w:lastRow="0" w:noHBand="0" w:noVBand="1" w:val="04A0"/>
        <w:tblLayout w:type="fixed"/>
      </w:tblPr>
      <w:tblGrid>
        <w:gridCol w:w="1623"/>
        <w:gridCol w:w="3078"/>
        <w:gridCol w:w="1839"/>
        <w:gridCol w:w="1770"/>
        <w:gridCol w:w="1328"/>
      </w:tblGrid>
      <w:tr>
        <w:trPr>
          <w:tblHeader w:val="true"/>
        </w:trPr>
        <w:tc>
          <w:tcPr>
            <w:tcW w:type="dxa" w:w="1623"/>
            <w:shd w:val="clear" w:color="auto" w:fill="1F3A5F"/>
          </w:tcPr>
          <w:p>
            <w:r/>
            <w:r>
              <w:rPr>
                <w:b/>
                <w:color w:val="FFFFFF"/>
                <w:sz w:val="17"/>
              </w:rPr>
              <w:t>Layer</w:t>
            </w:r>
          </w:p>
        </w:tc>
        <w:tc>
          <w:tcPr>
            <w:tcW w:type="dxa" w:w="3078"/>
            <w:shd w:val="clear" w:color="auto" w:fill="1F3A5F"/>
          </w:tcPr>
          <w:p>
            <w:r/>
            <w:r>
              <w:rPr>
                <w:b/>
                <w:color w:val="FFFFFF"/>
                <w:sz w:val="17"/>
              </w:rPr>
              <w:t>Metric</w:t>
            </w:r>
          </w:p>
        </w:tc>
        <w:tc>
          <w:tcPr>
            <w:tcW w:type="dxa" w:w="1839"/>
            <w:shd w:val="clear" w:color="auto" w:fill="1F3A5F"/>
          </w:tcPr>
          <w:p>
            <w:r/>
            <w:r>
              <w:rPr>
                <w:b/>
                <w:color w:val="FFFFFF"/>
                <w:sz w:val="17"/>
              </w:rPr>
              <w:t>Threshold (initial, to be agreed)</w:t>
            </w:r>
          </w:p>
        </w:tc>
        <w:tc>
          <w:tcPr>
            <w:tcW w:type="dxa" w:w="1770"/>
            <w:shd w:val="clear" w:color="auto" w:fill="1F3A5F"/>
          </w:tcPr>
          <w:p>
            <w:r/>
            <w:r>
              <w:rPr>
                <w:b/>
                <w:color w:val="FFFFFF"/>
                <w:sz w:val="17"/>
              </w:rPr>
              <w:t>Action</w:t>
            </w:r>
          </w:p>
        </w:tc>
        <w:tc>
          <w:tcPr>
            <w:tcW w:type="dxa" w:w="1328"/>
            <w:shd w:val="clear" w:color="auto" w:fill="1F3A5F"/>
          </w:tcPr>
          <w:p>
            <w:r/>
            <w:r>
              <w:rPr>
                <w:b/>
                <w:color w:val="FFFFFF"/>
                <w:sz w:val="17"/>
              </w:rPr>
              <w:t>Owner</w:t>
            </w:r>
          </w:p>
        </w:tc>
      </w:tr>
      <w:tr>
        <w:tc>
          <w:tcPr>
            <w:tcW w:type="dxa" w:w="1623"/>
          </w:tcPr>
          <w:p>
            <w:pPr>
              <w:spacing w:after="20"/>
            </w:pPr>
            <w:r/>
            <w:r>
              <w:rPr>
                <w:sz w:val="17"/>
              </w:rPr>
              <w:t>Data</w:t>
            </w:r>
          </w:p>
        </w:tc>
        <w:tc>
          <w:tcPr>
            <w:tcW w:type="dxa" w:w="3078"/>
          </w:tcPr>
          <w:p>
            <w:pPr>
              <w:spacing w:after="20"/>
            </w:pPr>
            <w:r/>
            <w:r>
              <w:rPr>
                <w:sz w:val="17"/>
              </w:rPr>
              <w:t>Feed completeness, schema, null rates</w:t>
            </w:r>
          </w:p>
        </w:tc>
        <w:tc>
          <w:tcPr>
            <w:tcW w:type="dxa" w:w="1839"/>
          </w:tcPr>
          <w:p>
            <w:pPr>
              <w:spacing w:after="20"/>
            </w:pPr>
            <w:r/>
            <w:r>
              <w:rPr>
                <w:sz w:val="17"/>
              </w:rPr>
              <w:t>Any breach of agreed limits</w:t>
            </w:r>
          </w:p>
        </w:tc>
        <w:tc>
          <w:tcPr>
            <w:tcW w:type="dxa" w:w="1770"/>
          </w:tcPr>
          <w:p>
            <w:pPr>
              <w:spacing w:after="20"/>
            </w:pPr>
            <w:r/>
            <w:r>
              <w:rPr>
                <w:sz w:val="17"/>
              </w:rPr>
              <w:t>Block scoring, alert data eng</w:t>
            </w:r>
          </w:p>
        </w:tc>
        <w:tc>
          <w:tcPr>
            <w:tcW w:type="dxa" w:w="1328"/>
          </w:tcPr>
          <w:p>
            <w:pPr>
              <w:spacing w:after="20"/>
            </w:pPr>
            <w:r/>
            <w:r>
              <w:rPr>
                <w:sz w:val="17"/>
              </w:rPr>
              <w:t>Data eng</w:t>
            </w:r>
          </w:p>
        </w:tc>
      </w:tr>
      <w:tr>
        <w:tc>
          <w:tcPr>
            <w:tcW w:type="dxa" w:w="1623"/>
            <w:shd w:val="clear" w:color="auto" w:fill="F2F5F9"/>
          </w:tcPr>
          <w:p>
            <w:pPr>
              <w:spacing w:after="20"/>
            </w:pPr>
            <w:r/>
            <w:r>
              <w:rPr>
                <w:sz w:val="17"/>
              </w:rPr>
              <w:t>Drift</w:t>
            </w:r>
          </w:p>
        </w:tc>
        <w:tc>
          <w:tcPr>
            <w:tcW w:type="dxa" w:w="3078"/>
            <w:shd w:val="clear" w:color="auto" w:fill="F2F5F9"/>
          </w:tcPr>
          <w:p>
            <w:pPr>
              <w:spacing w:after="20"/>
            </w:pPr>
            <w:r/>
            <w:r>
              <w:rPr>
                <w:sz w:val="17"/>
              </w:rPr>
              <w:t>PSI/CSI on score and key features</w:t>
            </w:r>
          </w:p>
        </w:tc>
        <w:tc>
          <w:tcPr>
            <w:tcW w:type="dxa" w:w="1839"/>
            <w:shd w:val="clear" w:color="auto" w:fill="F2F5F9"/>
          </w:tcPr>
          <w:p>
            <w:pPr>
              <w:spacing w:after="20"/>
            </w:pPr>
            <w:r/>
            <w:r>
              <w:rPr>
                <w:sz w:val="17"/>
              </w:rPr>
              <w:t>PSI &gt; 0.1 watch, &gt; 0.25 investigate</w:t>
            </w:r>
          </w:p>
        </w:tc>
        <w:tc>
          <w:tcPr>
            <w:tcW w:type="dxa" w:w="1770"/>
            <w:shd w:val="clear" w:color="auto" w:fill="F2F5F9"/>
          </w:tcPr>
          <w:p>
            <w:pPr>
              <w:spacing w:after="20"/>
            </w:pPr>
            <w:r/>
            <w:r>
              <w:rPr>
                <w:sz w:val="17"/>
              </w:rPr>
              <w:t>Investigate, consider retrain</w:t>
            </w:r>
          </w:p>
        </w:tc>
        <w:tc>
          <w:tcPr>
            <w:tcW w:type="dxa" w:w="1328"/>
            <w:shd w:val="clear" w:color="auto" w:fill="F2F5F9"/>
          </w:tcPr>
          <w:p>
            <w:pPr>
              <w:spacing w:after="20"/>
            </w:pPr>
            <w:r/>
            <w:r>
              <w:rPr>
                <w:sz w:val="17"/>
              </w:rPr>
              <w:t>DS</w:t>
            </w:r>
          </w:p>
        </w:tc>
      </w:tr>
      <w:tr>
        <w:tc>
          <w:tcPr>
            <w:tcW w:type="dxa" w:w="1623"/>
          </w:tcPr>
          <w:p>
            <w:pPr>
              <w:spacing w:after="20"/>
            </w:pPr>
            <w:r/>
            <w:r>
              <w:rPr>
                <w:sz w:val="17"/>
              </w:rPr>
              <w:t>Calibration</w:t>
            </w:r>
          </w:p>
        </w:tc>
        <w:tc>
          <w:tcPr>
            <w:tcW w:type="dxa" w:w="3078"/>
          </w:tcPr>
          <w:p>
            <w:pPr>
              <w:spacing w:after="20"/>
            </w:pPr>
            <w:r/>
            <w:r>
              <w:rPr>
                <w:sz w:val="17"/>
              </w:rPr>
              <w:t>Predicted vs observed by decile once labels mature</w:t>
            </w:r>
          </w:p>
        </w:tc>
        <w:tc>
          <w:tcPr>
            <w:tcW w:type="dxa" w:w="1839"/>
          </w:tcPr>
          <w:p>
            <w:pPr>
              <w:spacing w:after="20"/>
            </w:pPr>
            <w:r/>
            <w:r>
              <w:rPr>
                <w:sz w:val="17"/>
              </w:rPr>
              <w:t>Slope outside agreed band</w:t>
            </w:r>
          </w:p>
        </w:tc>
        <w:tc>
          <w:tcPr>
            <w:tcW w:type="dxa" w:w="1770"/>
          </w:tcPr>
          <w:p>
            <w:pPr>
              <w:spacing w:after="20"/>
            </w:pPr>
            <w:r/>
            <w:r>
              <w:rPr>
                <w:sz w:val="17"/>
              </w:rPr>
              <w:t>Recalibrate</w:t>
            </w:r>
          </w:p>
        </w:tc>
        <w:tc>
          <w:tcPr>
            <w:tcW w:type="dxa" w:w="1328"/>
          </w:tcPr>
          <w:p>
            <w:pPr>
              <w:spacing w:after="20"/>
            </w:pPr>
            <w:r/>
            <w:r>
              <w:rPr>
                <w:sz w:val="17"/>
              </w:rPr>
              <w:t>DS</w:t>
            </w:r>
          </w:p>
        </w:tc>
      </w:tr>
      <w:tr>
        <w:tc>
          <w:tcPr>
            <w:tcW w:type="dxa" w:w="1623"/>
            <w:shd w:val="clear" w:color="auto" w:fill="F2F5F9"/>
          </w:tcPr>
          <w:p>
            <w:pPr>
              <w:spacing w:after="20"/>
            </w:pPr>
            <w:r/>
            <w:r>
              <w:rPr>
                <w:sz w:val="17"/>
              </w:rPr>
              <w:t>Performance</w:t>
            </w:r>
          </w:p>
        </w:tc>
        <w:tc>
          <w:tcPr>
            <w:tcW w:type="dxa" w:w="3078"/>
            <w:shd w:val="clear" w:color="auto" w:fill="F2F5F9"/>
          </w:tcPr>
          <w:p>
            <w:pPr>
              <w:spacing w:after="20"/>
            </w:pPr>
            <w:r/>
            <w:r>
              <w:rPr>
                <w:sz w:val="17"/>
              </w:rPr>
              <w:t>Precision@K on matured cohorts (3-month lag); 30-day closure-request rate as an early proxy</w:t>
            </w:r>
          </w:p>
        </w:tc>
        <w:tc>
          <w:tcPr>
            <w:tcW w:type="dxa" w:w="1839"/>
            <w:shd w:val="clear" w:color="auto" w:fill="F2F5F9"/>
          </w:tcPr>
          <w:p>
            <w:pPr>
              <w:spacing w:after="20"/>
            </w:pPr>
            <w:r/>
            <w:r>
              <w:rPr>
                <w:sz w:val="17"/>
              </w:rPr>
              <w:t>Drop beyond noise band</w:t>
            </w:r>
          </w:p>
        </w:tc>
        <w:tc>
          <w:tcPr>
            <w:tcW w:type="dxa" w:w="1770"/>
            <w:shd w:val="clear" w:color="auto" w:fill="F2F5F9"/>
          </w:tcPr>
          <w:p>
            <w:pPr>
              <w:spacing w:after="20"/>
            </w:pPr>
            <w:r/>
            <w:r>
              <w:rPr>
                <w:sz w:val="17"/>
              </w:rPr>
              <w:t>Retrain / review</w:t>
            </w:r>
          </w:p>
        </w:tc>
        <w:tc>
          <w:tcPr>
            <w:tcW w:type="dxa" w:w="1328"/>
            <w:shd w:val="clear" w:color="auto" w:fill="F2F5F9"/>
          </w:tcPr>
          <w:p>
            <w:pPr>
              <w:spacing w:after="20"/>
            </w:pPr>
            <w:r/>
            <w:r>
              <w:rPr>
                <w:sz w:val="17"/>
              </w:rPr>
              <w:t>DS</w:t>
            </w:r>
          </w:p>
        </w:tc>
      </w:tr>
      <w:tr>
        <w:tc>
          <w:tcPr>
            <w:tcW w:type="dxa" w:w="1623"/>
          </w:tcPr>
          <w:p>
            <w:pPr>
              <w:spacing w:after="20"/>
            </w:pPr>
            <w:r/>
            <w:r>
              <w:rPr>
                <w:sz w:val="17"/>
              </w:rPr>
              <w:t>Business</w:t>
            </w:r>
          </w:p>
        </w:tc>
        <w:tc>
          <w:tcPr>
            <w:tcW w:type="dxa" w:w="3078"/>
          </w:tcPr>
          <w:p>
            <w:pPr>
              <w:spacing w:after="20"/>
            </w:pPr>
            <w:r/>
            <w:r>
              <w:rPr>
                <w:sz w:val="17"/>
              </w:rPr>
              <w:t>Incremental retention in permanent holdout; offer cost per retained card; net margin</w:t>
            </w:r>
          </w:p>
        </w:tc>
        <w:tc>
          <w:tcPr>
            <w:tcW w:type="dxa" w:w="1839"/>
          </w:tcPr>
          <w:p>
            <w:pPr>
              <w:spacing w:after="20"/>
            </w:pPr>
            <w:r/>
            <w:r>
              <w:rPr>
                <w:sz w:val="17"/>
              </w:rPr>
              <w:t>Below plan</w:t>
            </w:r>
          </w:p>
        </w:tc>
        <w:tc>
          <w:tcPr>
            <w:tcW w:type="dxa" w:w="1770"/>
          </w:tcPr>
          <w:p>
            <w:pPr>
              <w:spacing w:after="20"/>
            </w:pPr>
            <w:r/>
            <w:r>
              <w:rPr>
                <w:sz w:val="17"/>
              </w:rPr>
              <w:t>Revisit offers and targeting</w:t>
            </w:r>
          </w:p>
        </w:tc>
        <w:tc>
          <w:tcPr>
            <w:tcW w:type="dxa" w:w="1328"/>
          </w:tcPr>
          <w:p>
            <w:pPr>
              <w:spacing w:after="20"/>
            </w:pPr>
            <w:r/>
            <w:r>
              <w:rPr>
                <w:sz w:val="17"/>
              </w:rPr>
              <w:t>Business</w:t>
            </w:r>
          </w:p>
        </w:tc>
      </w:tr>
      <w:tr>
        <w:tc>
          <w:tcPr>
            <w:tcW w:type="dxa" w:w="1623"/>
            <w:shd w:val="clear" w:color="auto" w:fill="F2F5F9"/>
          </w:tcPr>
          <w:p>
            <w:pPr>
              <w:spacing w:after="20"/>
            </w:pPr>
            <w:r/>
            <w:r>
              <w:rPr>
                <w:sz w:val="17"/>
              </w:rPr>
              <w:t>Fairness</w:t>
            </w:r>
          </w:p>
        </w:tc>
        <w:tc>
          <w:tcPr>
            <w:tcW w:type="dxa" w:w="3078"/>
            <w:shd w:val="clear" w:color="auto" w:fill="F2F5F9"/>
          </w:tcPr>
          <w:p>
            <w:pPr>
              <w:spacing w:after="20"/>
            </w:pPr>
            <w:r/>
            <w:r>
              <w:rPr>
                <w:sz w:val="17"/>
              </w:rPr>
              <w:t>Contact and offer rates, retention by protected-proxy segments</w:t>
            </w:r>
          </w:p>
        </w:tc>
        <w:tc>
          <w:tcPr>
            <w:tcW w:type="dxa" w:w="1839"/>
            <w:shd w:val="clear" w:color="auto" w:fill="F2F5F9"/>
          </w:tcPr>
          <w:p>
            <w:pPr>
              <w:spacing w:after="20"/>
            </w:pPr>
            <w:r/>
            <w:r>
              <w:rPr>
                <w:sz w:val="17"/>
              </w:rPr>
              <w:t>Parity limits agreed with risk</w:t>
            </w:r>
          </w:p>
        </w:tc>
        <w:tc>
          <w:tcPr>
            <w:tcW w:type="dxa" w:w="1770"/>
            <w:shd w:val="clear" w:color="auto" w:fill="F2F5F9"/>
          </w:tcPr>
          <w:p>
            <w:pPr>
              <w:spacing w:after="20"/>
            </w:pPr>
            <w:r/>
            <w:r>
              <w:rPr>
                <w:sz w:val="17"/>
              </w:rPr>
              <w:t>Review features and rules</w:t>
            </w:r>
          </w:p>
        </w:tc>
        <w:tc>
          <w:tcPr>
            <w:tcW w:type="dxa" w:w="1328"/>
            <w:shd w:val="clear" w:color="auto" w:fill="F2F5F9"/>
          </w:tcPr>
          <w:p>
            <w:pPr>
              <w:spacing w:after="20"/>
            </w:pPr>
            <w:r/>
            <w:r>
              <w:rPr>
                <w:sz w:val="17"/>
              </w:rPr>
              <w:t>Risk</w:t>
            </w:r>
          </w:p>
        </w:tc>
      </w:tr>
      <w:tr>
        <w:tc>
          <w:tcPr>
            <w:tcW w:type="dxa" w:w="1623"/>
          </w:tcPr>
          <w:p>
            <w:pPr>
              <w:spacing w:after="20"/>
            </w:pPr>
            <w:r/>
            <w:r>
              <w:rPr>
                <w:sz w:val="17"/>
              </w:rPr>
              <w:t>Operations</w:t>
            </w:r>
          </w:p>
        </w:tc>
        <w:tc>
          <w:tcPr>
            <w:tcW w:type="dxa" w:w="3078"/>
          </w:tcPr>
          <w:p>
            <w:pPr>
              <w:spacing w:after="20"/>
            </w:pPr>
            <w:r/>
            <w:r>
              <w:rPr>
                <w:sz w:val="17"/>
              </w:rPr>
              <w:t>Calls completed, contact rate, override rate</w:t>
            </w:r>
          </w:p>
        </w:tc>
        <w:tc>
          <w:tcPr>
            <w:tcW w:type="dxa" w:w="1839"/>
          </w:tcPr>
          <w:p>
            <w:pPr>
              <w:spacing w:after="20"/>
            </w:pPr>
            <w:r/>
            <w:r>
              <w:rPr>
                <w:sz w:val="17"/>
              </w:rPr>
              <w:t>Agreed limits</w:t>
            </w:r>
          </w:p>
        </w:tc>
        <w:tc>
          <w:tcPr>
            <w:tcW w:type="dxa" w:w="1770"/>
          </w:tcPr>
          <w:p>
            <w:pPr>
              <w:spacing w:after="20"/>
            </w:pPr>
            <w:r/>
            <w:r>
              <w:rPr>
                <w:sz w:val="17"/>
              </w:rPr>
              <w:t>Process fix</w:t>
            </w:r>
          </w:p>
        </w:tc>
        <w:tc>
          <w:tcPr>
            <w:tcW w:type="dxa" w:w="1328"/>
          </w:tcPr>
          <w:p>
            <w:pPr>
              <w:spacing w:after="20"/>
            </w:pPr>
            <w:r/>
            <w:r>
              <w:rPr>
                <w:sz w:val="17"/>
              </w:rPr>
              <w:t>Retention</w:t>
            </w:r>
          </w:p>
        </w:tc>
      </w:tr>
    </w:tbl>
    <w:p>
      <w:pPr>
        <w:spacing w:after="40"/>
      </w:pPr>
    </w:p>
    <w:p>
      <w:r>
        <w:rPr>
          <w:b/>
        </w:rPr>
        <w:t>Retraining.</w:t>
      </w:r>
      <w:r>
        <w:rPr/>
        <w:t xml:space="preserve"> Quarterly by default, or sooner on a drift trigger or a policy change. Every candidate goes through the same validation and an approval gate. Rollback to the previous model or the rule-based list if monitoring breaches thresholds.</w:t>
      </w:r>
    </w:p>
    <w:p>
      <w:r>
        <w:rPr>
          <w:b/>
        </w:rPr>
        <w:t>Governance (all items: confirm with client compliance and model-risk teams; instruments are named for orientation and their current text must be verified).</w:t>
      </w:r>
    </w:p>
    <w:p>
      <w:pPr>
        <w:pStyle w:val="ListBullet"/>
        <w:spacing w:after="40"/>
        <w:ind w:left="357" w:hanging="357"/>
      </w:pPr>
      <w:r>
        <w:rPr>
          <w:b/>
        </w:rPr>
        <w:t>RBI directions on credit-card and debit-card issuance and conduct</w:t>
      </w:r>
      <w:r>
        <w:rPr/>
        <w:t>, including the handling of card-closure requests. Closure requests must be honoured within the regulatory timeline, and retention outreach must not obstruct or delay a customer's closure. This constrains the "save desk" idea for pending closure requests (§6, D9): do not use it for customers who have already asked to close unless compliance approves the exact process.</w:t>
      </w:r>
    </w:p>
    <w:p>
      <w:pPr>
        <w:pStyle w:val="ListBullet"/>
        <w:spacing w:after="40"/>
        <w:ind w:left="357" w:hanging="357"/>
      </w:pPr>
      <w:r>
        <w:rPr>
          <w:b/>
        </w:rPr>
        <w:t>RBI guidance on model risk, IT governance and outsourcing</w:t>
      </w:r>
      <w:r>
        <w:rPr/>
        <w:t>, and the RBI framework on responsible and ethical AI in financial services (FREE-AI, 2025; verify current status).</w:t>
      </w:r>
    </w:p>
    <w:p>
      <w:pPr>
        <w:pStyle w:val="ListBullet"/>
        <w:spacing w:after="40"/>
        <w:ind w:left="357" w:hanging="357"/>
      </w:pPr>
      <w:r>
        <w:rPr>
          <w:b/>
        </w:rPr>
        <w:t>Digital Personal Data Protection Act 2023 and Rules:</w:t>
      </w:r>
      <w:r>
        <w:rPr/>
        <w:t xml:space="preserve"> consent and purpose limitation for using transaction, complaint and call-note data for marketing.</w:t>
      </w:r>
    </w:p>
    <w:p>
      <w:pPr>
        <w:pStyle w:val="ListBullet"/>
        <w:spacing w:after="40"/>
        <w:ind w:left="357" w:hanging="357"/>
      </w:pPr>
      <w:r>
        <w:rPr>
          <w:b/>
        </w:rPr>
        <w:t>Telecom commercial-communication / do-not-call rules</w:t>
      </w:r>
      <w:r>
        <w:rPr/>
        <w:t xml:space="preserve"> for outbound retention calls, and the bank's own contact-consent flags.</w:t>
      </w:r>
    </w:p>
    <w:p>
      <w:pPr>
        <w:pStyle w:val="ListBullet"/>
        <w:spacing w:after="40"/>
        <w:ind w:left="357" w:hanging="357"/>
      </w:pPr>
      <w:r>
        <w:rPr>
          <w:b/>
        </w:rPr>
        <w:t>Fair-treatment expectations:</w:t>
      </w:r>
      <w:r>
        <w:rPr/>
        <w:t xml:space="preserve"> offers are applied by documented policy, not agent discretion. Randomised offers need business and compliance sign-off, and compliance should confirm that a no-call control group is acceptable.</w:t>
      </w:r>
    </w:p>
    <w:p>
      <w:pPr>
        <w:pStyle w:val="ListBullet"/>
        <w:spacing w:after="40"/>
        <w:ind w:left="357" w:hanging="357"/>
      </w:pPr>
      <w:r>
        <w:rPr>
          <w:b/>
        </w:rPr>
        <w:t>Bank model-risk policy:</w:t>
      </w:r>
      <w:r>
        <w:rPr/>
        <w:t xml:space="preserve"> independent validation, documentation pack, change control and periodic review.</w:t>
      </w:r>
    </w:p>
    <w:p>
      <w:pPr>
        <w:pStyle w:val="ListBullet"/>
        <w:spacing w:after="40"/>
        <w:ind w:left="357" w:hanging="357"/>
      </w:pPr>
      <w:r>
        <w:rPr>
          <w:b/>
        </w:rPr>
        <w:t>Data handling:</w:t>
      </w:r>
      <w:r>
        <w:rPr/>
        <w:t xml:space="preserve"> PII stays inside the bank's environment; free text is redacted; role-based access and audit logs.</w:t>
      </w:r>
    </w:p>
    <w:p>
      <w:r>
        <w:rPr>
          <w:b/>
        </w:rPr>
        <w:t>Fairness plan.</w:t>
      </w:r>
      <w:r>
        <w:rPr/>
        <w:t xml:space="preserve"> Evaluate precision@K, call-list selection rate, offer rate and (from the experiment) retention effect across age band, gender where held, city tier, income band, tenure band and product. Sensitive attributes and plausible proxies (pincode, language) are not model inputs unless risk approves; they are used for testing. Metrics: the ratio of selection rates (flag outside a band set by risk and compliance) and gaps in precision@K. Owner: risk with DS. Results go in the validation report.</w:t>
      </w:r>
    </w:p>
    <w:p>
      <w:pPr>
        <w:pStyle w:val="Heading2"/>
      </w:pPr>
      <w:r>
        <w:rPr/>
        <w:t>18. Risks, Mitigations, Dependencies &amp; Open Decisions</w:t>
      </w:r>
    </w:p>
    <w:tbl>
      <w:tblPr>
        <w:tblStyle w:val="TableGrid"/>
        <w:tblW w:type="auto" w:w="0"/>
        <w:jc w:val="center"/>
        <w:tblLayout w:type="fixed"/>
        <w:tblLook w:firstColumn="1" w:firstRow="1" w:lastColumn="0" w:lastRow="0" w:noHBand="0" w:noVBand="1" w:val="04A0"/>
        <w:tblLayout w:type="fixed"/>
      </w:tblPr>
      <w:tblGrid>
        <w:gridCol w:w="2786"/>
        <w:gridCol w:w="1463"/>
        <w:gridCol w:w="1463"/>
        <w:gridCol w:w="2609"/>
        <w:gridCol w:w="1317"/>
      </w:tblGrid>
      <w:tr>
        <w:trPr>
          <w:tblHeader w:val="true"/>
        </w:trPr>
        <w:tc>
          <w:tcPr>
            <w:tcW w:type="dxa" w:w="2786"/>
            <w:shd w:val="clear" w:color="auto" w:fill="1F3A5F"/>
          </w:tcPr>
          <w:p>
            <w:r/>
            <w:r>
              <w:rPr>
                <w:b/>
                <w:color w:val="FFFFFF"/>
                <w:sz w:val="17"/>
              </w:rPr>
              <w:t>Risk</w:t>
            </w:r>
          </w:p>
        </w:tc>
        <w:tc>
          <w:tcPr>
            <w:tcW w:type="dxa" w:w="1463"/>
            <w:shd w:val="clear" w:color="auto" w:fill="1F3A5F"/>
          </w:tcPr>
          <w:p>
            <w:r/>
            <w:r>
              <w:rPr>
                <w:b/>
                <w:color w:val="FFFFFF"/>
                <w:sz w:val="17"/>
              </w:rPr>
              <w:t>Likelihood</w:t>
            </w:r>
          </w:p>
        </w:tc>
        <w:tc>
          <w:tcPr>
            <w:tcW w:type="dxa" w:w="1463"/>
            <w:shd w:val="clear" w:color="auto" w:fill="1F3A5F"/>
          </w:tcPr>
          <w:p>
            <w:r/>
            <w:r>
              <w:rPr>
                <w:b/>
                <w:color w:val="FFFFFF"/>
                <w:sz w:val="17"/>
              </w:rPr>
              <w:t>Impact</w:t>
            </w:r>
          </w:p>
        </w:tc>
        <w:tc>
          <w:tcPr>
            <w:tcW w:type="dxa" w:w="2609"/>
            <w:shd w:val="clear" w:color="auto" w:fill="1F3A5F"/>
          </w:tcPr>
          <w:p>
            <w:r/>
            <w:r>
              <w:rPr>
                <w:b/>
                <w:color w:val="FFFFFF"/>
                <w:sz w:val="17"/>
              </w:rPr>
              <w:t>Mitigation</w:t>
            </w:r>
          </w:p>
        </w:tc>
        <w:tc>
          <w:tcPr>
            <w:tcW w:type="dxa" w:w="1317"/>
            <w:shd w:val="clear" w:color="auto" w:fill="1F3A5F"/>
          </w:tcPr>
          <w:p>
            <w:r/>
            <w:r>
              <w:rPr>
                <w:b/>
                <w:color w:val="FFFFFF"/>
                <w:sz w:val="17"/>
              </w:rPr>
              <w:t>Owner</w:t>
            </w:r>
          </w:p>
        </w:tc>
      </w:tr>
      <w:tr>
        <w:tc>
          <w:tcPr>
            <w:tcW w:type="dxa" w:w="2786"/>
          </w:tcPr>
          <w:p>
            <w:pPr>
              <w:spacing w:after="20"/>
            </w:pPr>
            <w:r/>
            <w:r>
              <w:rPr>
                <w:sz w:val="17"/>
              </w:rPr>
              <w:t>Label definition is wrong or unstable (migrations, bank-initiated)</w:t>
            </w:r>
          </w:p>
        </w:tc>
        <w:tc>
          <w:tcPr>
            <w:tcW w:type="dxa" w:w="1463"/>
          </w:tcPr>
          <w:p>
            <w:pPr>
              <w:spacing w:after="20"/>
            </w:pPr>
            <w:r/>
            <w:r>
              <w:rPr>
                <w:sz w:val="17"/>
              </w:rPr>
              <w:t>Medium</w:t>
            </w:r>
          </w:p>
        </w:tc>
        <w:tc>
          <w:tcPr>
            <w:tcW w:type="dxa" w:w="1463"/>
          </w:tcPr>
          <w:p>
            <w:pPr>
              <w:spacing w:after="20"/>
            </w:pPr>
            <w:r/>
            <w:r>
              <w:rPr>
                <w:sz w:val="17"/>
              </w:rPr>
              <w:t>High</w:t>
            </w:r>
          </w:p>
        </w:tc>
        <w:tc>
          <w:tcPr>
            <w:tcW w:type="dxa" w:w="2609"/>
          </w:tcPr>
          <w:p>
            <w:pPr>
              <w:spacing w:after="20"/>
            </w:pPr>
            <w:r/>
            <w:r>
              <w:rPr>
                <w:sz w:val="17"/>
              </w:rPr>
              <w:t>Q1 sign-off; reason-code audit; sensitivity tests</w:t>
            </w:r>
          </w:p>
        </w:tc>
        <w:tc>
          <w:tcPr>
            <w:tcW w:type="dxa" w:w="1317"/>
          </w:tcPr>
          <w:p>
            <w:pPr>
              <w:spacing w:after="20"/>
            </w:pPr>
            <w:r/>
            <w:r>
              <w:rPr>
                <w:sz w:val="17"/>
              </w:rPr>
              <w:t>Client + DS</w:t>
            </w:r>
          </w:p>
        </w:tc>
      </w:tr>
      <w:tr>
        <w:tc>
          <w:tcPr>
            <w:tcW w:type="dxa" w:w="2786"/>
            <w:shd w:val="clear" w:color="auto" w:fill="F2F5F9"/>
          </w:tcPr>
          <w:p>
            <w:pPr>
              <w:spacing w:after="20"/>
            </w:pPr>
            <w:r/>
            <w:r>
              <w:rPr>
                <w:sz w:val="17"/>
              </w:rPr>
              <w:t>Closure-request call tags leak the label</w:t>
            </w:r>
          </w:p>
        </w:tc>
        <w:tc>
          <w:tcPr>
            <w:tcW w:type="dxa" w:w="1463"/>
            <w:shd w:val="clear" w:color="auto" w:fill="F2F5F9"/>
          </w:tcPr>
          <w:p>
            <w:pPr>
              <w:spacing w:after="20"/>
            </w:pPr>
            <w:r/>
            <w:r>
              <w:rPr>
                <w:sz w:val="17"/>
              </w:rPr>
              <w:t>High</w:t>
            </w:r>
          </w:p>
        </w:tc>
        <w:tc>
          <w:tcPr>
            <w:tcW w:type="dxa" w:w="1463"/>
            <w:shd w:val="clear" w:color="auto" w:fill="F2F5F9"/>
          </w:tcPr>
          <w:p>
            <w:pPr>
              <w:spacing w:after="20"/>
            </w:pPr>
            <w:r/>
            <w:r>
              <w:rPr>
                <w:sz w:val="17"/>
              </w:rPr>
              <w:t>High</w:t>
            </w:r>
          </w:p>
        </w:tc>
        <w:tc>
          <w:tcPr>
            <w:tcW w:type="dxa" w:w="2609"/>
            <w:shd w:val="clear" w:color="auto" w:fill="F2F5F9"/>
          </w:tcPr>
          <w:p>
            <w:pPr>
              <w:spacing w:after="20"/>
            </w:pPr>
            <w:r/>
            <w:r>
              <w:rPr>
                <w:sz w:val="17"/>
              </w:rPr>
              <w:t>Time-bound features; exclude pending requests; leakage scan</w:t>
            </w:r>
          </w:p>
        </w:tc>
        <w:tc>
          <w:tcPr>
            <w:tcW w:type="dxa" w:w="1317"/>
            <w:shd w:val="clear" w:color="auto" w:fill="F2F5F9"/>
          </w:tcPr>
          <w:p>
            <w:pPr>
              <w:spacing w:after="20"/>
            </w:pPr>
            <w:r/>
            <w:r>
              <w:rPr>
                <w:sz w:val="17"/>
              </w:rPr>
              <w:t>DS</w:t>
            </w:r>
          </w:p>
        </w:tc>
      </w:tr>
      <w:tr>
        <w:tc>
          <w:tcPr>
            <w:tcW w:type="dxa" w:w="2786"/>
          </w:tcPr>
          <w:p>
            <w:pPr>
              <w:spacing w:after="20"/>
            </w:pPr>
            <w:r/>
            <w:r>
              <w:rPr>
                <w:sz w:val="17"/>
              </w:rPr>
              <w:t>Past campaigns contaminate labels and features</w:t>
            </w:r>
          </w:p>
        </w:tc>
        <w:tc>
          <w:tcPr>
            <w:tcW w:type="dxa" w:w="1463"/>
          </w:tcPr>
          <w:p>
            <w:pPr>
              <w:spacing w:after="20"/>
            </w:pPr>
            <w:r/>
            <w:r>
              <w:rPr>
                <w:sz w:val="17"/>
              </w:rPr>
              <w:t>High</w:t>
            </w:r>
          </w:p>
        </w:tc>
        <w:tc>
          <w:tcPr>
            <w:tcW w:type="dxa" w:w="1463"/>
          </w:tcPr>
          <w:p>
            <w:pPr>
              <w:spacing w:after="20"/>
            </w:pPr>
            <w:r/>
            <w:r>
              <w:rPr>
                <w:sz w:val="17"/>
              </w:rPr>
              <w:t>High</w:t>
            </w:r>
          </w:p>
        </w:tc>
        <w:tc>
          <w:tcPr>
            <w:tcW w:type="dxa" w:w="2609"/>
          </w:tcPr>
          <w:p>
            <w:pPr>
              <w:spacing w:after="20"/>
            </w:pPr>
            <w:r/>
            <w:r>
              <w:rPr>
                <w:sz w:val="17"/>
              </w:rPr>
              <w:t>Treatment-history audit; randomised pilot</w:t>
            </w:r>
          </w:p>
        </w:tc>
        <w:tc>
          <w:tcPr>
            <w:tcW w:type="dxa" w:w="1317"/>
          </w:tcPr>
          <w:p>
            <w:pPr>
              <w:spacing w:after="20"/>
            </w:pPr>
            <w:r/>
            <w:r>
              <w:rPr>
                <w:sz w:val="17"/>
              </w:rPr>
              <w:t>DS + retention</w:t>
            </w:r>
          </w:p>
        </w:tc>
      </w:tr>
      <w:tr>
        <w:tc>
          <w:tcPr>
            <w:tcW w:type="dxa" w:w="2786"/>
            <w:shd w:val="clear" w:color="auto" w:fill="F2F5F9"/>
          </w:tcPr>
          <w:p>
            <w:pPr>
              <w:spacing w:after="20"/>
            </w:pPr>
            <w:r/>
            <w:r>
              <w:rPr>
                <w:sz w:val="17"/>
              </w:rPr>
              <w:t>Control group not approved, or its cost is too high (about 20% of the pilot pool goes uncalled in the illustrative allocation)</w:t>
            </w:r>
          </w:p>
        </w:tc>
        <w:tc>
          <w:tcPr>
            <w:tcW w:type="dxa" w:w="1463"/>
            <w:shd w:val="clear" w:color="auto" w:fill="F2F5F9"/>
          </w:tcPr>
          <w:p>
            <w:pPr>
              <w:spacing w:after="20"/>
            </w:pPr>
            <w:r/>
            <w:r>
              <w:rPr>
                <w:sz w:val="17"/>
              </w:rPr>
              <w:t>Medium</w:t>
            </w:r>
          </w:p>
        </w:tc>
        <w:tc>
          <w:tcPr>
            <w:tcW w:type="dxa" w:w="1463"/>
            <w:shd w:val="clear" w:color="auto" w:fill="F2F5F9"/>
          </w:tcPr>
          <w:p>
            <w:pPr>
              <w:spacing w:after="20"/>
            </w:pPr>
            <w:r/>
            <w:r>
              <w:rPr>
                <w:sz w:val="17"/>
              </w:rPr>
              <w:t>High (A3 not answerable causally; foregone retention in control)</w:t>
            </w:r>
          </w:p>
        </w:tc>
        <w:tc>
          <w:tcPr>
            <w:tcW w:type="dxa" w:w="2609"/>
            <w:shd w:val="clear" w:color="auto" w:fill="F2F5F9"/>
          </w:tcPr>
          <w:p>
            <w:pPr>
              <w:spacing w:after="20"/>
            </w:pPr>
            <w:r/>
            <w:r>
              <w:rPr>
                <w:sz w:val="17"/>
              </w:rPr>
              <w:t>Early stakeholder alignment; smaller control; fallback designs labelled exploratory</w:t>
            </w:r>
          </w:p>
        </w:tc>
        <w:tc>
          <w:tcPr>
            <w:tcW w:type="dxa" w:w="1317"/>
            <w:shd w:val="clear" w:color="auto" w:fill="F2F5F9"/>
          </w:tcPr>
          <w:p>
            <w:pPr>
              <w:spacing w:after="20"/>
            </w:pPr>
            <w:r/>
            <w:r>
              <w:rPr>
                <w:sz w:val="17"/>
              </w:rPr>
              <w:t>Business</w:t>
            </w:r>
          </w:p>
        </w:tc>
      </w:tr>
      <w:tr>
        <w:tc>
          <w:tcPr>
            <w:tcW w:type="dxa" w:w="2786"/>
          </w:tcPr>
          <w:p>
            <w:pPr>
              <w:spacing w:after="20"/>
            </w:pPr>
            <w:r/>
            <w:r>
              <w:rPr>
                <w:sz w:val="17"/>
              </w:rPr>
              <w:t>Experiment underpowered</w:t>
            </w:r>
          </w:p>
        </w:tc>
        <w:tc>
          <w:tcPr>
            <w:tcW w:type="dxa" w:w="1463"/>
          </w:tcPr>
          <w:p>
            <w:pPr>
              <w:spacing w:after="20"/>
            </w:pPr>
            <w:r/>
            <w:r>
              <w:rPr>
                <w:sz w:val="17"/>
              </w:rPr>
              <w:t>Medium</w:t>
            </w:r>
          </w:p>
        </w:tc>
        <w:tc>
          <w:tcPr>
            <w:tcW w:type="dxa" w:w="1463"/>
          </w:tcPr>
          <w:p>
            <w:pPr>
              <w:spacing w:after="20"/>
            </w:pPr>
            <w:r/>
            <w:r>
              <w:rPr>
                <w:sz w:val="17"/>
              </w:rPr>
              <w:t>Medium</w:t>
            </w:r>
          </w:p>
        </w:tc>
        <w:tc>
          <w:tcPr>
            <w:tcW w:type="dxa" w:w="2609"/>
          </w:tcPr>
          <w:p>
            <w:pPr>
              <w:spacing w:after="20"/>
            </w:pPr>
            <w:r/>
            <w:r>
              <w:rPr>
                <w:sz w:val="17"/>
              </w:rPr>
              <w:t>Recompute MDE with real rates; pool waves; reduce arms</w:t>
            </w:r>
          </w:p>
        </w:tc>
        <w:tc>
          <w:tcPr>
            <w:tcW w:type="dxa" w:w="1317"/>
          </w:tcPr>
          <w:p>
            <w:pPr>
              <w:spacing w:after="20"/>
            </w:pPr>
            <w:r/>
            <w:r>
              <w:rPr>
                <w:sz w:val="17"/>
              </w:rPr>
              <w:t>DS</w:t>
            </w:r>
          </w:p>
        </w:tc>
      </w:tr>
      <w:tr>
        <w:tc>
          <w:tcPr>
            <w:tcW w:type="dxa" w:w="2786"/>
            <w:shd w:val="clear" w:color="auto" w:fill="F2F5F9"/>
          </w:tcPr>
          <w:p>
            <w:pPr>
              <w:spacing w:after="20"/>
            </w:pPr>
            <w:r/>
            <w:r>
              <w:rPr>
                <w:sz w:val="17"/>
              </w:rPr>
              <w:t>Fee waivers delay rather than prevent churn</w:t>
            </w:r>
          </w:p>
        </w:tc>
        <w:tc>
          <w:tcPr>
            <w:tcW w:type="dxa" w:w="1463"/>
            <w:shd w:val="clear" w:color="auto" w:fill="F2F5F9"/>
          </w:tcPr>
          <w:p>
            <w:pPr>
              <w:spacing w:after="20"/>
            </w:pPr>
            <w:r/>
            <w:r>
              <w:rPr>
                <w:sz w:val="17"/>
              </w:rPr>
              <w:t>Medium</w:t>
            </w:r>
          </w:p>
        </w:tc>
        <w:tc>
          <w:tcPr>
            <w:tcW w:type="dxa" w:w="1463"/>
            <w:shd w:val="clear" w:color="auto" w:fill="F2F5F9"/>
          </w:tcPr>
          <w:p>
            <w:pPr>
              <w:spacing w:after="20"/>
            </w:pPr>
            <w:r/>
            <w:r>
              <w:rPr>
                <w:sz w:val="17"/>
              </w:rPr>
              <w:t>Medium</w:t>
            </w:r>
          </w:p>
        </w:tc>
        <w:tc>
          <w:tcPr>
            <w:tcW w:type="dxa" w:w="2609"/>
            <w:shd w:val="clear" w:color="auto" w:fill="F2F5F9"/>
          </w:tcPr>
          <w:p>
            <w:pPr>
              <w:spacing w:after="20"/>
            </w:pPr>
            <w:r/>
            <w:r>
              <w:rPr>
                <w:sz w:val="17"/>
              </w:rPr>
              <w:t>12-month follow-up</w:t>
            </w:r>
          </w:p>
        </w:tc>
        <w:tc>
          <w:tcPr>
            <w:tcW w:type="dxa" w:w="1317"/>
            <w:shd w:val="clear" w:color="auto" w:fill="F2F5F9"/>
          </w:tcPr>
          <w:p>
            <w:pPr>
              <w:spacing w:after="20"/>
            </w:pPr>
            <w:r/>
            <w:r>
              <w:rPr>
                <w:sz w:val="17"/>
              </w:rPr>
              <w:t>DS</w:t>
            </w:r>
          </w:p>
        </w:tc>
      </w:tr>
      <w:tr>
        <w:tc>
          <w:tcPr>
            <w:tcW w:type="dxa" w:w="2786"/>
          </w:tcPr>
          <w:p>
            <w:pPr>
              <w:spacing w:after="20"/>
            </w:pPr>
            <w:r/>
            <w:r>
              <w:rPr>
                <w:sz w:val="17"/>
              </w:rPr>
              <w:t>High-risk customers are not persuadable</w:t>
            </w:r>
          </w:p>
        </w:tc>
        <w:tc>
          <w:tcPr>
            <w:tcW w:type="dxa" w:w="1463"/>
          </w:tcPr>
          <w:p>
            <w:pPr>
              <w:spacing w:after="20"/>
            </w:pPr>
            <w:r/>
            <w:r>
              <w:rPr>
                <w:sz w:val="17"/>
              </w:rPr>
              <w:t>Medium</w:t>
            </w:r>
          </w:p>
        </w:tc>
        <w:tc>
          <w:tcPr>
            <w:tcW w:type="dxa" w:w="1463"/>
          </w:tcPr>
          <w:p>
            <w:pPr>
              <w:spacing w:after="20"/>
            </w:pPr>
            <w:r/>
            <w:r>
              <w:rPr>
                <w:sz w:val="17"/>
              </w:rPr>
              <w:t>High</w:t>
            </w:r>
          </w:p>
        </w:tc>
        <w:tc>
          <w:tcPr>
            <w:tcW w:type="dxa" w:w="2609"/>
          </w:tcPr>
          <w:p>
            <w:pPr>
              <w:spacing w:after="20"/>
            </w:pPr>
            <w:r/>
            <w:r>
              <w:rPr>
                <w:sz w:val="17"/>
              </w:rPr>
              <w:t>Uplift modelling on randomised data</w:t>
            </w:r>
          </w:p>
        </w:tc>
        <w:tc>
          <w:tcPr>
            <w:tcW w:type="dxa" w:w="1317"/>
          </w:tcPr>
          <w:p>
            <w:pPr>
              <w:spacing w:after="20"/>
            </w:pPr>
            <w:r/>
            <w:r>
              <w:rPr>
                <w:sz w:val="17"/>
              </w:rPr>
              <w:t>DS</w:t>
            </w:r>
          </w:p>
        </w:tc>
      </w:tr>
      <w:tr>
        <w:tc>
          <w:tcPr>
            <w:tcW w:type="dxa" w:w="2786"/>
            <w:shd w:val="clear" w:color="auto" w:fill="F2F5F9"/>
          </w:tcPr>
          <w:p>
            <w:pPr>
              <w:spacing w:after="20"/>
            </w:pPr>
            <w:r/>
            <w:r>
              <w:rPr>
                <w:sz w:val="17"/>
              </w:rPr>
              <w:t>Insufficient history for out-of-time validation</w:t>
            </w:r>
          </w:p>
        </w:tc>
        <w:tc>
          <w:tcPr>
            <w:tcW w:type="dxa" w:w="1463"/>
            <w:shd w:val="clear" w:color="auto" w:fill="F2F5F9"/>
          </w:tcPr>
          <w:p>
            <w:pPr>
              <w:spacing w:after="20"/>
            </w:pPr>
            <w:r/>
            <w:r>
              <w:rPr>
                <w:sz w:val="17"/>
              </w:rPr>
              <w:t>Medium</w:t>
            </w:r>
          </w:p>
        </w:tc>
        <w:tc>
          <w:tcPr>
            <w:tcW w:type="dxa" w:w="1463"/>
            <w:shd w:val="clear" w:color="auto" w:fill="F2F5F9"/>
          </w:tcPr>
          <w:p>
            <w:pPr>
              <w:spacing w:after="20"/>
            </w:pPr>
            <w:r/>
            <w:r>
              <w:rPr>
                <w:sz w:val="17"/>
              </w:rPr>
              <w:t>Medium</w:t>
            </w:r>
          </w:p>
        </w:tc>
        <w:tc>
          <w:tcPr>
            <w:tcW w:type="dxa" w:w="2609"/>
            <w:shd w:val="clear" w:color="auto" w:fill="F2F5F9"/>
          </w:tcPr>
          <w:p>
            <w:pPr>
              <w:spacing w:after="20"/>
            </w:pPr>
            <w:r/>
            <w:r>
              <w:rPr>
                <w:sz w:val="17"/>
              </w:rPr>
              <w:t>Check early; shorten folds; flag limits</w:t>
            </w:r>
          </w:p>
        </w:tc>
        <w:tc>
          <w:tcPr>
            <w:tcW w:type="dxa" w:w="1317"/>
            <w:shd w:val="clear" w:color="auto" w:fill="F2F5F9"/>
          </w:tcPr>
          <w:p>
            <w:pPr>
              <w:spacing w:after="20"/>
            </w:pPr>
            <w:r/>
            <w:r>
              <w:rPr>
                <w:sz w:val="17"/>
              </w:rPr>
              <w:t>Data eng</w:t>
            </w:r>
          </w:p>
        </w:tc>
      </w:tr>
      <w:tr>
        <w:tc>
          <w:tcPr>
            <w:tcW w:type="dxa" w:w="2786"/>
          </w:tcPr>
          <w:p>
            <w:pPr>
              <w:spacing w:after="20"/>
            </w:pPr>
            <w:r/>
            <w:r>
              <w:rPr>
                <w:sz w:val="17"/>
              </w:rPr>
              <w:t>Policy shifts (fees, rewards, competitor offers) break stationarity</w:t>
            </w:r>
          </w:p>
        </w:tc>
        <w:tc>
          <w:tcPr>
            <w:tcW w:type="dxa" w:w="1463"/>
          </w:tcPr>
          <w:p>
            <w:pPr>
              <w:spacing w:after="20"/>
            </w:pPr>
            <w:r/>
            <w:r>
              <w:rPr>
                <w:sz w:val="17"/>
              </w:rPr>
              <w:t>Medium</w:t>
            </w:r>
          </w:p>
        </w:tc>
        <w:tc>
          <w:tcPr>
            <w:tcW w:type="dxa" w:w="1463"/>
          </w:tcPr>
          <w:p>
            <w:pPr>
              <w:spacing w:after="20"/>
            </w:pPr>
            <w:r/>
            <w:r>
              <w:rPr>
                <w:sz w:val="17"/>
              </w:rPr>
              <w:t>Medium</w:t>
            </w:r>
          </w:p>
        </w:tc>
        <w:tc>
          <w:tcPr>
            <w:tcW w:type="dxa" w:w="2609"/>
          </w:tcPr>
          <w:p>
            <w:pPr>
              <w:spacing w:after="20"/>
            </w:pPr>
            <w:r/>
            <w:r>
              <w:rPr>
                <w:sz w:val="17"/>
              </w:rPr>
              <w:t>Monitoring, period indicators, quarterly retraining</w:t>
            </w:r>
          </w:p>
        </w:tc>
        <w:tc>
          <w:tcPr>
            <w:tcW w:type="dxa" w:w="1317"/>
          </w:tcPr>
          <w:p>
            <w:pPr>
              <w:spacing w:after="20"/>
            </w:pPr>
            <w:r/>
            <w:r>
              <w:rPr>
                <w:sz w:val="17"/>
              </w:rPr>
              <w:t>DS</w:t>
            </w:r>
          </w:p>
        </w:tc>
      </w:tr>
      <w:tr>
        <w:tc>
          <w:tcPr>
            <w:tcW w:type="dxa" w:w="2786"/>
            <w:shd w:val="clear" w:color="auto" w:fill="F2F5F9"/>
          </w:tcPr>
          <w:p>
            <w:pPr>
              <w:spacing w:after="20"/>
            </w:pPr>
            <w:r/>
            <w:r>
              <w:rPr>
                <w:sz w:val="17"/>
              </w:rPr>
              <w:t>Silent attrition missed</w:t>
            </w:r>
          </w:p>
        </w:tc>
        <w:tc>
          <w:tcPr>
            <w:tcW w:type="dxa" w:w="1463"/>
            <w:shd w:val="clear" w:color="auto" w:fill="F2F5F9"/>
          </w:tcPr>
          <w:p>
            <w:pPr>
              <w:spacing w:after="20"/>
            </w:pPr>
            <w:r/>
            <w:r>
              <w:rPr>
                <w:sz w:val="17"/>
              </w:rPr>
              <w:t>Medium</w:t>
            </w:r>
          </w:p>
        </w:tc>
        <w:tc>
          <w:tcPr>
            <w:tcW w:type="dxa" w:w="1463"/>
            <w:shd w:val="clear" w:color="auto" w:fill="F2F5F9"/>
          </w:tcPr>
          <w:p>
            <w:pPr>
              <w:spacing w:after="20"/>
            </w:pPr>
            <w:r/>
            <w:r>
              <w:rPr>
                <w:sz w:val="17"/>
              </w:rPr>
              <w:t>Medium</w:t>
            </w:r>
          </w:p>
        </w:tc>
        <w:tc>
          <w:tcPr>
            <w:tcW w:type="dxa" w:w="2609"/>
            <w:shd w:val="clear" w:color="auto" w:fill="F2F5F9"/>
          </w:tcPr>
          <w:p>
            <w:pPr>
              <w:spacing w:after="20"/>
            </w:pPr>
            <w:r/>
            <w:r>
              <w:rPr>
                <w:sz w:val="17"/>
              </w:rPr>
              <w:t>Secondary target (Q2)</w:t>
            </w:r>
          </w:p>
        </w:tc>
        <w:tc>
          <w:tcPr>
            <w:tcW w:type="dxa" w:w="1317"/>
            <w:shd w:val="clear" w:color="auto" w:fill="F2F5F9"/>
          </w:tcPr>
          <w:p>
            <w:pPr>
              <w:spacing w:after="20"/>
            </w:pPr>
            <w:r/>
            <w:r>
              <w:rPr>
                <w:sz w:val="17"/>
              </w:rPr>
              <w:t>DS</w:t>
            </w:r>
          </w:p>
        </w:tc>
      </w:tr>
      <w:tr>
        <w:tc>
          <w:tcPr>
            <w:tcW w:type="dxa" w:w="2786"/>
          </w:tcPr>
          <w:p>
            <w:pPr>
              <w:spacing w:after="20"/>
            </w:pPr>
            <w:r/>
            <w:r>
              <w:rPr>
                <w:sz w:val="17"/>
              </w:rPr>
              <w:t>Fairness or proxy discrimination in offers</w:t>
            </w:r>
          </w:p>
        </w:tc>
        <w:tc>
          <w:tcPr>
            <w:tcW w:type="dxa" w:w="1463"/>
          </w:tcPr>
          <w:p>
            <w:pPr>
              <w:spacing w:after="20"/>
            </w:pPr>
            <w:r/>
            <w:r>
              <w:rPr>
                <w:sz w:val="17"/>
              </w:rPr>
              <w:t>Low–Medium</w:t>
            </w:r>
          </w:p>
        </w:tc>
        <w:tc>
          <w:tcPr>
            <w:tcW w:type="dxa" w:w="1463"/>
          </w:tcPr>
          <w:p>
            <w:pPr>
              <w:spacing w:after="20"/>
            </w:pPr>
            <w:r/>
            <w:r>
              <w:rPr>
                <w:sz w:val="17"/>
              </w:rPr>
              <w:t>High</w:t>
            </w:r>
          </w:p>
        </w:tc>
        <w:tc>
          <w:tcPr>
            <w:tcW w:type="dxa" w:w="2609"/>
          </w:tcPr>
          <w:p>
            <w:pPr>
              <w:spacing w:after="20"/>
            </w:pPr>
            <w:r/>
            <w:r>
              <w:rPr>
                <w:sz w:val="17"/>
              </w:rPr>
              <w:t>Fairness testing; feature review</w:t>
            </w:r>
          </w:p>
        </w:tc>
        <w:tc>
          <w:tcPr>
            <w:tcW w:type="dxa" w:w="1317"/>
          </w:tcPr>
          <w:p>
            <w:pPr>
              <w:spacing w:after="20"/>
            </w:pPr>
            <w:r/>
            <w:r>
              <w:rPr>
                <w:sz w:val="17"/>
              </w:rPr>
              <w:t>Risk</w:t>
            </w:r>
          </w:p>
        </w:tc>
      </w:tr>
      <w:tr>
        <w:tc>
          <w:tcPr>
            <w:tcW w:type="dxa" w:w="2786"/>
            <w:shd w:val="clear" w:color="auto" w:fill="F2F5F9"/>
          </w:tcPr>
          <w:p>
            <w:pPr>
              <w:spacing w:after="20"/>
            </w:pPr>
            <w:r/>
            <w:r>
              <w:rPr>
                <w:sz w:val="17"/>
              </w:rPr>
              <w:t>Agents ignore or override list</w:t>
            </w:r>
          </w:p>
        </w:tc>
        <w:tc>
          <w:tcPr>
            <w:tcW w:type="dxa" w:w="1463"/>
            <w:shd w:val="clear" w:color="auto" w:fill="F2F5F9"/>
          </w:tcPr>
          <w:p>
            <w:pPr>
              <w:spacing w:after="20"/>
            </w:pPr>
            <w:r/>
            <w:r>
              <w:rPr>
                <w:sz w:val="17"/>
              </w:rPr>
              <w:t>Medium</w:t>
            </w:r>
          </w:p>
        </w:tc>
        <w:tc>
          <w:tcPr>
            <w:tcW w:type="dxa" w:w="1463"/>
            <w:shd w:val="clear" w:color="auto" w:fill="F2F5F9"/>
          </w:tcPr>
          <w:p>
            <w:pPr>
              <w:spacing w:after="20"/>
            </w:pPr>
            <w:r/>
            <w:r>
              <w:rPr>
                <w:sz w:val="17"/>
              </w:rPr>
              <w:t>Medium</w:t>
            </w:r>
          </w:p>
        </w:tc>
        <w:tc>
          <w:tcPr>
            <w:tcW w:type="dxa" w:w="2609"/>
            <w:shd w:val="clear" w:color="auto" w:fill="F2F5F9"/>
          </w:tcPr>
          <w:p>
            <w:pPr>
              <w:spacing w:after="20"/>
            </w:pPr>
            <w:r/>
            <w:r>
              <w:rPr>
                <w:sz w:val="17"/>
              </w:rPr>
              <w:t>Training, override logging, feedback loop</w:t>
            </w:r>
          </w:p>
        </w:tc>
        <w:tc>
          <w:tcPr>
            <w:tcW w:type="dxa" w:w="1317"/>
            <w:shd w:val="clear" w:color="auto" w:fill="F2F5F9"/>
          </w:tcPr>
          <w:p>
            <w:pPr>
              <w:spacing w:after="20"/>
            </w:pPr>
            <w:r/>
            <w:r>
              <w:rPr>
                <w:sz w:val="17"/>
              </w:rPr>
              <w:t>Retention</w:t>
            </w:r>
          </w:p>
        </w:tc>
      </w:tr>
      <w:tr>
        <w:tc>
          <w:tcPr>
            <w:tcW w:type="dxa" w:w="2786"/>
          </w:tcPr>
          <w:p>
            <w:pPr>
              <w:spacing w:after="20"/>
            </w:pPr>
            <w:r/>
            <w:r>
              <w:rPr>
                <w:sz w:val="17"/>
              </w:rPr>
              <w:t>Privacy breach from call text</w:t>
            </w:r>
          </w:p>
        </w:tc>
        <w:tc>
          <w:tcPr>
            <w:tcW w:type="dxa" w:w="1463"/>
          </w:tcPr>
          <w:p>
            <w:pPr>
              <w:spacing w:after="20"/>
            </w:pPr>
            <w:r/>
            <w:r>
              <w:rPr>
                <w:sz w:val="17"/>
              </w:rPr>
              <w:t>Low</w:t>
            </w:r>
          </w:p>
        </w:tc>
        <w:tc>
          <w:tcPr>
            <w:tcW w:type="dxa" w:w="1463"/>
          </w:tcPr>
          <w:p>
            <w:pPr>
              <w:spacing w:after="20"/>
            </w:pPr>
            <w:r/>
            <w:r>
              <w:rPr>
                <w:sz w:val="17"/>
              </w:rPr>
              <w:t>High</w:t>
            </w:r>
          </w:p>
        </w:tc>
        <w:tc>
          <w:tcPr>
            <w:tcW w:type="dxa" w:w="2609"/>
          </w:tcPr>
          <w:p>
            <w:pPr>
              <w:spacing w:after="20"/>
            </w:pPr>
            <w:r/>
            <w:r>
              <w:rPr>
                <w:sz w:val="17"/>
              </w:rPr>
              <w:t>In-environment processing; redaction</w:t>
            </w:r>
          </w:p>
        </w:tc>
        <w:tc>
          <w:tcPr>
            <w:tcW w:type="dxa" w:w="1317"/>
          </w:tcPr>
          <w:p>
            <w:pPr>
              <w:spacing w:after="20"/>
            </w:pPr>
            <w:r/>
            <w:r>
              <w:rPr>
                <w:sz w:val="17"/>
              </w:rPr>
              <w:t>Security</w:t>
            </w:r>
          </w:p>
        </w:tc>
      </w:tr>
    </w:tbl>
    <w:p>
      <w:pPr>
        <w:spacing w:after="40"/>
      </w:pPr>
    </w:p>
    <w:p>
      <w:pPr>
        <w:pStyle w:val="Heading2"/>
      </w:pPr>
      <w:r>
        <w:rPr/>
        <w:t>19. Phased Implementation Roadmap</w:t>
      </w:r>
    </w:p>
    <w:p>
      <w:r>
        <w:rPr/>
        <w:t xml:space="preserve">All effort ranges are </w:t>
      </w:r>
      <w:r>
        <w:rPr>
          <w:b/>
        </w:rPr>
        <w:t>provisional</w:t>
      </w:r>
      <w:r>
        <w:rPr/>
        <w:t>, since team size, infrastructure and data readiness are unknown.</w:t>
      </w:r>
    </w:p>
    <w:tbl>
      <w:tblPr>
        <w:tblStyle w:val="TableGrid"/>
        <w:tblW w:type="auto" w:w="0"/>
        <w:jc w:val="center"/>
        <w:tblLayout w:type="fixed"/>
        <w:tblLook w:firstColumn="1" w:firstRow="1" w:lastColumn="0" w:lastRow="0" w:noHBand="0" w:noVBand="1" w:val="04A0"/>
        <w:tblLayout w:type="fixed"/>
      </w:tblPr>
      <w:tblGrid>
        <w:gridCol w:w="1088"/>
        <w:gridCol w:w="2484"/>
        <w:gridCol w:w="1187"/>
        <w:gridCol w:w="1690"/>
        <w:gridCol w:w="1902"/>
        <w:gridCol w:w="1286"/>
      </w:tblGrid>
      <w:tr>
        <w:trPr>
          <w:tblHeader w:val="true"/>
        </w:trPr>
        <w:tc>
          <w:tcPr>
            <w:tcW w:type="dxa" w:w="1088"/>
            <w:shd w:val="clear" w:color="auto" w:fill="1F3A5F"/>
          </w:tcPr>
          <w:p>
            <w:r/>
            <w:r>
              <w:rPr>
                <w:b/>
                <w:color w:val="FFFFFF"/>
                <w:sz w:val="17"/>
              </w:rPr>
              <w:t>Phase</w:t>
            </w:r>
          </w:p>
        </w:tc>
        <w:tc>
          <w:tcPr>
            <w:tcW w:type="dxa" w:w="2484"/>
            <w:shd w:val="clear" w:color="auto" w:fill="1F3A5F"/>
          </w:tcPr>
          <w:p>
            <w:r/>
            <w:r>
              <w:rPr>
                <w:b/>
                <w:color w:val="FFFFFF"/>
                <w:sz w:val="17"/>
              </w:rPr>
              <w:t>Work package</w:t>
            </w:r>
          </w:p>
        </w:tc>
        <w:tc>
          <w:tcPr>
            <w:tcW w:type="dxa" w:w="1187"/>
            <w:shd w:val="clear" w:color="auto" w:fill="1F3A5F"/>
          </w:tcPr>
          <w:p>
            <w:r/>
            <w:r>
              <w:rPr>
                <w:b/>
                <w:color w:val="FFFFFF"/>
                <w:sz w:val="17"/>
              </w:rPr>
              <w:t>Dependencies</w:t>
            </w:r>
          </w:p>
        </w:tc>
        <w:tc>
          <w:tcPr>
            <w:tcW w:type="dxa" w:w="1690"/>
            <w:shd w:val="clear" w:color="auto" w:fill="1F3A5F"/>
          </w:tcPr>
          <w:p>
            <w:r/>
            <w:r>
              <w:rPr>
                <w:b/>
                <w:color w:val="FFFFFF"/>
                <w:sz w:val="17"/>
              </w:rPr>
              <w:t>Deliverables</w:t>
            </w:r>
          </w:p>
        </w:tc>
        <w:tc>
          <w:tcPr>
            <w:tcW w:type="dxa" w:w="1902"/>
            <w:shd w:val="clear" w:color="auto" w:fill="1F3A5F"/>
          </w:tcPr>
          <w:p>
            <w:r/>
            <w:r>
              <w:rPr>
                <w:b/>
                <w:color w:val="FFFFFF"/>
                <w:sz w:val="17"/>
              </w:rPr>
              <w:t>Acceptance criteria</w:t>
            </w:r>
          </w:p>
        </w:tc>
        <w:tc>
          <w:tcPr>
            <w:tcW w:type="dxa" w:w="1286"/>
            <w:shd w:val="clear" w:color="auto" w:fill="1F3A5F"/>
          </w:tcPr>
          <w:p>
            <w:r/>
            <w:r>
              <w:rPr>
                <w:b/>
                <w:color w:val="FFFFFF"/>
                <w:sz w:val="17"/>
              </w:rPr>
              <w:t>Indicative effort (provisional)</w:t>
            </w:r>
          </w:p>
        </w:tc>
      </w:tr>
      <w:tr>
        <w:tc>
          <w:tcPr>
            <w:tcW w:type="dxa" w:w="1088"/>
          </w:tcPr>
          <w:p>
            <w:pPr>
              <w:spacing w:after="20"/>
            </w:pPr>
            <w:r/>
            <w:r>
              <w:rPr>
                <w:sz w:val="17"/>
              </w:rPr>
              <w:t>1 Discovery</w:t>
            </w:r>
          </w:p>
        </w:tc>
        <w:tc>
          <w:tcPr>
            <w:tcW w:type="dxa" w:w="2484"/>
          </w:tcPr>
          <w:p>
            <w:pPr>
              <w:spacing w:after="20"/>
            </w:pPr>
            <w:r/>
            <w:r>
              <w:rPr>
                <w:sz w:val="17"/>
              </w:rPr>
              <w:t>Confirm definitions (Q1–Q8), stakeholders, success metrics, governance path</w:t>
            </w:r>
          </w:p>
        </w:tc>
        <w:tc>
          <w:tcPr>
            <w:tcW w:type="dxa" w:w="1187"/>
          </w:tcPr>
          <w:p>
            <w:pPr>
              <w:spacing w:after="20"/>
            </w:pPr>
            <w:r/>
            <w:r>
              <w:rPr>
                <w:sz w:val="17"/>
              </w:rPr>
              <w:t>Client access</w:t>
            </w:r>
          </w:p>
        </w:tc>
        <w:tc>
          <w:tcPr>
            <w:tcW w:type="dxa" w:w="1690"/>
          </w:tcPr>
          <w:p>
            <w:pPr>
              <w:spacing w:after="20"/>
            </w:pPr>
            <w:r/>
            <w:r>
              <w:rPr>
                <w:sz w:val="17"/>
              </w:rPr>
              <w:t>Signed-off target definition, success criteria, experiment approval path</w:t>
            </w:r>
          </w:p>
        </w:tc>
        <w:tc>
          <w:tcPr>
            <w:tcW w:type="dxa" w:w="1902"/>
          </w:tcPr>
          <w:p>
            <w:pPr>
              <w:spacing w:after="20"/>
            </w:pPr>
            <w:r/>
            <w:r>
              <w:rPr>
                <w:sz w:val="17"/>
              </w:rPr>
              <w:t>Q1–Q7 and Q9 answered in writing, including the current baseline process (Q6) and the lead time (Q7)</w:t>
            </w:r>
          </w:p>
        </w:tc>
        <w:tc>
          <w:tcPr>
            <w:tcW w:type="dxa" w:w="1286"/>
          </w:tcPr>
          <w:p>
            <w:pPr>
              <w:spacing w:after="20"/>
            </w:pPr>
            <w:r/>
            <w:r>
              <w:rPr>
                <w:sz w:val="17"/>
              </w:rPr>
              <w:t>2–3 weeks</w:t>
            </w:r>
          </w:p>
        </w:tc>
      </w:tr>
      <w:tr>
        <w:tc>
          <w:tcPr>
            <w:tcW w:type="dxa" w:w="1088"/>
            <w:shd w:val="clear" w:color="auto" w:fill="F2F5F9"/>
          </w:tcPr>
          <w:p>
            <w:pPr>
              <w:spacing w:after="20"/>
            </w:pPr>
            <w:r/>
            <w:r>
              <w:rPr>
                <w:sz w:val="17"/>
              </w:rPr>
              <w:t>2 Data engineering</w:t>
            </w:r>
          </w:p>
        </w:tc>
        <w:tc>
          <w:tcPr>
            <w:tcW w:type="dxa" w:w="2484"/>
            <w:shd w:val="clear" w:color="auto" w:fill="F2F5F9"/>
          </w:tcPr>
          <w:p>
            <w:pPr>
              <w:spacing w:after="20"/>
            </w:pPr>
            <w:r/>
            <w:r>
              <w:rPr>
                <w:sz w:val="17"/>
              </w:rPr>
              <w:t>Point-in-time monthly snapshot table, label table, campaign history, quality checks</w:t>
            </w:r>
          </w:p>
        </w:tc>
        <w:tc>
          <w:tcPr>
            <w:tcW w:type="dxa" w:w="1187"/>
            <w:shd w:val="clear" w:color="auto" w:fill="F2F5F9"/>
          </w:tcPr>
          <w:p>
            <w:pPr>
              <w:spacing w:after="20"/>
            </w:pPr>
            <w:r/>
            <w:r>
              <w:rPr>
                <w:sz w:val="17"/>
              </w:rPr>
              <w:t>Data access, Q4</w:t>
            </w:r>
          </w:p>
        </w:tc>
        <w:tc>
          <w:tcPr>
            <w:tcW w:type="dxa" w:w="1690"/>
            <w:shd w:val="clear" w:color="auto" w:fill="F2F5F9"/>
          </w:tcPr>
          <w:p>
            <w:pPr>
              <w:spacing w:after="20"/>
            </w:pPr>
            <w:r/>
            <w:r>
              <w:rPr>
                <w:sz w:val="17"/>
              </w:rPr>
              <w:t>Versioned snapshot and label tables; data dictionary</w:t>
            </w:r>
          </w:p>
        </w:tc>
        <w:tc>
          <w:tcPr>
            <w:tcW w:type="dxa" w:w="1902"/>
            <w:shd w:val="clear" w:color="auto" w:fill="F2F5F9"/>
          </w:tcPr>
          <w:p>
            <w:pPr>
              <w:spacing w:after="20"/>
            </w:pPr>
            <w:r/>
            <w:r>
              <w:rPr>
                <w:sz w:val="17"/>
              </w:rPr>
              <w:t>Reproducible rebuild of a past month; reconciliation passes</w:t>
            </w:r>
          </w:p>
        </w:tc>
        <w:tc>
          <w:tcPr>
            <w:tcW w:type="dxa" w:w="1286"/>
            <w:shd w:val="clear" w:color="auto" w:fill="F2F5F9"/>
          </w:tcPr>
          <w:p>
            <w:pPr>
              <w:spacing w:after="20"/>
            </w:pPr>
            <w:r/>
            <w:r>
              <w:rPr>
                <w:sz w:val="17"/>
              </w:rPr>
              <w:t>4–8 weeks</w:t>
            </w:r>
          </w:p>
        </w:tc>
      </w:tr>
      <w:tr>
        <w:tc>
          <w:tcPr>
            <w:tcW w:type="dxa" w:w="1088"/>
          </w:tcPr>
          <w:p>
            <w:pPr>
              <w:spacing w:after="20"/>
            </w:pPr>
            <w:r/>
            <w:r>
              <w:rPr>
                <w:sz w:val="17"/>
              </w:rPr>
              <w:t>3 Analysis / EDA</w:t>
            </w:r>
          </w:p>
        </w:tc>
        <w:tc>
          <w:tcPr>
            <w:tcW w:type="dxa" w:w="2484"/>
          </w:tcPr>
          <w:p>
            <w:pPr>
              <w:spacing w:after="20"/>
            </w:pPr>
            <w:r/>
            <w:r>
              <w:rPr>
                <w:sz w:val="17"/>
              </w:rPr>
              <w:t>Prevalence by month, missingness, label maturity, segment profiles, A2 descriptive findings</w:t>
            </w:r>
          </w:p>
        </w:tc>
        <w:tc>
          <w:tcPr>
            <w:tcW w:type="dxa" w:w="1187"/>
          </w:tcPr>
          <w:p>
            <w:pPr>
              <w:spacing w:after="20"/>
            </w:pPr>
            <w:r/>
            <w:r>
              <w:rPr>
                <w:sz w:val="17"/>
              </w:rPr>
              <w:t>Phase 2</w:t>
            </w:r>
          </w:p>
        </w:tc>
        <w:tc>
          <w:tcPr>
            <w:tcW w:type="dxa" w:w="1690"/>
          </w:tcPr>
          <w:p>
            <w:pPr>
              <w:spacing w:after="20"/>
            </w:pPr>
            <w:r/>
            <w:r>
              <w:rPr>
                <w:sz w:val="17"/>
              </w:rPr>
              <w:t>EDA report; refined plan</w:t>
            </w:r>
          </w:p>
        </w:tc>
        <w:tc>
          <w:tcPr>
            <w:tcW w:type="dxa" w:w="1902"/>
          </w:tcPr>
          <w:p>
            <w:pPr>
              <w:spacing w:after="20"/>
            </w:pPr>
            <w:r/>
            <w:r>
              <w:rPr>
                <w:sz w:val="17"/>
              </w:rPr>
              <w:t>Findings reviewed with client</w:t>
            </w:r>
          </w:p>
        </w:tc>
        <w:tc>
          <w:tcPr>
            <w:tcW w:type="dxa" w:w="1286"/>
          </w:tcPr>
          <w:p>
            <w:pPr>
              <w:spacing w:after="20"/>
            </w:pPr>
            <w:r/>
            <w:r>
              <w:rPr>
                <w:sz w:val="17"/>
              </w:rPr>
              <w:t>2–3 weeks</w:t>
            </w:r>
          </w:p>
        </w:tc>
      </w:tr>
      <w:tr>
        <w:tc>
          <w:tcPr>
            <w:tcW w:type="dxa" w:w="1088"/>
            <w:shd w:val="clear" w:color="auto" w:fill="F2F5F9"/>
          </w:tcPr>
          <w:p>
            <w:pPr>
              <w:spacing w:after="20"/>
            </w:pPr>
            <w:r/>
            <w:r>
              <w:rPr>
                <w:sz w:val="17"/>
              </w:rPr>
              <w:t>4 Modelling</w:t>
            </w:r>
          </w:p>
        </w:tc>
        <w:tc>
          <w:tcPr>
            <w:tcW w:type="dxa" w:w="2484"/>
            <w:shd w:val="clear" w:color="auto" w:fill="F2F5F9"/>
          </w:tcPr>
          <w:p>
            <w:pPr>
              <w:spacing w:after="20"/>
            </w:pPr>
            <w:r/>
            <w:r>
              <w:rPr>
                <w:sz w:val="17"/>
              </w:rPr>
              <w:t>Baselines, candidates, ablations, calibration (E1–E6)</w:t>
            </w:r>
          </w:p>
        </w:tc>
        <w:tc>
          <w:tcPr>
            <w:tcW w:type="dxa" w:w="1187"/>
            <w:shd w:val="clear" w:color="auto" w:fill="F2F5F9"/>
          </w:tcPr>
          <w:p>
            <w:pPr>
              <w:spacing w:after="20"/>
            </w:pPr>
            <w:r/>
            <w:r>
              <w:rPr>
                <w:sz w:val="17"/>
              </w:rPr>
              <w:t>Phases 2–3</w:t>
            </w:r>
          </w:p>
        </w:tc>
        <w:tc>
          <w:tcPr>
            <w:tcW w:type="dxa" w:w="1690"/>
            <w:shd w:val="clear" w:color="auto" w:fill="F2F5F9"/>
          </w:tcPr>
          <w:p>
            <w:pPr>
              <w:spacing w:after="20"/>
            </w:pPr>
            <w:r/>
            <w:r>
              <w:rPr>
                <w:sz w:val="17"/>
              </w:rPr>
              <w:t>Experiment log, candidate models</w:t>
            </w:r>
          </w:p>
        </w:tc>
        <w:tc>
          <w:tcPr>
            <w:tcW w:type="dxa" w:w="1902"/>
            <w:shd w:val="clear" w:color="auto" w:fill="F2F5F9"/>
          </w:tcPr>
          <w:p>
            <w:pPr>
              <w:spacing w:after="20"/>
            </w:pPr>
            <w:r/>
            <w:r>
              <w:rPr>
                <w:sz w:val="17"/>
              </w:rPr>
              <w:t>Beats agreed bar on validation folds</w:t>
            </w:r>
          </w:p>
        </w:tc>
        <w:tc>
          <w:tcPr>
            <w:tcW w:type="dxa" w:w="1286"/>
            <w:shd w:val="clear" w:color="auto" w:fill="F2F5F9"/>
          </w:tcPr>
          <w:p>
            <w:pPr>
              <w:spacing w:after="20"/>
            </w:pPr>
            <w:r/>
            <w:r>
              <w:rPr>
                <w:sz w:val="17"/>
              </w:rPr>
              <w:t>4–6 weeks</w:t>
            </w:r>
          </w:p>
        </w:tc>
      </w:tr>
      <w:tr>
        <w:tc>
          <w:tcPr>
            <w:tcW w:type="dxa" w:w="1088"/>
          </w:tcPr>
          <w:p>
            <w:pPr>
              <w:spacing w:after="20"/>
            </w:pPr>
            <w:r/>
            <w:r>
              <w:rPr>
                <w:sz w:val="17"/>
              </w:rPr>
              <w:t>5 Validation</w:t>
            </w:r>
          </w:p>
        </w:tc>
        <w:tc>
          <w:tcPr>
            <w:tcW w:type="dxa" w:w="2484"/>
          </w:tcPr>
          <w:p>
            <w:pPr>
              <w:spacing w:after="20"/>
            </w:pPr>
            <w:r/>
            <w:r>
              <w:rPr>
                <w:sz w:val="17"/>
              </w:rPr>
              <w:t>Robustness, fairness, locked test, model documentation, independent validation</w:t>
            </w:r>
          </w:p>
        </w:tc>
        <w:tc>
          <w:tcPr>
            <w:tcW w:type="dxa" w:w="1187"/>
          </w:tcPr>
          <w:p>
            <w:pPr>
              <w:spacing w:after="20"/>
            </w:pPr>
            <w:r/>
            <w:r>
              <w:rPr>
                <w:sz w:val="17"/>
              </w:rPr>
              <w:t>Phase 4</w:t>
            </w:r>
          </w:p>
        </w:tc>
        <w:tc>
          <w:tcPr>
            <w:tcW w:type="dxa" w:w="1690"/>
          </w:tcPr>
          <w:p>
            <w:pPr>
              <w:spacing w:after="20"/>
            </w:pPr>
            <w:r/>
            <w:r>
              <w:rPr>
                <w:sz w:val="17"/>
              </w:rPr>
              <w:t>Validation report, model card</w:t>
            </w:r>
          </w:p>
        </w:tc>
        <w:tc>
          <w:tcPr>
            <w:tcW w:type="dxa" w:w="1902"/>
          </w:tcPr>
          <w:p>
            <w:pPr>
              <w:spacing w:after="20"/>
            </w:pPr>
            <w:r/>
            <w:r>
              <w:rPr>
                <w:sz w:val="17"/>
              </w:rPr>
              <w:t>Passes acceptance criteria; sign-off</w:t>
            </w:r>
          </w:p>
        </w:tc>
        <w:tc>
          <w:tcPr>
            <w:tcW w:type="dxa" w:w="1286"/>
          </w:tcPr>
          <w:p>
            <w:pPr>
              <w:spacing w:after="20"/>
            </w:pPr>
            <w:r/>
            <w:r>
              <w:rPr>
                <w:sz w:val="17"/>
              </w:rPr>
              <w:t>3–4 weeks</w:t>
            </w:r>
          </w:p>
        </w:tc>
      </w:tr>
      <w:tr>
        <w:tc>
          <w:tcPr>
            <w:tcW w:type="dxa" w:w="1088"/>
            <w:shd w:val="clear" w:color="auto" w:fill="F2F5F9"/>
          </w:tcPr>
          <w:p>
            <w:pPr>
              <w:spacing w:after="20"/>
            </w:pPr>
            <w:r/>
            <w:r>
              <w:rPr>
                <w:sz w:val="17"/>
              </w:rPr>
              <w:t>5b Randomised pilot (parallel)</w:t>
            </w:r>
          </w:p>
        </w:tc>
        <w:tc>
          <w:tcPr>
            <w:tcW w:type="dxa" w:w="2484"/>
            <w:shd w:val="clear" w:color="auto" w:fill="F2F5F9"/>
          </w:tcPr>
          <w:p>
            <w:pPr>
              <w:spacing w:after="20"/>
            </w:pPr>
            <w:r/>
            <w:r>
              <w:rPr>
                <w:sz w:val="17"/>
              </w:rPr>
              <w:t>Design, approval, launch three monthly waves, 90-day outcomes</w:t>
            </w:r>
          </w:p>
        </w:tc>
        <w:tc>
          <w:tcPr>
            <w:tcW w:type="dxa" w:w="1187"/>
            <w:shd w:val="clear" w:color="auto" w:fill="F2F5F9"/>
          </w:tcPr>
          <w:p>
            <w:pPr>
              <w:spacing w:after="20"/>
            </w:pPr>
            <w:r/>
            <w:r>
              <w:rPr>
                <w:sz w:val="17"/>
              </w:rPr>
              <w:t>Q5, Phase 4 first model or baseline list</w:t>
            </w:r>
          </w:p>
        </w:tc>
        <w:tc>
          <w:tcPr>
            <w:tcW w:type="dxa" w:w="1690"/>
            <w:shd w:val="clear" w:color="auto" w:fill="F2F5F9"/>
          </w:tcPr>
          <w:p>
            <w:pPr>
              <w:spacing w:after="20"/>
            </w:pPr>
            <w:r/>
            <w:r>
              <w:rPr>
                <w:sz w:val="17"/>
              </w:rPr>
              <w:t>Pre-registered analysis plan, experiment results</w:t>
            </w:r>
          </w:p>
        </w:tc>
        <w:tc>
          <w:tcPr>
            <w:tcW w:type="dxa" w:w="1902"/>
            <w:shd w:val="clear" w:color="auto" w:fill="F2F5F9"/>
          </w:tcPr>
          <w:p>
            <w:pPr>
              <w:spacing w:after="20"/>
            </w:pPr>
            <w:r/>
            <w:r>
              <w:rPr>
                <w:sz w:val="17"/>
              </w:rPr>
              <w:t>Integrity checks pass; effect with CI reported</w:t>
            </w:r>
          </w:p>
        </w:tc>
        <w:tc>
          <w:tcPr>
            <w:tcW w:type="dxa" w:w="1286"/>
            <w:shd w:val="clear" w:color="auto" w:fill="F2F5F9"/>
          </w:tcPr>
          <w:p>
            <w:pPr>
              <w:spacing w:after="20"/>
            </w:pPr>
            <w:r/>
            <w:r>
              <w:rPr>
                <w:sz w:val="17"/>
              </w:rPr>
              <w:t>~6 months to the primary readout; ~15 months to full 12-month follow-up (parallel with phases 6–7)</w:t>
            </w:r>
          </w:p>
        </w:tc>
      </w:tr>
      <w:tr>
        <w:tc>
          <w:tcPr>
            <w:tcW w:type="dxa" w:w="1088"/>
          </w:tcPr>
          <w:p>
            <w:pPr>
              <w:spacing w:after="20"/>
            </w:pPr>
            <w:r/>
            <w:r>
              <w:rPr>
                <w:sz w:val="17"/>
              </w:rPr>
              <w:t>6 Deployment</w:t>
            </w:r>
          </w:p>
        </w:tc>
        <w:tc>
          <w:tcPr>
            <w:tcW w:type="dxa" w:w="2484"/>
          </w:tcPr>
          <w:p>
            <w:pPr>
              <w:spacing w:after="20"/>
            </w:pPr>
            <w:r/>
            <w:r>
              <w:rPr>
                <w:sz w:val="17"/>
              </w:rPr>
              <w:t>Batch pipeline, CRM integration, suppression rules, fallback</w:t>
            </w:r>
          </w:p>
        </w:tc>
        <w:tc>
          <w:tcPr>
            <w:tcW w:type="dxa" w:w="1187"/>
          </w:tcPr>
          <w:p>
            <w:pPr>
              <w:spacing w:after="20"/>
            </w:pPr>
            <w:r/>
            <w:r>
              <w:rPr>
                <w:sz w:val="17"/>
              </w:rPr>
              <w:t>Phase 5</w:t>
            </w:r>
          </w:p>
        </w:tc>
        <w:tc>
          <w:tcPr>
            <w:tcW w:type="dxa" w:w="1690"/>
          </w:tcPr>
          <w:p>
            <w:pPr>
              <w:spacing w:after="20"/>
            </w:pPr>
            <w:r/>
            <w:r>
              <w:rPr>
                <w:sz w:val="17"/>
              </w:rPr>
              <w:t>Production pipeline, runbook</w:t>
            </w:r>
          </w:p>
        </w:tc>
        <w:tc>
          <w:tcPr>
            <w:tcW w:type="dxa" w:w="1902"/>
          </w:tcPr>
          <w:p>
            <w:pPr>
              <w:spacing w:after="20"/>
            </w:pPr>
            <w:r/>
            <w:r>
              <w:rPr>
                <w:sz w:val="17"/>
              </w:rPr>
              <w:t>Shadow run matches offline</w:t>
            </w:r>
          </w:p>
        </w:tc>
        <w:tc>
          <w:tcPr>
            <w:tcW w:type="dxa" w:w="1286"/>
          </w:tcPr>
          <w:p>
            <w:pPr>
              <w:spacing w:after="20"/>
            </w:pPr>
            <w:r/>
            <w:r>
              <w:rPr>
                <w:sz w:val="17"/>
              </w:rPr>
              <w:t>4–6 weeks</w:t>
            </w:r>
          </w:p>
        </w:tc>
      </w:tr>
      <w:tr>
        <w:tc>
          <w:tcPr>
            <w:tcW w:type="dxa" w:w="1088"/>
            <w:shd w:val="clear" w:color="auto" w:fill="F2F5F9"/>
          </w:tcPr>
          <w:p>
            <w:pPr>
              <w:spacing w:after="20"/>
            </w:pPr>
            <w:r/>
            <w:r>
              <w:rPr>
                <w:sz w:val="17"/>
              </w:rPr>
              <w:t>7 Monitoring and uplift</w:t>
            </w:r>
          </w:p>
        </w:tc>
        <w:tc>
          <w:tcPr>
            <w:tcW w:type="dxa" w:w="2484"/>
            <w:shd w:val="clear" w:color="auto" w:fill="F2F5F9"/>
          </w:tcPr>
          <w:p>
            <w:pPr>
              <w:spacing w:after="20"/>
            </w:pPr>
            <w:r/>
            <w:r>
              <w:rPr>
                <w:sz w:val="17"/>
              </w:rPr>
              <w:t>Monitoring, quarterly retrain, uplift model from pilot data, second validation wave</w:t>
            </w:r>
          </w:p>
        </w:tc>
        <w:tc>
          <w:tcPr>
            <w:tcW w:type="dxa" w:w="1187"/>
            <w:shd w:val="clear" w:color="auto" w:fill="F2F5F9"/>
          </w:tcPr>
          <w:p>
            <w:pPr>
              <w:spacing w:after="20"/>
            </w:pPr>
            <w:r/>
            <w:r>
              <w:rPr>
                <w:sz w:val="17"/>
              </w:rPr>
              <w:t>Pilot data</w:t>
            </w:r>
          </w:p>
        </w:tc>
        <w:tc>
          <w:tcPr>
            <w:tcW w:type="dxa" w:w="1690"/>
            <w:shd w:val="clear" w:color="auto" w:fill="F2F5F9"/>
          </w:tcPr>
          <w:p>
            <w:pPr>
              <w:spacing w:after="20"/>
            </w:pPr>
            <w:r/>
            <w:r>
              <w:rPr>
                <w:sz w:val="17"/>
              </w:rPr>
              <w:t>Dashboards, retrain schedule, uplift evaluation</w:t>
            </w:r>
          </w:p>
        </w:tc>
        <w:tc>
          <w:tcPr>
            <w:tcW w:type="dxa" w:w="1902"/>
            <w:shd w:val="clear" w:color="auto" w:fill="F2F5F9"/>
          </w:tcPr>
          <w:p>
            <w:pPr>
              <w:spacing w:after="20"/>
            </w:pPr>
            <w:r/>
            <w:r>
              <w:rPr>
                <w:sz w:val="17"/>
              </w:rPr>
              <w:t>Thresholds live; uplift beats risk ranking or is dropped</w:t>
            </w:r>
          </w:p>
        </w:tc>
        <w:tc>
          <w:tcPr>
            <w:tcW w:type="dxa" w:w="1286"/>
            <w:shd w:val="clear" w:color="auto" w:fill="F2F5F9"/>
          </w:tcPr>
          <w:p>
            <w:pPr>
              <w:spacing w:after="20"/>
            </w:pPr>
            <w:r/>
            <w:r>
              <w:rPr>
                <w:sz w:val="17"/>
              </w:rPr>
              <w:t>Ongoing</w:t>
            </w:r>
          </w:p>
        </w:tc>
      </w:tr>
    </w:tbl>
    <w:p>
      <w:pPr>
        <w:spacing w:after="40"/>
      </w:pPr>
    </w:p>
    <w:p>
      <w:pPr>
        <w:pStyle w:val="Heading2"/>
      </w:pPr>
      <w:r>
        <w:rPr/>
        <w:t>20. Decision Log</w:t>
      </w:r>
    </w:p>
    <w:tbl>
      <w:tblPr>
        <w:tblStyle w:val="TableGrid"/>
        <w:tblW w:type="auto" w:w="0"/>
        <w:jc w:val="center"/>
        <w:tblLayout w:type="fixed"/>
        <w:tblLook w:firstColumn="1" w:firstRow="1" w:lastColumn="0" w:lastRow="0" w:noHBand="0" w:noVBand="1" w:val="04A0"/>
        <w:tblLayout w:type="fixed"/>
      </w:tblPr>
      <w:tblGrid>
        <w:gridCol w:w="761"/>
        <w:gridCol w:w="1993"/>
        <w:gridCol w:w="1812"/>
        <w:gridCol w:w="1268"/>
        <w:gridCol w:w="1268"/>
        <w:gridCol w:w="1540"/>
        <w:gridCol w:w="996"/>
      </w:tblGrid>
      <w:tr>
        <w:trPr>
          <w:tblHeader w:val="true"/>
        </w:trPr>
        <w:tc>
          <w:tcPr>
            <w:tcW w:type="dxa" w:w="761"/>
            <w:shd w:val="clear" w:color="auto" w:fill="1F3A5F"/>
          </w:tcPr>
          <w:p>
            <w:r/>
            <w:r>
              <w:rPr>
                <w:b/>
                <w:color w:val="FFFFFF"/>
                <w:sz w:val="15"/>
              </w:rPr>
              <w:t>#</w:t>
            </w:r>
          </w:p>
        </w:tc>
        <w:tc>
          <w:tcPr>
            <w:tcW w:type="dxa" w:w="1993"/>
            <w:shd w:val="clear" w:color="auto" w:fill="1F3A5F"/>
          </w:tcPr>
          <w:p>
            <w:r/>
            <w:r>
              <w:rPr>
                <w:b/>
                <w:color w:val="FFFFFF"/>
                <w:sz w:val="15"/>
              </w:rPr>
              <w:t>Decision / Recommendation</w:t>
            </w:r>
          </w:p>
        </w:tc>
        <w:tc>
          <w:tcPr>
            <w:tcW w:type="dxa" w:w="1812"/>
            <w:shd w:val="clear" w:color="auto" w:fill="1F3A5F"/>
          </w:tcPr>
          <w:p>
            <w:r/>
            <w:r>
              <w:rPr>
                <w:b/>
                <w:color w:val="FFFFFF"/>
                <w:sz w:val="15"/>
              </w:rPr>
              <w:t>Rationale</w:t>
            </w:r>
          </w:p>
        </w:tc>
        <w:tc>
          <w:tcPr>
            <w:tcW w:type="dxa" w:w="1268"/>
            <w:shd w:val="clear" w:color="auto" w:fill="1F3A5F"/>
          </w:tcPr>
          <w:p>
            <w:r/>
            <w:r>
              <w:rPr>
                <w:b/>
                <w:color w:val="FFFFFF"/>
                <w:sz w:val="15"/>
              </w:rPr>
              <w:t>Alternatives considered</w:t>
            </w:r>
          </w:p>
        </w:tc>
        <w:tc>
          <w:tcPr>
            <w:tcW w:type="dxa" w:w="1268"/>
            <w:shd w:val="clear" w:color="auto" w:fill="1F3A5F"/>
          </w:tcPr>
          <w:p>
            <w:r/>
            <w:r>
              <w:rPr>
                <w:b/>
                <w:color w:val="FFFFFF"/>
                <w:sz w:val="15"/>
              </w:rPr>
              <w:t>Key assumptions</w:t>
            </w:r>
          </w:p>
        </w:tc>
        <w:tc>
          <w:tcPr>
            <w:tcW w:type="dxa" w:w="1540"/>
            <w:shd w:val="clear" w:color="auto" w:fill="1F3A5F"/>
          </w:tcPr>
          <w:p>
            <w:r/>
            <w:r>
              <w:rPr>
                <w:b/>
                <w:color w:val="FFFFFF"/>
                <w:sz w:val="15"/>
              </w:rPr>
              <w:t>Risk</w:t>
            </w:r>
          </w:p>
        </w:tc>
        <w:tc>
          <w:tcPr>
            <w:tcW w:type="dxa" w:w="996"/>
            <w:shd w:val="clear" w:color="auto" w:fill="1F3A5F"/>
          </w:tcPr>
          <w:p>
            <w:r/>
            <w:r>
              <w:rPr>
                <w:b/>
                <w:color w:val="FFFFFF"/>
                <w:sz w:val="15"/>
              </w:rPr>
              <w:t>Validation method</w:t>
            </w:r>
          </w:p>
        </w:tc>
      </w:tr>
      <w:tr>
        <w:tc>
          <w:tcPr>
            <w:tcW w:type="dxa" w:w="761"/>
          </w:tcPr>
          <w:p>
            <w:pPr>
              <w:spacing w:after="20"/>
            </w:pPr>
            <w:r/>
            <w:r>
              <w:rPr>
                <w:sz w:val="15"/>
              </w:rPr>
              <w:t>D1</w:t>
            </w:r>
          </w:p>
        </w:tc>
        <w:tc>
          <w:tcPr>
            <w:tcW w:type="dxa" w:w="1993"/>
          </w:tcPr>
          <w:p>
            <w:pPr>
              <w:spacing w:after="20"/>
            </w:pPr>
            <w:r/>
            <w:r>
              <w:rPr>
                <w:sz w:val="15"/>
              </w:rPr>
              <w:t>Split the request into A1 predict, A2 drivers, A3 offer effect</w:t>
            </w:r>
          </w:p>
        </w:tc>
        <w:tc>
          <w:tcPr>
            <w:tcW w:type="dxa" w:w="1812"/>
          </w:tcPr>
          <w:p>
            <w:pPr>
              <w:spacing w:after="20"/>
            </w:pPr>
            <w:r/>
            <w:r>
              <w:rPr>
                <w:sz w:val="15"/>
              </w:rPr>
              <w:t>Each needs a different method and evidence</w:t>
            </w:r>
          </w:p>
        </w:tc>
        <w:tc>
          <w:tcPr>
            <w:tcW w:type="dxa" w:w="1268"/>
          </w:tcPr>
          <w:p>
            <w:pPr>
              <w:spacing w:after="20"/>
            </w:pPr>
            <w:r/>
            <w:r>
              <w:rPr>
                <w:sz w:val="15"/>
              </w:rPr>
              <w:t>One churn model for everything</w:t>
            </w:r>
          </w:p>
        </w:tc>
        <w:tc>
          <w:tcPr>
            <w:tcW w:type="dxa" w:w="1268"/>
          </w:tcPr>
          <w:p>
            <w:pPr>
              <w:spacing w:after="20"/>
            </w:pPr>
            <w:r/>
            <w:r>
              <w:rPr>
                <w:sz w:val="15"/>
              </w:rPr>
              <w:t>Client wants decision value</w:t>
            </w:r>
          </w:p>
        </w:tc>
        <w:tc>
          <w:tcPr>
            <w:tcW w:type="dxa" w:w="1540"/>
          </w:tcPr>
          <w:p>
            <w:pPr>
              <w:spacing w:after="20"/>
            </w:pPr>
            <w:r/>
            <w:r>
              <w:rPr>
                <w:sz w:val="15"/>
              </w:rPr>
              <w:t>Client expects the model to answer "drivers" and "offers"</w:t>
            </w:r>
          </w:p>
        </w:tc>
        <w:tc>
          <w:tcPr>
            <w:tcW w:type="dxa" w:w="996"/>
          </w:tcPr>
          <w:p>
            <w:pPr>
              <w:spacing w:after="20"/>
            </w:pPr>
            <w:r/>
            <w:r>
              <w:rPr>
                <w:sz w:val="15"/>
              </w:rPr>
              <w:t>Review framing with client</w:t>
            </w:r>
          </w:p>
        </w:tc>
      </w:tr>
      <w:tr>
        <w:tc>
          <w:tcPr>
            <w:tcW w:type="dxa" w:w="761"/>
            <w:shd w:val="clear" w:color="auto" w:fill="F2F5F9"/>
          </w:tcPr>
          <w:p>
            <w:pPr>
              <w:spacing w:after="20"/>
            </w:pPr>
            <w:r/>
            <w:r>
              <w:rPr>
                <w:sz w:val="15"/>
              </w:rPr>
              <w:t>D2</w:t>
            </w:r>
          </w:p>
        </w:tc>
        <w:tc>
          <w:tcPr>
            <w:tcW w:type="dxa" w:w="1993"/>
            <w:shd w:val="clear" w:color="auto" w:fill="F2F5F9"/>
          </w:tcPr>
          <w:p>
            <w:pPr>
              <w:spacing w:after="20"/>
            </w:pPr>
            <w:r/>
            <w:r>
              <w:rPr>
                <w:sz w:val="15"/>
              </w:rPr>
              <w:t>Target = 3-month voluntary closure on month-end snapshots</w:t>
            </w:r>
          </w:p>
        </w:tc>
        <w:tc>
          <w:tcPr>
            <w:tcW w:type="dxa" w:w="1812"/>
            <w:shd w:val="clear" w:color="auto" w:fill="F2F5F9"/>
          </w:tcPr>
          <w:p>
            <w:pPr>
              <w:spacing w:after="20"/>
            </w:pPr>
            <w:r/>
            <w:r>
              <w:rPr>
                <w:sz w:val="15"/>
              </w:rPr>
              <w:t>Matches decision and horizon</w:t>
            </w:r>
          </w:p>
        </w:tc>
        <w:tc>
          <w:tcPr>
            <w:tcW w:type="dxa" w:w="1268"/>
            <w:shd w:val="clear" w:color="auto" w:fill="F2F5F9"/>
          </w:tcPr>
          <w:p>
            <w:pPr>
              <w:spacing w:after="20"/>
            </w:pPr>
            <w:r/>
            <w:r>
              <w:rPr>
                <w:sz w:val="15"/>
              </w:rPr>
              <w:t>Survival; dormancy target</w:t>
            </w:r>
          </w:p>
        </w:tc>
        <w:tc>
          <w:tcPr>
            <w:tcW w:type="dxa" w:w="1268"/>
            <w:shd w:val="clear" w:color="auto" w:fill="F2F5F9"/>
          </w:tcPr>
          <w:p>
            <w:pPr>
              <w:spacing w:after="20"/>
            </w:pPr>
            <w:r/>
            <w:r>
              <w:rPr>
                <w:sz w:val="15"/>
              </w:rPr>
              <w:t>Q1, Q3</w:t>
            </w:r>
          </w:p>
        </w:tc>
        <w:tc>
          <w:tcPr>
            <w:tcW w:type="dxa" w:w="1540"/>
            <w:shd w:val="clear" w:color="auto" w:fill="F2F5F9"/>
          </w:tcPr>
          <w:p>
            <w:pPr>
              <w:spacing w:after="20"/>
            </w:pPr>
            <w:r/>
            <w:r>
              <w:rPr>
                <w:sz w:val="15"/>
              </w:rPr>
              <w:t>Wrong label</w:t>
            </w:r>
          </w:p>
        </w:tc>
        <w:tc>
          <w:tcPr>
            <w:tcW w:type="dxa" w:w="996"/>
            <w:shd w:val="clear" w:color="auto" w:fill="F2F5F9"/>
          </w:tcPr>
          <w:p>
            <w:pPr>
              <w:spacing w:after="20"/>
            </w:pPr>
            <w:r/>
            <w:r>
              <w:rPr>
                <w:sz w:val="15"/>
              </w:rPr>
              <w:t>Reason-code audit</w:t>
            </w:r>
          </w:p>
        </w:tc>
      </w:tr>
      <w:tr>
        <w:tc>
          <w:tcPr>
            <w:tcW w:type="dxa" w:w="761"/>
          </w:tcPr>
          <w:p>
            <w:pPr>
              <w:spacing w:after="20"/>
            </w:pPr>
            <w:r/>
            <w:r>
              <w:rPr>
                <w:sz w:val="15"/>
              </w:rPr>
              <w:t>D3</w:t>
            </w:r>
          </w:p>
        </w:tc>
        <w:tc>
          <w:tcPr>
            <w:tcW w:type="dxa" w:w="1993"/>
          </w:tcPr>
          <w:p>
            <w:pPr>
              <w:spacing w:after="20"/>
            </w:pPr>
            <w:r/>
            <w:r>
              <w:rPr>
                <w:sz w:val="15"/>
              </w:rPr>
              <w:t>Select models by precision/lift@20,000; judge the programme by net value from the experiment</w:t>
            </w:r>
          </w:p>
        </w:tc>
        <w:tc>
          <w:tcPr>
            <w:tcW w:type="dxa" w:w="1812"/>
          </w:tcPr>
          <w:p>
            <w:pPr>
              <w:spacing w:after="20"/>
            </w:pPr>
            <w:r/>
            <w:r>
              <w:rPr>
                <w:sz w:val="15"/>
              </w:rPr>
              <w:t>Capacity-constrained ranking; imbalance</w:t>
            </w:r>
          </w:p>
        </w:tc>
        <w:tc>
          <w:tcPr>
            <w:tcW w:type="dxa" w:w="1268"/>
          </w:tcPr>
          <w:p>
            <w:pPr>
              <w:spacing w:after="20"/>
            </w:pPr>
            <w:r/>
            <w:r>
              <w:rPr>
                <w:sz w:val="15"/>
              </w:rPr>
              <w:t>AUC, accuracy</w:t>
            </w:r>
          </w:p>
        </w:tc>
        <w:tc>
          <w:tcPr>
            <w:tcW w:type="dxa" w:w="1268"/>
          </w:tcPr>
          <w:p>
            <w:pPr>
              <w:spacing w:after="20"/>
            </w:pPr>
            <w:r/>
            <w:r>
              <w:rPr>
                <w:sz w:val="15"/>
              </w:rPr>
              <w:t>K = 20,000</w:t>
            </w:r>
          </w:p>
        </w:tc>
        <w:tc>
          <w:tcPr>
            <w:tcW w:type="dxa" w:w="1540"/>
          </w:tcPr>
          <w:p>
            <w:pPr>
              <w:spacing w:after="20"/>
            </w:pPr>
            <w:r/>
            <w:r>
              <w:rPr>
                <w:sz w:val="15"/>
              </w:rPr>
              <w:t>Ignores uplift</w:t>
            </w:r>
          </w:p>
        </w:tc>
        <w:tc>
          <w:tcPr>
            <w:tcW w:type="dxa" w:w="996"/>
          </w:tcPr>
          <w:p>
            <w:pPr>
              <w:spacing w:after="20"/>
            </w:pPr>
            <w:r/>
            <w:r>
              <w:rPr>
                <w:sz w:val="15"/>
              </w:rPr>
              <w:t>Compare to baselines; experiment</w:t>
            </w:r>
          </w:p>
        </w:tc>
      </w:tr>
      <w:tr>
        <w:tc>
          <w:tcPr>
            <w:tcW w:type="dxa" w:w="761"/>
            <w:shd w:val="clear" w:color="auto" w:fill="F2F5F9"/>
          </w:tcPr>
          <w:p>
            <w:pPr>
              <w:spacing w:after="20"/>
            </w:pPr>
            <w:r/>
            <w:r>
              <w:rPr>
                <w:sz w:val="15"/>
              </w:rPr>
              <w:t>D4</w:t>
            </w:r>
          </w:p>
        </w:tc>
        <w:tc>
          <w:tcPr>
            <w:tcW w:type="dxa" w:w="1993"/>
            <w:shd w:val="clear" w:color="auto" w:fill="F2F5F9"/>
          </w:tcPr>
          <w:p>
            <w:pPr>
              <w:spacing w:after="20"/>
            </w:pPr>
            <w:r/>
            <w:r>
              <w:rPr>
                <w:sz w:val="15"/>
              </w:rPr>
              <w:t>No default resampling; calibrate after any weighting</w:t>
            </w:r>
          </w:p>
        </w:tc>
        <w:tc>
          <w:tcPr>
            <w:tcW w:type="dxa" w:w="1812"/>
            <w:shd w:val="clear" w:color="auto" w:fill="F2F5F9"/>
          </w:tcPr>
          <w:p>
            <w:pPr>
              <w:spacing w:after="20"/>
            </w:pPr>
            <w:r/>
            <w:r>
              <w:rPr>
                <w:sz w:val="15"/>
              </w:rPr>
              <w:t>~4% positives is moderate; keep probabilities honest</w:t>
            </w:r>
          </w:p>
        </w:tc>
        <w:tc>
          <w:tcPr>
            <w:tcW w:type="dxa" w:w="1268"/>
            <w:shd w:val="clear" w:color="auto" w:fill="F2F5F9"/>
          </w:tcPr>
          <w:p>
            <w:pPr>
              <w:spacing w:after="20"/>
            </w:pPr>
            <w:r/>
            <w:r>
              <w:rPr>
                <w:sz w:val="15"/>
              </w:rPr>
              <w:t>SMOTE / under-sampling</w:t>
            </w:r>
          </w:p>
        </w:tc>
        <w:tc>
          <w:tcPr>
            <w:tcW w:type="dxa" w:w="1268"/>
            <w:shd w:val="clear" w:color="auto" w:fill="F2F5F9"/>
          </w:tcPr>
          <w:p>
            <w:pPr>
              <w:spacing w:after="20"/>
            </w:pPr>
            <w:r/>
            <w:r>
              <w:rPr>
                <w:sz w:val="15"/>
              </w:rPr>
              <w:t>—</w:t>
            </w:r>
          </w:p>
        </w:tc>
        <w:tc>
          <w:tcPr>
            <w:tcW w:type="dxa" w:w="1540"/>
            <w:shd w:val="clear" w:color="auto" w:fill="F2F5F9"/>
          </w:tcPr>
          <w:p>
            <w:pPr>
              <w:spacing w:after="20"/>
            </w:pPr>
            <w:r/>
            <w:r>
              <w:rPr>
                <w:sz w:val="15"/>
              </w:rPr>
              <w:t>Weak ranking</w:t>
            </w:r>
          </w:p>
        </w:tc>
        <w:tc>
          <w:tcPr>
            <w:tcW w:type="dxa" w:w="996"/>
            <w:shd w:val="clear" w:color="auto" w:fill="F2F5F9"/>
          </w:tcPr>
          <w:p>
            <w:pPr>
              <w:spacing w:after="20"/>
            </w:pPr>
            <w:r/>
            <w:r>
              <w:rPr>
                <w:sz w:val="15"/>
              </w:rPr>
              <w:t>X3</w:t>
            </w:r>
          </w:p>
        </w:tc>
      </w:tr>
      <w:tr>
        <w:tc>
          <w:tcPr>
            <w:tcW w:type="dxa" w:w="761"/>
          </w:tcPr>
          <w:p>
            <w:pPr>
              <w:spacing w:after="20"/>
            </w:pPr>
            <w:r/>
            <w:r>
              <w:rPr>
                <w:sz w:val="15"/>
              </w:rPr>
              <w:t>D5</w:t>
            </w:r>
          </w:p>
        </w:tc>
        <w:tc>
          <w:tcPr>
            <w:tcW w:type="dxa" w:w="1993"/>
          </w:tcPr>
          <w:p>
            <w:pPr>
              <w:spacing w:after="20"/>
            </w:pPr>
            <w:r/>
            <w:r>
              <w:rPr>
                <w:sz w:val="15"/>
              </w:rPr>
              <w:t>Out-of-time rolling validation with 3-month embargo</w:t>
            </w:r>
          </w:p>
        </w:tc>
        <w:tc>
          <w:tcPr>
            <w:tcW w:type="dxa" w:w="1812"/>
          </w:tcPr>
          <w:p>
            <w:pPr>
              <w:spacing w:after="20"/>
            </w:pPr>
            <w:r/>
            <w:r>
              <w:rPr>
                <w:sz w:val="15"/>
              </w:rPr>
              <w:t>Mirrors deployment, overlapping label windows</w:t>
            </w:r>
          </w:p>
        </w:tc>
        <w:tc>
          <w:tcPr>
            <w:tcW w:type="dxa" w:w="1268"/>
          </w:tcPr>
          <w:p>
            <w:pPr>
              <w:spacing w:after="20"/>
            </w:pPr>
            <w:r/>
            <w:r>
              <w:rPr>
                <w:sz w:val="15"/>
              </w:rPr>
              <w:t>Random k-fold</w:t>
            </w:r>
          </w:p>
        </w:tc>
        <w:tc>
          <w:tcPr>
            <w:tcW w:type="dxa" w:w="1268"/>
          </w:tcPr>
          <w:p>
            <w:pPr>
              <w:spacing w:after="20"/>
            </w:pPr>
            <w:r/>
            <w:r>
              <w:rPr>
                <w:sz w:val="15"/>
              </w:rPr>
              <w:t>About 36 months of data (minimum 30)</w:t>
            </w:r>
          </w:p>
        </w:tc>
        <w:tc>
          <w:tcPr>
            <w:tcW w:type="dxa" w:w="1540"/>
          </w:tcPr>
          <w:p>
            <w:pPr>
              <w:spacing w:after="20"/>
            </w:pPr>
            <w:r/>
            <w:r>
              <w:rPr>
                <w:sz w:val="15"/>
              </w:rPr>
              <w:t>Short history</w:t>
            </w:r>
          </w:p>
        </w:tc>
        <w:tc>
          <w:tcPr>
            <w:tcW w:type="dxa" w:w="996"/>
          </w:tcPr>
          <w:p>
            <w:pPr>
              <w:spacing w:after="20"/>
            </w:pPr>
            <w:r/>
            <w:r>
              <w:rPr>
                <w:sz w:val="15"/>
              </w:rPr>
              <w:t>Fold diagnostics</w:t>
            </w:r>
          </w:p>
        </w:tc>
      </w:tr>
      <w:tr>
        <w:tc>
          <w:tcPr>
            <w:tcW w:type="dxa" w:w="761"/>
            <w:shd w:val="clear" w:color="auto" w:fill="F2F5F9"/>
          </w:tcPr>
          <w:p>
            <w:pPr>
              <w:spacing w:after="20"/>
            </w:pPr>
            <w:r/>
            <w:r>
              <w:rPr>
                <w:sz w:val="15"/>
              </w:rPr>
              <w:t>D6</w:t>
            </w:r>
          </w:p>
        </w:tc>
        <w:tc>
          <w:tcPr>
            <w:tcW w:type="dxa" w:w="1993"/>
            <w:shd w:val="clear" w:color="auto" w:fill="F2F5F9"/>
          </w:tcPr>
          <w:p>
            <w:pPr>
              <w:spacing w:after="20"/>
            </w:pPr>
            <w:r/>
            <w:r>
              <w:rPr>
                <w:sz w:val="15"/>
              </w:rPr>
              <w:t>Start with logistic, then GBM; survival as challenger</w:t>
            </w:r>
          </w:p>
        </w:tc>
        <w:tc>
          <w:tcPr>
            <w:tcW w:type="dxa" w:w="1812"/>
            <w:shd w:val="clear" w:color="auto" w:fill="F2F5F9"/>
          </w:tcPr>
          <w:p>
            <w:pPr>
              <w:spacing w:after="20"/>
            </w:pPr>
            <w:r/>
            <w:r>
              <w:rPr>
                <w:sz w:val="15"/>
              </w:rPr>
              <w:t>Simple first; complexity must earn its place</w:t>
            </w:r>
          </w:p>
        </w:tc>
        <w:tc>
          <w:tcPr>
            <w:tcW w:type="dxa" w:w="1268"/>
            <w:shd w:val="clear" w:color="auto" w:fill="F2F5F9"/>
          </w:tcPr>
          <w:p>
            <w:pPr>
              <w:spacing w:after="20"/>
            </w:pPr>
            <w:r/>
            <w:r>
              <w:rPr>
                <w:sz w:val="15"/>
              </w:rPr>
              <w:t>Deep learning</w:t>
            </w:r>
          </w:p>
        </w:tc>
        <w:tc>
          <w:tcPr>
            <w:tcW w:type="dxa" w:w="1268"/>
            <w:shd w:val="clear" w:color="auto" w:fill="F2F5F9"/>
          </w:tcPr>
          <w:p>
            <w:pPr>
              <w:spacing w:after="20"/>
            </w:pPr>
            <w:r/>
            <w:r>
              <w:rPr>
                <w:sz w:val="15"/>
              </w:rPr>
              <w:t>—</w:t>
            </w:r>
          </w:p>
        </w:tc>
        <w:tc>
          <w:tcPr>
            <w:tcW w:type="dxa" w:w="1540"/>
            <w:shd w:val="clear" w:color="auto" w:fill="F2F5F9"/>
          </w:tcPr>
          <w:p>
            <w:pPr>
              <w:spacing w:after="20"/>
            </w:pPr>
            <w:r/>
            <w:r>
              <w:rPr>
                <w:sz w:val="15"/>
              </w:rPr>
              <w:t>Over-engineering</w:t>
            </w:r>
          </w:p>
        </w:tc>
        <w:tc>
          <w:tcPr>
            <w:tcW w:type="dxa" w:w="996"/>
            <w:shd w:val="clear" w:color="auto" w:fill="F2F5F9"/>
          </w:tcPr>
          <w:p>
            <w:pPr>
              <w:spacing w:after="20"/>
            </w:pPr>
            <w:r/>
            <w:r>
              <w:rPr>
                <w:sz w:val="15"/>
              </w:rPr>
              <w:t>X1–X2, X7</w:t>
            </w:r>
          </w:p>
        </w:tc>
      </w:tr>
      <w:tr>
        <w:tc>
          <w:tcPr>
            <w:tcW w:type="dxa" w:w="761"/>
          </w:tcPr>
          <w:p>
            <w:pPr>
              <w:spacing w:after="20"/>
            </w:pPr>
            <w:r/>
            <w:r>
              <w:rPr>
                <w:sz w:val="15"/>
              </w:rPr>
              <w:t>D7</w:t>
            </w:r>
          </w:p>
        </w:tc>
        <w:tc>
          <w:tcPr>
            <w:tcW w:type="dxa" w:w="1993"/>
          </w:tcPr>
          <w:p>
            <w:pPr>
              <w:spacing w:after="20"/>
            </w:pPr>
            <w:r/>
            <w:r>
              <w:rPr>
                <w:sz w:val="15"/>
              </w:rPr>
              <w:t>Randomised experiment for offers</w:t>
            </w:r>
          </w:p>
        </w:tc>
        <w:tc>
          <w:tcPr>
            <w:tcW w:type="dxa" w:w="1812"/>
          </w:tcPr>
          <w:p>
            <w:pPr>
              <w:spacing w:after="20"/>
            </w:pPr>
            <w:r/>
            <w:r>
              <w:rPr>
                <w:sz w:val="15"/>
              </w:rPr>
              <w:t>Only credible way to separate offer effect from selection</w:t>
            </w:r>
          </w:p>
        </w:tc>
        <w:tc>
          <w:tcPr>
            <w:tcW w:type="dxa" w:w="1268"/>
          </w:tcPr>
          <w:p>
            <w:pPr>
              <w:spacing w:after="20"/>
            </w:pPr>
            <w:r/>
            <w:r>
              <w:rPr>
                <w:sz w:val="15"/>
              </w:rPr>
              <w:t>Observational AIPW; RDD</w:t>
            </w:r>
          </w:p>
        </w:tc>
        <w:tc>
          <w:tcPr>
            <w:tcW w:type="dxa" w:w="1268"/>
          </w:tcPr>
          <w:p>
            <w:pPr>
              <w:spacing w:after="20"/>
            </w:pPr>
            <w:r/>
            <w:r>
              <w:rPr>
                <w:sz w:val="15"/>
              </w:rPr>
              <w:t>Q5 approved</w:t>
            </w:r>
          </w:p>
        </w:tc>
        <w:tc>
          <w:tcPr>
            <w:tcW w:type="dxa" w:w="1540"/>
          </w:tcPr>
          <w:p>
            <w:pPr>
              <w:spacing w:after="20"/>
            </w:pPr>
            <w:r/>
            <w:r>
              <w:rPr>
                <w:sz w:val="15"/>
              </w:rPr>
              <w:t>Underpowered or refused</w:t>
            </w:r>
          </w:p>
        </w:tc>
        <w:tc>
          <w:tcPr>
            <w:tcW w:type="dxa" w:w="996"/>
          </w:tcPr>
          <w:p>
            <w:pPr>
              <w:spacing w:after="20"/>
            </w:pPr>
            <w:r/>
            <w:r>
              <w:rPr>
                <w:sz w:val="15"/>
              </w:rPr>
              <w:t>Power check; integrity checks</w:t>
            </w:r>
          </w:p>
        </w:tc>
      </w:tr>
      <w:tr>
        <w:tc>
          <w:tcPr>
            <w:tcW w:type="dxa" w:w="761"/>
            <w:shd w:val="clear" w:color="auto" w:fill="F2F5F9"/>
          </w:tcPr>
          <w:p>
            <w:pPr>
              <w:spacing w:after="20"/>
            </w:pPr>
            <w:r/>
            <w:r>
              <w:rPr>
                <w:sz w:val="15"/>
              </w:rPr>
              <w:t>D8</w:t>
            </w:r>
          </w:p>
        </w:tc>
        <w:tc>
          <w:tcPr>
            <w:tcW w:type="dxa" w:w="1993"/>
            <w:shd w:val="clear" w:color="auto" w:fill="F2F5F9"/>
          </w:tcPr>
          <w:p>
            <w:pPr>
              <w:spacing w:after="20"/>
            </w:pPr>
            <w:r/>
            <w:r>
              <w:rPr>
                <w:sz w:val="15"/>
              </w:rPr>
              <w:t>Drivers reported as associations, with causal follow-up for actionable levers</w:t>
            </w:r>
          </w:p>
        </w:tc>
        <w:tc>
          <w:tcPr>
            <w:tcW w:type="dxa" w:w="1812"/>
            <w:shd w:val="clear" w:color="auto" w:fill="F2F5F9"/>
          </w:tcPr>
          <w:p>
            <w:pPr>
              <w:spacing w:after="20"/>
            </w:pPr>
            <w:r/>
            <w:r>
              <w:rPr>
                <w:sz w:val="15"/>
              </w:rPr>
              <w:t>Prevents over-claiming</w:t>
            </w:r>
          </w:p>
        </w:tc>
        <w:tc>
          <w:tcPr>
            <w:tcW w:type="dxa" w:w="1268"/>
            <w:shd w:val="clear" w:color="auto" w:fill="F2F5F9"/>
          </w:tcPr>
          <w:p>
            <w:pPr>
              <w:spacing w:after="20"/>
            </w:pPr>
            <w:r/>
            <w:r>
              <w:rPr>
                <w:sz w:val="15"/>
              </w:rPr>
              <w:t>SHAP as causes</w:t>
            </w:r>
          </w:p>
        </w:tc>
        <w:tc>
          <w:tcPr>
            <w:tcW w:type="dxa" w:w="1268"/>
            <w:shd w:val="clear" w:color="auto" w:fill="F2F5F9"/>
          </w:tcPr>
          <w:p>
            <w:pPr>
              <w:spacing w:after="20"/>
            </w:pPr>
            <w:r/>
            <w:r>
              <w:rPr>
                <w:sz w:val="15"/>
              </w:rPr>
              <w:t>—</w:t>
            </w:r>
          </w:p>
        </w:tc>
        <w:tc>
          <w:tcPr>
            <w:tcW w:type="dxa" w:w="1540"/>
            <w:shd w:val="clear" w:color="auto" w:fill="F2F5F9"/>
          </w:tcPr>
          <w:p>
            <w:pPr>
              <w:spacing w:after="20"/>
            </w:pPr>
            <w:r/>
            <w:r>
              <w:rPr>
                <w:sz w:val="15"/>
              </w:rPr>
              <w:t>Misinterpretation</w:t>
            </w:r>
          </w:p>
        </w:tc>
        <w:tc>
          <w:tcPr>
            <w:tcW w:type="dxa" w:w="996"/>
            <w:shd w:val="clear" w:color="auto" w:fill="F2F5F9"/>
          </w:tcPr>
          <w:p>
            <w:pPr>
              <w:spacing w:after="20"/>
            </w:pPr>
            <w:r/>
            <w:r>
              <w:rPr>
                <w:sz w:val="15"/>
              </w:rPr>
              <w:t>Language review</w:t>
            </w:r>
          </w:p>
        </w:tc>
      </w:tr>
      <w:tr>
        <w:tc>
          <w:tcPr>
            <w:tcW w:type="dxa" w:w="761"/>
          </w:tcPr>
          <w:p>
            <w:pPr>
              <w:spacing w:after="20"/>
            </w:pPr>
            <w:r/>
            <w:r>
              <w:rPr>
                <w:sz w:val="15"/>
              </w:rPr>
              <w:t>D9</w:t>
            </w:r>
          </w:p>
        </w:tc>
        <w:tc>
          <w:tcPr>
            <w:tcW w:type="dxa" w:w="1993"/>
          </w:tcPr>
          <w:p>
            <w:pPr>
              <w:spacing w:after="20"/>
            </w:pPr>
            <w:r/>
            <w:r>
              <w:rPr>
                <w:sz w:val="15"/>
              </w:rPr>
              <w:t>Exclude or route pending closure requests</w:t>
            </w:r>
          </w:p>
        </w:tc>
        <w:tc>
          <w:tcPr>
            <w:tcW w:type="dxa" w:w="1812"/>
          </w:tcPr>
          <w:p>
            <w:pPr>
              <w:spacing w:after="20"/>
            </w:pPr>
            <w:r/>
            <w:r>
              <w:rPr>
                <w:sz w:val="15"/>
              </w:rPr>
              <w:t>They are near-label</w:t>
            </w:r>
          </w:p>
        </w:tc>
        <w:tc>
          <w:tcPr>
            <w:tcW w:type="dxa" w:w="1268"/>
          </w:tcPr>
          <w:p>
            <w:pPr>
              <w:spacing w:after="20"/>
            </w:pPr>
            <w:r/>
            <w:r>
              <w:rPr>
                <w:sz w:val="15"/>
              </w:rPr>
              <w:t>Include</w:t>
            </w:r>
          </w:p>
        </w:tc>
        <w:tc>
          <w:tcPr>
            <w:tcW w:type="dxa" w:w="1268"/>
          </w:tcPr>
          <w:p>
            <w:pPr>
              <w:spacing w:after="20"/>
            </w:pPr>
            <w:r/>
            <w:r>
              <w:rPr>
                <w:sz w:val="15"/>
              </w:rPr>
              <w:t>Contact-centre tags exist</w:t>
            </w:r>
          </w:p>
        </w:tc>
        <w:tc>
          <w:tcPr>
            <w:tcW w:type="dxa" w:w="1540"/>
          </w:tcPr>
          <w:p>
            <w:pPr>
              <w:spacing w:after="20"/>
            </w:pPr>
            <w:r/>
            <w:r>
              <w:rPr>
                <w:sz w:val="15"/>
              </w:rPr>
              <w:t>Lost recall</w:t>
            </w:r>
          </w:p>
        </w:tc>
        <w:tc>
          <w:tcPr>
            <w:tcW w:type="dxa" w:w="996"/>
          </w:tcPr>
          <w:p>
            <w:pPr>
              <w:spacing w:after="20"/>
            </w:pPr>
            <w:r/>
            <w:r>
              <w:rPr>
                <w:sz w:val="15"/>
              </w:rPr>
              <w:t>X ablation</w:t>
            </w:r>
          </w:p>
        </w:tc>
      </w:tr>
      <w:tr>
        <w:tc>
          <w:tcPr>
            <w:tcW w:type="dxa" w:w="761"/>
            <w:shd w:val="clear" w:color="auto" w:fill="F2F5F9"/>
          </w:tcPr>
          <w:p>
            <w:pPr>
              <w:spacing w:after="20"/>
            </w:pPr>
            <w:r/>
            <w:r>
              <w:rPr>
                <w:sz w:val="15"/>
              </w:rPr>
              <w:t>D10</w:t>
            </w:r>
          </w:p>
        </w:tc>
        <w:tc>
          <w:tcPr>
            <w:tcW w:type="dxa" w:w="1993"/>
            <w:shd w:val="clear" w:color="auto" w:fill="F2F5F9"/>
          </w:tcPr>
          <w:p>
            <w:pPr>
              <w:spacing w:after="20"/>
            </w:pPr>
            <w:r/>
            <w:r>
              <w:rPr>
                <w:sz w:val="15"/>
              </w:rPr>
              <w:t>Uplift model after pilot data exists</w:t>
            </w:r>
          </w:p>
        </w:tc>
        <w:tc>
          <w:tcPr>
            <w:tcW w:type="dxa" w:w="1812"/>
            <w:shd w:val="clear" w:color="auto" w:fill="F2F5F9"/>
          </w:tcPr>
          <w:p>
            <w:pPr>
              <w:spacing w:after="20"/>
            </w:pPr>
            <w:r/>
            <w:r>
              <w:rPr>
                <w:sz w:val="15"/>
              </w:rPr>
              <w:t>Targets persuadables</w:t>
            </w:r>
          </w:p>
        </w:tc>
        <w:tc>
          <w:tcPr>
            <w:tcW w:type="dxa" w:w="1268"/>
            <w:shd w:val="clear" w:color="auto" w:fill="F2F5F9"/>
          </w:tcPr>
          <w:p>
            <w:pPr>
              <w:spacing w:after="20"/>
            </w:pPr>
            <w:r/>
            <w:r>
              <w:rPr>
                <w:sz w:val="15"/>
              </w:rPr>
              <w:t>Keep risk ranking</w:t>
            </w:r>
          </w:p>
        </w:tc>
        <w:tc>
          <w:tcPr>
            <w:tcW w:type="dxa" w:w="1268"/>
            <w:shd w:val="clear" w:color="auto" w:fill="F2F5F9"/>
          </w:tcPr>
          <w:p>
            <w:pPr>
              <w:spacing w:after="20"/>
            </w:pPr>
            <w:r/>
            <w:r>
              <w:rPr>
                <w:sz w:val="15"/>
              </w:rPr>
              <w:t>Randomised data</w:t>
            </w:r>
          </w:p>
        </w:tc>
        <w:tc>
          <w:tcPr>
            <w:tcW w:type="dxa" w:w="1540"/>
            <w:shd w:val="clear" w:color="auto" w:fill="F2F5F9"/>
          </w:tcPr>
          <w:p>
            <w:pPr>
              <w:spacing w:after="20"/>
            </w:pPr>
            <w:r/>
            <w:r>
              <w:rPr>
                <w:sz w:val="15"/>
              </w:rPr>
              <w:t>Noisy uplift</w:t>
            </w:r>
          </w:p>
        </w:tc>
        <w:tc>
          <w:tcPr>
            <w:tcW w:type="dxa" w:w="996"/>
            <w:shd w:val="clear" w:color="auto" w:fill="F2F5F9"/>
          </w:tcPr>
          <w:p>
            <w:pPr>
              <w:spacing w:after="20"/>
            </w:pPr>
            <w:r/>
            <w:r>
              <w:rPr>
                <w:sz w:val="15"/>
              </w:rPr>
              <w:t>Qini on held-out randomised wave</w:t>
            </w:r>
          </w:p>
        </w:tc>
      </w:tr>
      <w:tr>
        <w:tc>
          <w:tcPr>
            <w:tcW w:type="dxa" w:w="761"/>
          </w:tcPr>
          <w:p>
            <w:pPr>
              <w:spacing w:after="20"/>
            </w:pPr>
            <w:r/>
            <w:r>
              <w:rPr>
                <w:sz w:val="15"/>
              </w:rPr>
              <w:t>D11</w:t>
            </w:r>
          </w:p>
        </w:tc>
        <w:tc>
          <w:tcPr>
            <w:tcW w:type="dxa" w:w="1993"/>
          </w:tcPr>
          <w:p>
            <w:pPr>
              <w:spacing w:after="20"/>
            </w:pPr>
            <w:r/>
            <w:r>
              <w:rPr>
                <w:sz w:val="15"/>
              </w:rPr>
              <w:t>Monthly batch with suppression rules, fallback and permanent holdout</w:t>
            </w:r>
          </w:p>
        </w:tc>
        <w:tc>
          <w:tcPr>
            <w:tcW w:type="dxa" w:w="1812"/>
          </w:tcPr>
          <w:p>
            <w:pPr>
              <w:spacing w:after="20"/>
            </w:pPr>
            <w:r/>
            <w:r>
              <w:rPr>
                <w:sz w:val="15"/>
              </w:rPr>
              <w:t>Operationally simple; supports measurement</w:t>
            </w:r>
          </w:p>
        </w:tc>
        <w:tc>
          <w:tcPr>
            <w:tcW w:type="dxa" w:w="1268"/>
          </w:tcPr>
          <w:p>
            <w:pPr>
              <w:spacing w:after="20"/>
            </w:pPr>
            <w:r/>
            <w:r>
              <w:rPr>
                <w:sz w:val="15"/>
              </w:rPr>
              <w:t>Real-time</w:t>
            </w:r>
          </w:p>
        </w:tc>
        <w:tc>
          <w:tcPr>
            <w:tcW w:type="dxa" w:w="1268"/>
          </w:tcPr>
          <w:p>
            <w:pPr>
              <w:spacing w:after="20"/>
            </w:pPr>
            <w:r/>
            <w:r>
              <w:rPr>
                <w:sz w:val="15"/>
              </w:rPr>
              <w:t>Monthly cadence suffices</w:t>
            </w:r>
          </w:p>
        </w:tc>
        <w:tc>
          <w:tcPr>
            <w:tcW w:type="dxa" w:w="1540"/>
          </w:tcPr>
          <w:p>
            <w:pPr>
              <w:spacing w:after="20"/>
            </w:pPr>
            <w:r/>
            <w:r>
              <w:rPr>
                <w:sz w:val="15"/>
              </w:rPr>
              <w:t>Slow reaction</w:t>
            </w:r>
          </w:p>
        </w:tc>
        <w:tc>
          <w:tcPr>
            <w:tcW w:type="dxa" w:w="996"/>
          </w:tcPr>
          <w:p>
            <w:pPr>
              <w:spacing w:after="20"/>
            </w:pPr>
            <w:r/>
            <w:r>
              <w:rPr>
                <w:sz w:val="15"/>
              </w:rPr>
              <w:t>Shadow run</w:t>
            </w:r>
          </w:p>
        </w:tc>
      </w:tr>
    </w:tbl>
    <w:p>
      <w:pPr>
        <w:spacing w:after="40"/>
      </w:pPr>
    </w:p>
    <w:p>
      <w:pPr>
        <w:pStyle w:val="Heading2"/>
      </w:pPr>
      <w:r>
        <w:rPr/>
        <w:t>21. References</w:t>
      </w:r>
    </w:p>
    <w:p>
      <w:r>
        <w:rPr/>
        <w:t xml:space="preserve">No external sources were consulted for this draft. Regulatory references named in §17 are for orientation and are </w:t>
      </w:r>
      <w:r>
        <w:rPr>
          <w:b/>
        </w:rPr>
        <w:t>to be verified</w:t>
      </w:r>
      <w:r>
        <w:rPr/>
        <w:t xml:space="preserve"> with the client's compliance and model-risk teams before being relied on.</w:t>
      </w:r>
    </w:p>
    <w:sectPr w:rsidR="00FC693F" w:rsidRPr="0006063C" w:rsidSect="00034616">
      <w:headerReference w:type="default" r:id="rId9"/>
      <w:footerReference w:type="default" r:id="rId10"/>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Page </w:t>
    </w:r>
    <w:r>
      <w:fldChar w:fldCharType="begin"/>
      <w:instrText xml:space="preserve">PAGE</w:instrText>
      <w:fldChar w:fldCharType="separate"/>
      <w:t>1</w:t>
      <w:fldChar w:fldCharType="end"/>
    </w:r>
    <w:r>
      <w:rPr>
        <w:color w:val="595959"/>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Credit-Card Attrition — Data Science Solution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iCs/>
      <w:color w:val="2E75B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