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2E75B6"/>
          <w:sz w:val="22"/>
        </w:rPr>
        <w:t>DATA SCIENCE SOLUTION PLAN</w:t>
      </w:r>
    </w:p>
    <w:p>
      <w:pPr>
        <w:spacing w:after="360"/>
        <w:pBdr>
          <w:left w:val="single" w:sz="18" w:space="8" w:color="1F3A5F"/>
        </w:pBdr>
      </w:pPr>
      <w:r>
        <w:rPr>
          <w:b/>
          <w:color w:val="1F3A5F"/>
          <w:sz w:val="52"/>
        </w:rPr>
        <w:t>Knee-Replacement Length of Stay, Hospital A vs Hospital B — Analysis Plan</w:t>
      </w:r>
    </w:p>
    <w:tbl>
      <w:tblPr>
        <w:tblW w:type="auto" w:w="0"/>
        <w:jc w:val="left"/>
        <w:tblLook w:firstColumn="1" w:firstRow="1" w:lastColumn="0" w:lastRow="0" w:noHBand="0" w:noVBand="1" w:val="04A0"/>
      </w:tblPr>
      <w:tblGrid>
        <w:gridCol w:w="4819"/>
        <w:gridCol w:w="4819"/>
      </w:tblGrid>
      <w:tr>
        <w:tc>
          <w:tcPr>
            <w:tcW w:type="dxa" w:w="2268"/>
          </w:tcPr>
          <w:p>
            <w:r/>
            <w:r>
              <w:rPr>
                <w:b/>
                <w:color w:val="595959"/>
              </w:rPr>
              <w:t>Client</w:t>
            </w:r>
          </w:p>
        </w:tc>
        <w:tc>
          <w:tcPr>
            <w:tcW w:type="dxa" w:w="6236"/>
          </w:tcPr>
          <w:p>
            <w:r/>
            <w:r>
              <w:rPr/>
              <w:t>Hospital group (Hospital A, Pune; Hospital B, Nagpur)</w:t>
            </w:r>
          </w:p>
        </w:tc>
      </w:tr>
      <w:tr>
        <w:tc>
          <w:tcPr>
            <w:tcW w:type="dxa" w:w="2268"/>
          </w:tcPr>
          <w:p>
            <w:r/>
            <w:r>
              <w:rPr>
                <w:b/>
                <w:color w:val="595959"/>
              </w:rPr>
              <w:t>Industry</w:t>
            </w:r>
          </w:p>
        </w:tc>
        <w:tc>
          <w:tcPr>
            <w:tcW w:type="dxa" w:w="6236"/>
          </w:tcPr>
          <w:p>
            <w:r/>
            <w:r>
              <w:rPr/>
              <w:t>Healthcare</w:t>
            </w:r>
          </w:p>
        </w:tc>
      </w:tr>
      <w:tr>
        <w:tc>
          <w:tcPr>
            <w:tcW w:type="dxa" w:w="2268"/>
          </w:tcPr>
          <w:p>
            <w:r/>
            <w:r>
              <w:rPr>
                <w:b/>
                <w:color w:val="595959"/>
              </w:rPr>
              <w:t>Prepared by</w:t>
            </w:r>
          </w:p>
        </w:tc>
        <w:tc>
          <w:tcPr>
            <w:tcW w:type="dxa" w:w="6236"/>
          </w:tcPr>
          <w:p>
            <w:r/>
            <w:r>
              <w:rPr/>
              <w:t>Data Science Solution Architect toolkit</w:t>
            </w:r>
          </w:p>
        </w:tc>
      </w:tr>
      <w:tr>
        <w:tc>
          <w:tcPr>
            <w:tcW w:type="dxa" w:w="2268"/>
          </w:tcPr>
          <w:p>
            <w:r/>
            <w:r>
              <w:rPr>
                <w:b/>
                <w:color w:val="595959"/>
              </w:rPr>
              <w:t>Date</w:t>
            </w:r>
          </w:p>
        </w:tc>
        <w:tc>
          <w:tcPr>
            <w:tcW w:type="dxa" w:w="6236"/>
          </w:tcPr>
          <w:p>
            <w:r/>
            <w:r>
              <w:rPr/>
              <w:t>2026-10-14</w:t>
            </w:r>
          </w:p>
        </w:tc>
      </w:tr>
      <w:tr>
        <w:tc>
          <w:tcPr>
            <w:tcW w:type="dxa" w:w="2268"/>
          </w:tcPr>
          <w:p>
            <w:r/>
            <w:r>
              <w:rPr>
                <w:b/>
                <w:color w:val="595959"/>
              </w:rPr>
              <w:t>Version</w:t>
            </w:r>
          </w:p>
        </w:tc>
        <w:tc>
          <w:tcPr>
            <w:tcW w:type="dxa" w:w="6236"/>
          </w:tcPr>
          <w:p>
            <w:r/>
            <w:r>
              <w:rPr/>
              <w:t>0.1 (draft)</w:t>
            </w:r>
          </w:p>
        </w:tc>
      </w:tr>
      <w:tr>
        <w:tc>
          <w:tcPr>
            <w:tcW w:type="dxa" w:w="2268"/>
          </w:tcPr>
          <w:p>
            <w:r/>
            <w:r>
              <w:rPr>
                <w:b/>
                <w:color w:val="595959"/>
              </w:rPr>
              <w:t>Plan depth</w:t>
            </w:r>
          </w:p>
        </w:tc>
        <w:tc>
          <w:tcPr>
            <w:tcW w:type="dxa" w:w="6236"/>
          </w:tcPr>
          <w:p>
            <w:r/>
            <w:r>
              <w:rPr/>
              <w:t>Standard</w:t>
            </w:r>
          </w:p>
        </w:tc>
      </w:tr>
      <w:tr>
        <w:tc>
          <w:tcPr>
            <w:tcW w:type="dxa" w:w="2268"/>
          </w:tcPr>
          <w:p>
            <w:r/>
            <w:r>
              <w:rPr>
                <w:b/>
                <w:color w:val="595959"/>
              </w:rPr>
              <w:t>Classification</w:t>
            </w:r>
          </w:p>
        </w:tc>
        <w:tc>
          <w:tcPr>
            <w:tcW w:type="dxa" w:w="6236"/>
          </w:tcPr>
          <w:p>
            <w:r/>
            <w:r>
              <w:rPr/>
              <w:t>Confidential</w:t>
            </w:r>
          </w:p>
        </w:tc>
      </w:tr>
    </w:tbl>
    <w:p/>
    <w:p>
      <w:r>
        <w:rPr>
          <w:i/>
          <w:color w:val="595959"/>
          <w:sz w:val="18"/>
        </w:rPr>
        <w:t>Status tags used throughout:</w:t>
      </w:r>
      <w:r>
        <w:rPr>
          <w:color w:val="595959"/>
          <w:sz w:val="18"/>
        </w:rPr>
        <w:t xml:space="preserve"> </w:t>
      </w:r>
      <w:r>
        <w:rPr>
          <w:b/>
          <w:color w:val="1E7B34"/>
          <w:sz w:val="18"/>
        </w:rPr>
        <w:t>[Confirmed]</w:t>
      </w:r>
      <w:r>
        <w:rPr>
          <w:color w:val="595959"/>
          <w:sz w:val="18"/>
        </w:rPr>
        <w:t xml:space="preserve"> stated by client or verified in data · </w:t>
      </w:r>
      <w:r>
        <w:rPr>
          <w:b/>
          <w:color w:val="B36B00"/>
          <w:sz w:val="18"/>
        </w:rPr>
        <w:t>[Assumed]</w:t>
      </w:r>
      <w:r>
        <w:rPr>
          <w:color w:val="595959"/>
          <w:sz w:val="18"/>
        </w:rPr>
        <w:t xml:space="preserve"> working assumption to validate · </w:t>
      </w:r>
      <w:r>
        <w:rPr>
          <w:b/>
          <w:color w:val="C0392B"/>
          <w:sz w:val="18"/>
        </w:rPr>
        <w:t>[To investigate]</w:t>
      </w:r>
      <w:r>
        <w:rPr>
          <w:color w:val="595959"/>
          <w:sz w:val="18"/>
        </w:rPr>
        <w:t xml:space="preserve"> existence or usability unknown.</w:t>
      </w:r>
    </w:p>
    <w:p>
      <w:r>
        <w:br w:type="page"/>
      </w:r>
    </w:p>
    <w:p>
      <w:r>
        <w:rPr>
          <w:b/>
          <w:color w:val="1F3A5F"/>
          <w:sz w:val="30"/>
        </w:rP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2"/>
      </w:pPr>
      <w:r>
        <w:rPr/>
        <w:t>1. Executive Summary</w:t>
      </w:r>
    </w:p>
    <w:p>
      <w:pPr>
        <w:pStyle w:val="ListBullet"/>
        <w:spacing w:after="40"/>
        <w:ind w:left="357" w:hanging="357"/>
      </w:pPr>
      <w:r>
        <w:rPr>
          <w:b/>
        </w:rPr>
        <w:t>Decision supported:</w:t>
      </w:r>
      <w:r>
        <w:rPr/>
        <w:t xml:space="preserve"> whether to launch a process-improvement program at Hospital B for elective knee replacement, and how to size it.</w:t>
      </w:r>
    </w:p>
    <w:p>
      <w:pPr>
        <w:pStyle w:val="ListBullet"/>
        <w:spacing w:after="40"/>
        <w:ind w:left="357" w:hanging="357"/>
      </w:pPr>
      <w:r>
        <w:rPr>
          <w:b/>
        </w:rPr>
        <w:t>Problem in plain language:</w:t>
      </w:r>
      <w:r>
        <w:rPr/>
        <w:t xml:space="preserve"> management believes patients stay longer at B. We need to establish whether the gap is real (not noise), how large it is once patient mix is accounted for, and how much of the variation sits at hospital, surgeon and patient level (as association, not cause).</w:t>
      </w:r>
    </w:p>
    <w:p>
      <w:pPr>
        <w:pStyle w:val="ListBullet"/>
        <w:spacing w:after="40"/>
        <w:ind w:left="357" w:hanging="357"/>
      </w:pPr>
      <w:r>
        <w:rPr>
          <w:b/>
        </w:rPr>
        <w:t>Lens:</w:t>
      </w:r>
      <w:r>
        <w:rPr/>
        <w:t xml:space="preserve"> </w:t>
      </w:r>
      <w:r>
        <w:rPr>
          <w:b/>
        </w:rPr>
        <w:t>Inferential</w:t>
      </w:r>
      <w:r>
        <w:rPr/>
        <w:t xml:space="preserve"> (a population difference between two sites). It is not a prediction problem, so no prediction model is built. The follow-up question "why is B longer / will the program work" is </w:t>
      </w:r>
      <w:r>
        <w:rPr>
          <w:b/>
        </w:rPr>
        <w:t>causal</w:t>
      </w:r>
      <w:r>
        <w:rPr/>
        <w:t xml:space="preserve"> and is explicitly </w:t>
      </w:r>
      <w:r>
        <w:rPr>
          <w:i/>
        </w:rPr>
        <w:t>out of scope</w:t>
      </w:r>
      <w:r>
        <w:rPr/>
        <w:t>; this plan only prepares the ground for it.</w:t>
      </w:r>
    </w:p>
    <w:p>
      <w:pPr>
        <w:pStyle w:val="ListBullet"/>
        <w:spacing w:after="40"/>
        <w:ind w:left="357" w:hanging="357"/>
      </w:pPr>
      <w:r>
        <w:rPr>
          <w:b/>
        </w:rPr>
        <w:t>Recommended approach:</w:t>
      </w:r>
    </w:p>
    <w:p>
      <w:pPr>
        <w:tabs>
          <w:tab w:pos="714" w:val="left"/>
        </w:tabs>
        <w:spacing w:after="40"/>
        <w:ind w:left="714" w:hanging="357"/>
      </w:pPr>
      <w:r>
        <w:rPr/>
        <w:t>1.</w:t>
        <w:tab/>
      </w:r>
      <w:r>
        <w:rPr/>
        <w:t>Define LOS and the population precisely, then profile and clean the data (Discovery and EDA).</w:t>
      </w:r>
    </w:p>
    <w:p>
      <w:pPr>
        <w:tabs>
          <w:tab w:pos="714" w:val="left"/>
        </w:tabs>
        <w:spacing w:after="40"/>
        <w:ind w:left="714" w:hanging="357"/>
      </w:pPr>
      <w:r>
        <w:rPr/>
        <w:t>2.</w:t>
        <w:tab/>
      </w:r>
      <w:r>
        <w:rPr/>
        <w:t xml:space="preserve">Report the </w:t>
      </w:r>
      <w:r>
        <w:rPr>
          <w:b/>
        </w:rPr>
        <w:t>raw difference</w:t>
      </w:r>
      <w:r>
        <w:rPr/>
        <w:t xml:space="preserve"> with a confidence interval, using a surgeon-clustered bootstrap.</w:t>
      </w:r>
    </w:p>
    <w:p>
      <w:pPr>
        <w:tabs>
          <w:tab w:pos="714" w:val="left"/>
        </w:tabs>
        <w:spacing w:after="40"/>
        <w:ind w:left="714" w:hanging="357"/>
      </w:pPr>
      <w:r>
        <w:rPr/>
        <w:t>3.</w:t>
        <w:tab/>
      </w:r>
      <w:r>
        <w:rPr/>
        <w:t xml:space="preserve">Fit the </w:t>
      </w:r>
      <w:r>
        <w:rPr>
          <w:b/>
        </w:rPr>
        <w:t>primary analysis</w:t>
      </w:r>
      <w:r>
        <w:rPr/>
        <w:t>: a case-mix-adjusted model of LOS (hospital effect, adjusted for age, sex, comorbidity, ASA grade, with surgeon as a random effect, standardised to a marginal effect), reporting the adjusted ratio of means or difference in means with a 95% CI.</w:t>
      </w:r>
    </w:p>
    <w:p>
      <w:pPr>
        <w:tabs>
          <w:tab w:pos="714" w:val="left"/>
        </w:tabs>
        <w:spacing w:after="40"/>
        <w:ind w:left="714" w:hanging="357"/>
      </w:pPr>
      <w:r>
        <w:rPr/>
        <w:t>4.</w:t>
        <w:tab/>
      </w:r>
      <w:r>
        <w:rPr/>
        <w:t xml:space="preserve">Run </w:t>
      </w:r>
      <w:r>
        <w:rPr>
          <w:b/>
        </w:rPr>
        <w:t>sensitivity analyses</w:t>
      </w:r>
      <w:r>
        <w:rPr/>
        <w:t xml:space="preserve"> (alternative LOS definitions, outlier handling, surgeon-level view, time slices) and a </w:t>
      </w:r>
      <w:r>
        <w:rPr>
          <w:b/>
        </w:rPr>
        <w:t>variance decomposition</w:t>
      </w:r>
      <w:r>
        <w:rPr/>
        <w:t xml:space="preserve"> (how much of the gap sits between hospitals, between surgeons, and between patients).</w:t>
      </w:r>
    </w:p>
    <w:p>
      <w:pPr>
        <w:tabs>
          <w:tab w:pos="714" w:val="left"/>
        </w:tabs>
        <w:spacing w:after="40"/>
        <w:ind w:left="714" w:hanging="357"/>
      </w:pPr>
      <w:r>
        <w:rPr/>
        <w:t>5.</w:t>
        <w:tab/>
      </w:r>
      <w:r>
        <w:rPr/>
        <w:t>Report effect size in days and in bed-days per year associated with the gap, compared with a practically important threshold agreed with management.</w:t>
      </w:r>
    </w:p>
    <w:p>
      <w:pPr>
        <w:pStyle w:val="ListBullet"/>
        <w:spacing w:after="40"/>
        <w:ind w:left="357" w:hanging="357"/>
      </w:pPr>
      <w:r>
        <w:rPr>
          <w:b/>
        </w:rPr>
        <w:t>What must be true:</w:t>
      </w:r>
      <w:r>
        <w:rPr/>
        <w:t xml:space="preserve"> LOS is defined the same way and recorded reliably at both sites; both hospitals perform comparable procedures (primary vs revision, unilateral vs bilateral); the recorded case-mix variables capture the main clinical drivers of stay.</w:t>
      </w:r>
    </w:p>
    <w:p>
      <w:pPr>
        <w:pStyle w:val="ListBullet"/>
        <w:spacing w:after="40"/>
        <w:ind w:left="357" w:hanging="357"/>
      </w:pPr>
      <w:r>
        <w:rPr>
          <w:b/>
        </w:rPr>
        <w:t>Top risks:</w:t>
      </w:r>
      <w:r>
        <w:rPr/>
        <w:t xml:space="preserve"> unmeasured case-mix differences (home support, distance, rehabilitation protocol, payer/insurance type); different discharge conventions; surgeons working at only one site, so surgeon and hospital effects cannot be fully separated.</w:t>
      </w:r>
    </w:p>
    <w:p>
      <w:pPr>
        <w:pStyle w:val="ListBullet"/>
        <w:spacing w:after="40"/>
        <w:ind w:left="357" w:hanging="357"/>
      </w:pPr>
      <w:r>
        <w:rPr>
          <w:b/>
        </w:rPr>
        <w:t>Honest limit:</w:t>
      </w:r>
      <w:r>
        <w:rPr/>
        <w:t xml:space="preserve"> this analysis can say whether B is </w:t>
      </w:r>
      <w:r>
        <w:rPr>
          <w:i/>
        </w:rPr>
        <w:t>associated</w:t>
      </w:r>
      <w:r>
        <w:rPr/>
        <w:t xml:space="preserve"> with longer stay after adjustment, and by roughly how much. It cannot, on its own, say </w:t>
      </w:r>
      <w:r>
        <w:rPr>
          <w:i/>
        </w:rPr>
        <w:t>why</w:t>
      </w:r>
      <w:r>
        <w:rPr/>
        <w:t>, or that a program would shorten stay.</w:t>
      </w:r>
    </w:p>
    <w:p>
      <w:pPr>
        <w:shd w:val="clear" w:color="auto" w:fill="F2F2F2"/>
        <w:pBdr>
          <w:left w:val="single" w:sz="18" w:space="8" w:color="2E75B6"/>
        </w:pBdr>
        <w:spacing w:before="80" w:after="120"/>
        <w:ind w:left="170"/>
      </w:pPr>
      <w:r>
        <w:rPr>
          <w:b/>
        </w:rPr>
        <w:t>Needed from the client next</w:t>
      </w:r>
      <w:r>
        <w:rPr/>
        <w:t xml:space="preserve"> (blocking; answered by hospital data/IT teams and the clinical lead for orthopaedics) 1. Exact definition of admission and discharge timestamps at each site (date only or date-time; discharge order vs physical exit) and whether the definition is the same in A and B. Owner: HIS/IT leads at both sites. 2. Is the cohort limited to elective primary knee replacement? How are revisions, bilateral, and unicompartmental cases coded? Owner: orthopaedic lead. 3. Which surgeons operated at only one hospital and which at both? Owner: medical director's office. 4. Approval route for using patient-level data (ethics/IRB or institutional waiver, de-identification, data residency). Owner: compliance/ethics committee. 5. The smallest LOS difference that would justify a program (practical importance threshold) and the cost of a bed-day. Owner: hospital group management / finance.</w:t>
      </w:r>
    </w:p>
    <w:p>
      <w:pPr>
        <w:pStyle w:val="Heading3"/>
      </w:pPr>
      <w:r>
        <w:rPr/>
        <w:t>Scope of this plan</w:t>
      </w:r>
    </w:p>
    <w:tbl>
      <w:tblPr>
        <w:tblStyle w:val="TableGrid"/>
        <w:tblW w:type="auto" w:w="0"/>
        <w:jc w:val="center"/>
        <w:tblLayout w:type="fixed"/>
        <w:tblLook w:firstColumn="1" w:firstRow="1" w:lastColumn="0" w:lastRow="0" w:noHBand="0" w:noVBand="1" w:val="04A0"/>
        <w:tblLayout w:type="fixed"/>
      </w:tblPr>
      <w:tblGrid>
        <w:gridCol w:w="4498"/>
        <w:gridCol w:w="2570"/>
        <w:gridCol w:w="2570"/>
      </w:tblGrid>
      <w:tr>
        <w:trPr>
          <w:tblHeader w:val="true"/>
        </w:trPr>
        <w:tc>
          <w:tcPr>
            <w:tcW w:type="dxa" w:w="4498"/>
            <w:shd w:val="clear" w:color="auto" w:fill="1F3A5F"/>
          </w:tcPr>
          <w:p>
            <w:r/>
            <w:r>
              <w:rPr>
                <w:b/>
                <w:color w:val="FFFFFF"/>
                <w:sz w:val="19"/>
              </w:rPr>
              <w:t>Section</w:t>
            </w:r>
          </w:p>
        </w:tc>
        <w:tc>
          <w:tcPr>
            <w:tcW w:type="dxa" w:w="2570"/>
            <w:shd w:val="clear" w:color="auto" w:fill="1F3A5F"/>
          </w:tcPr>
          <w:p>
            <w:r/>
            <w:r>
              <w:rPr>
                <w:b/>
                <w:color w:val="FFFFFF"/>
                <w:sz w:val="19"/>
              </w:rPr>
              <w:t>Included?</w:t>
            </w:r>
          </w:p>
        </w:tc>
        <w:tc>
          <w:tcPr>
            <w:tcW w:type="dxa" w:w="2570"/>
            <w:shd w:val="clear" w:color="auto" w:fill="1F3A5F"/>
          </w:tcPr>
          <w:p>
            <w:r/>
            <w:r>
              <w:rPr>
                <w:b/>
                <w:color w:val="FFFFFF"/>
                <w:sz w:val="19"/>
              </w:rPr>
              <w:t>Reason</w:t>
            </w:r>
          </w:p>
        </w:tc>
      </w:tr>
      <w:tr>
        <w:tc>
          <w:tcPr>
            <w:tcW w:type="dxa" w:w="4498"/>
          </w:tcPr>
          <w:p>
            <w:pPr>
              <w:spacing w:after="20"/>
            </w:pPr>
            <w:r/>
            <w:r>
              <w:rPr>
                <w:sz w:val="19"/>
              </w:rPr>
              <w:t>2–3 Framing and classification</w:t>
            </w:r>
          </w:p>
        </w:tc>
        <w:tc>
          <w:tcPr>
            <w:tcW w:type="dxa" w:w="2570"/>
          </w:tcPr>
          <w:p>
            <w:pPr>
              <w:spacing w:after="20"/>
            </w:pPr>
            <w:r/>
            <w:r>
              <w:rPr>
                <w:sz w:val="19"/>
              </w:rPr>
              <w:t>Yes</w:t>
            </w:r>
          </w:p>
        </w:tc>
        <w:tc>
          <w:tcPr>
            <w:tcW w:type="dxa" w:w="2570"/>
          </w:tcPr>
          <w:p>
            <w:pPr>
              <w:spacing w:after="20"/>
            </w:pPr>
            <w:r/>
            <w:r>
              <w:rPr>
                <w:sz w:val="19"/>
              </w:rPr>
              <w:t>Core</w:t>
            </w:r>
          </w:p>
        </w:tc>
      </w:tr>
      <w:tr>
        <w:tc>
          <w:tcPr>
            <w:tcW w:type="dxa" w:w="4498"/>
            <w:shd w:val="clear" w:color="auto" w:fill="F2F5F9"/>
          </w:tcPr>
          <w:p>
            <w:pPr>
              <w:spacing w:after="20"/>
            </w:pPr>
            <w:r/>
            <w:r>
              <w:rPr>
                <w:sz w:val="19"/>
              </w:rPr>
              <w:t>4 Assumptions and questions</w:t>
            </w:r>
          </w:p>
        </w:tc>
        <w:tc>
          <w:tcPr>
            <w:tcW w:type="dxa" w:w="2570"/>
            <w:shd w:val="clear" w:color="auto" w:fill="F2F5F9"/>
          </w:tcPr>
          <w:p>
            <w:pPr>
              <w:spacing w:after="20"/>
            </w:pPr>
            <w:r/>
            <w:r>
              <w:rPr>
                <w:sz w:val="19"/>
              </w:rPr>
              <w:t>Yes</w:t>
            </w:r>
          </w:p>
        </w:tc>
        <w:tc>
          <w:tcPr>
            <w:tcW w:type="dxa" w:w="2570"/>
            <w:shd w:val="clear" w:color="auto" w:fill="F2F5F9"/>
          </w:tcPr>
          <w:p>
            <w:pPr>
              <w:spacing w:after="20"/>
            </w:pPr>
            <w:r/>
            <w:r>
              <w:rPr>
                <w:sz w:val="19"/>
              </w:rPr>
              <w:t>Client unavailable; assumptions labelled</w:t>
            </w:r>
          </w:p>
        </w:tc>
      </w:tr>
      <w:tr>
        <w:tc>
          <w:tcPr>
            <w:tcW w:type="dxa" w:w="4498"/>
          </w:tcPr>
          <w:p>
            <w:pPr>
              <w:spacing w:after="20"/>
            </w:pPr>
            <w:r/>
            <w:r>
              <w:rPr>
                <w:sz w:val="19"/>
              </w:rPr>
              <w:t>5–6 Data and preprocessing</w:t>
            </w:r>
          </w:p>
        </w:tc>
        <w:tc>
          <w:tcPr>
            <w:tcW w:type="dxa" w:w="2570"/>
          </w:tcPr>
          <w:p>
            <w:pPr>
              <w:spacing w:after="20"/>
            </w:pPr>
            <w:r/>
            <w:r>
              <w:rPr>
                <w:sz w:val="19"/>
              </w:rPr>
              <w:t>Yes</w:t>
            </w:r>
          </w:p>
        </w:tc>
        <w:tc>
          <w:tcPr>
            <w:tcW w:type="dxa" w:w="2570"/>
          </w:tcPr>
          <w:p>
            <w:pPr>
              <w:spacing w:after="20"/>
            </w:pPr>
            <w:r/>
            <w:r>
              <w:rPr>
                <w:sz w:val="19"/>
              </w:rPr>
              <w:t>Needed for a valid comparison</w:t>
            </w:r>
          </w:p>
        </w:tc>
      </w:tr>
      <w:tr>
        <w:tc>
          <w:tcPr>
            <w:tcW w:type="dxa" w:w="4498"/>
            <w:shd w:val="clear" w:color="auto" w:fill="F2F5F9"/>
          </w:tcPr>
          <w:p>
            <w:pPr>
              <w:spacing w:after="20"/>
            </w:pPr>
            <w:r/>
            <w:r>
              <w:rPr>
                <w:sz w:val="19"/>
              </w:rPr>
              <w:t>7 Outcome and covariate design</w:t>
            </w:r>
          </w:p>
        </w:tc>
        <w:tc>
          <w:tcPr>
            <w:tcW w:type="dxa" w:w="2570"/>
            <w:shd w:val="clear" w:color="auto" w:fill="F2F5F9"/>
          </w:tcPr>
          <w:p>
            <w:pPr>
              <w:spacing w:after="20"/>
            </w:pPr>
            <w:r/>
            <w:r>
              <w:rPr>
                <w:sz w:val="19"/>
              </w:rPr>
              <w:t>Yes</w:t>
            </w:r>
          </w:p>
        </w:tc>
        <w:tc>
          <w:tcPr>
            <w:tcW w:type="dxa" w:w="2570"/>
            <w:shd w:val="clear" w:color="auto" w:fill="F2F5F9"/>
          </w:tcPr>
          <w:p>
            <w:pPr>
              <w:spacing w:after="20"/>
            </w:pPr>
            <w:r/>
            <w:r>
              <w:rPr>
                <w:sz w:val="19"/>
              </w:rPr>
              <w:t>Outcome definition is central</w:t>
            </w:r>
          </w:p>
        </w:tc>
      </w:tr>
      <w:tr>
        <w:tc>
          <w:tcPr>
            <w:tcW w:type="dxa" w:w="4498"/>
          </w:tcPr>
          <w:p>
            <w:pPr>
              <w:spacing w:after="20"/>
            </w:pPr>
            <w:r/>
            <w:r>
              <w:rPr>
                <w:sz w:val="19"/>
              </w:rPr>
              <w:t>8–9 Baseline model, candidate algorithms</w:t>
            </w:r>
          </w:p>
        </w:tc>
        <w:tc>
          <w:tcPr>
            <w:tcW w:type="dxa" w:w="2570"/>
          </w:tcPr>
          <w:p>
            <w:pPr>
              <w:spacing w:after="20"/>
            </w:pPr>
            <w:r/>
            <w:r>
              <w:rPr>
                <w:sz w:val="19"/>
              </w:rPr>
              <w:t>Omitted</w:t>
            </w:r>
          </w:p>
        </w:tc>
        <w:tc>
          <w:tcPr>
            <w:tcW w:type="dxa" w:w="2570"/>
          </w:tcPr>
          <w:p>
            <w:pPr>
              <w:spacing w:after="20"/>
            </w:pPr>
            <w:r/>
            <w:r>
              <w:rPr>
                <w:sz w:val="19"/>
              </w:rPr>
              <w:t>No prediction task; the raw difference serves as the unadjusted comparator</w:t>
            </w:r>
          </w:p>
        </w:tc>
      </w:tr>
      <w:tr>
        <w:tc>
          <w:tcPr>
            <w:tcW w:type="dxa" w:w="4498"/>
            <w:shd w:val="clear" w:color="auto" w:fill="F2F5F9"/>
          </w:tcPr>
          <w:p>
            <w:pPr>
              <w:spacing w:after="20"/>
            </w:pPr>
            <w:r/>
            <w:r>
              <w:rPr>
                <w:sz w:val="19"/>
              </w:rPr>
              <w:t>10 Metrics</w:t>
            </w:r>
          </w:p>
        </w:tc>
        <w:tc>
          <w:tcPr>
            <w:tcW w:type="dxa" w:w="2570"/>
            <w:shd w:val="clear" w:color="auto" w:fill="F2F5F9"/>
          </w:tcPr>
          <w:p>
            <w:pPr>
              <w:spacing w:after="20"/>
            </w:pPr>
            <w:r/>
            <w:r>
              <w:rPr>
                <w:sz w:val="19"/>
              </w:rPr>
              <w:t>Yes, as estimand and effect-size reporting</w:t>
            </w:r>
          </w:p>
        </w:tc>
        <w:tc>
          <w:tcPr>
            <w:tcW w:type="dxa" w:w="2570"/>
            <w:shd w:val="clear" w:color="auto" w:fill="F2F5F9"/>
          </w:tcPr>
          <w:p>
            <w:pPr>
              <w:spacing w:after="20"/>
            </w:pPr>
            <w:r/>
            <w:r>
              <w:rPr>
                <w:sz w:val="19"/>
              </w:rPr>
              <w:t>Inferential reporting</w:t>
            </w:r>
          </w:p>
        </w:tc>
      </w:tr>
      <w:tr>
        <w:tc>
          <w:tcPr>
            <w:tcW w:type="dxa" w:w="4498"/>
          </w:tcPr>
          <w:p>
            <w:pPr>
              <w:spacing w:after="20"/>
            </w:pPr>
            <w:r/>
            <w:r>
              <w:rPr>
                <w:sz w:val="19"/>
              </w:rPr>
              <w:t>11–12 Experiments, train/validation/test</w:t>
            </w:r>
          </w:p>
        </w:tc>
        <w:tc>
          <w:tcPr>
            <w:tcW w:type="dxa" w:w="2570"/>
          </w:tcPr>
          <w:p>
            <w:pPr>
              <w:spacing w:after="20"/>
            </w:pPr>
            <w:r/>
            <w:r>
              <w:rPr>
                <w:sz w:val="19"/>
              </w:rPr>
              <w:t>Omitted</w:t>
            </w:r>
          </w:p>
        </w:tc>
        <w:tc>
          <w:tcPr>
            <w:tcW w:type="dxa" w:w="2570"/>
          </w:tcPr>
          <w:p>
            <w:pPr>
              <w:spacing w:after="20"/>
            </w:pPr>
            <w:r/>
            <w:r>
              <w:rPr>
                <w:sz w:val="19"/>
              </w:rPr>
              <w:t>No model is being trained or tuned; no held-out test needed. Robustness is handled in §15</w:t>
            </w:r>
          </w:p>
        </w:tc>
      </w:tr>
      <w:tr>
        <w:tc>
          <w:tcPr>
            <w:tcW w:type="dxa" w:w="4498"/>
            <w:shd w:val="clear" w:color="auto" w:fill="F2F5F9"/>
          </w:tcPr>
          <w:p>
            <w:pPr>
              <w:spacing w:after="20"/>
            </w:pPr>
            <w:r/>
            <w:r>
              <w:rPr>
                <w:sz w:val="19"/>
              </w:rPr>
              <w:t>13 Leakage audit</w:t>
            </w:r>
          </w:p>
        </w:tc>
        <w:tc>
          <w:tcPr>
            <w:tcW w:type="dxa" w:w="2570"/>
            <w:shd w:val="clear" w:color="auto" w:fill="F2F5F9"/>
          </w:tcPr>
          <w:p>
            <w:pPr>
              <w:spacing w:after="20"/>
            </w:pPr>
            <w:r/>
            <w:r>
              <w:rPr>
                <w:sz w:val="19"/>
              </w:rPr>
              <w:t>Short form</w:t>
            </w:r>
          </w:p>
        </w:tc>
        <w:tc>
          <w:tcPr>
            <w:tcW w:type="dxa" w:w="2570"/>
            <w:shd w:val="clear" w:color="auto" w:fill="F2F5F9"/>
          </w:tcPr>
          <w:p>
            <w:pPr>
              <w:spacing w:after="20"/>
            </w:pPr>
            <w:r/>
            <w:r>
              <w:rPr>
                <w:sz w:val="19"/>
              </w:rPr>
              <w:t>Replaced by a bias and confounding audit</w:t>
            </w:r>
          </w:p>
        </w:tc>
      </w:tr>
      <w:tr>
        <w:tc>
          <w:tcPr>
            <w:tcW w:type="dxa" w:w="4498"/>
          </w:tcPr>
          <w:p>
            <w:pPr>
              <w:spacing w:after="20"/>
            </w:pPr>
            <w:r/>
            <w:r>
              <w:rPr>
                <w:sz w:val="19"/>
              </w:rPr>
              <w:t>14 Inference plan</w:t>
            </w:r>
          </w:p>
        </w:tc>
        <w:tc>
          <w:tcPr>
            <w:tcW w:type="dxa" w:w="2570"/>
          </w:tcPr>
          <w:p>
            <w:pPr>
              <w:spacing w:after="20"/>
            </w:pPr>
            <w:r/>
            <w:r>
              <w:rPr>
                <w:sz w:val="19"/>
              </w:rPr>
              <w:t>Yes</w:t>
            </w:r>
          </w:p>
        </w:tc>
        <w:tc>
          <w:tcPr>
            <w:tcW w:type="dxa" w:w="2570"/>
          </w:tcPr>
          <w:p>
            <w:pPr>
              <w:spacing w:after="20"/>
            </w:pPr>
            <w:r/>
            <w:r>
              <w:rPr>
                <w:sz w:val="19"/>
              </w:rPr>
              <w:t>Core</w:t>
            </w:r>
          </w:p>
        </w:tc>
      </w:tr>
      <w:tr>
        <w:tc>
          <w:tcPr>
            <w:tcW w:type="dxa" w:w="4498"/>
            <w:shd w:val="clear" w:color="auto" w:fill="F2F5F9"/>
          </w:tcPr>
          <w:p>
            <w:pPr>
              <w:spacing w:after="20"/>
            </w:pPr>
            <w:r/>
            <w:r>
              <w:rPr>
                <w:sz w:val="19"/>
              </w:rPr>
              <w:t>15 Robustness</w:t>
            </w:r>
          </w:p>
        </w:tc>
        <w:tc>
          <w:tcPr>
            <w:tcW w:type="dxa" w:w="2570"/>
            <w:shd w:val="clear" w:color="auto" w:fill="F2F5F9"/>
          </w:tcPr>
          <w:p>
            <w:pPr>
              <w:spacing w:after="20"/>
            </w:pPr>
            <w:r/>
            <w:r>
              <w:rPr>
                <w:sz w:val="19"/>
              </w:rPr>
              <w:t>Yes</w:t>
            </w:r>
          </w:p>
        </w:tc>
        <w:tc>
          <w:tcPr>
            <w:tcW w:type="dxa" w:w="2570"/>
            <w:shd w:val="clear" w:color="auto" w:fill="F2F5F9"/>
          </w:tcPr>
          <w:p>
            <w:pPr>
              <w:spacing w:after="20"/>
            </w:pPr>
            <w:r/>
            <w:r>
              <w:rPr>
                <w:sz w:val="19"/>
              </w:rPr>
              <w:t>Core</w:t>
            </w:r>
          </w:p>
        </w:tc>
      </w:tr>
      <w:tr>
        <w:tc>
          <w:tcPr>
            <w:tcW w:type="dxa" w:w="4498"/>
          </w:tcPr>
          <w:p>
            <w:pPr>
              <w:spacing w:after="20"/>
            </w:pPr>
            <w:r/>
            <w:r>
              <w:rPr>
                <w:sz w:val="19"/>
              </w:rPr>
              <w:t>16 Interpretability and uncertainty</w:t>
            </w:r>
          </w:p>
        </w:tc>
        <w:tc>
          <w:tcPr>
            <w:tcW w:type="dxa" w:w="2570"/>
          </w:tcPr>
          <w:p>
            <w:pPr>
              <w:spacing w:after="20"/>
            </w:pPr>
            <w:r/>
            <w:r>
              <w:rPr>
                <w:sz w:val="19"/>
              </w:rPr>
              <w:t>Merged into §14</w:t>
            </w:r>
          </w:p>
        </w:tc>
        <w:tc>
          <w:tcPr>
            <w:tcW w:type="dxa" w:w="2570"/>
          </w:tcPr>
          <w:p>
            <w:pPr>
              <w:spacing w:after="20"/>
            </w:pPr>
            <w:r/>
          </w:p>
        </w:tc>
      </w:tr>
      <w:tr>
        <w:tc>
          <w:tcPr>
            <w:tcW w:type="dxa" w:w="4498"/>
            <w:shd w:val="clear" w:color="auto" w:fill="F2F5F9"/>
          </w:tcPr>
          <w:p>
            <w:pPr>
              <w:spacing w:after="20"/>
            </w:pPr>
            <w:r/>
            <w:r>
              <w:rPr>
                <w:sz w:val="19"/>
              </w:rPr>
              <w:t>17 Deployment and monitoring</w:t>
            </w:r>
          </w:p>
        </w:tc>
        <w:tc>
          <w:tcPr>
            <w:tcW w:type="dxa" w:w="2570"/>
            <w:shd w:val="clear" w:color="auto" w:fill="F2F5F9"/>
          </w:tcPr>
          <w:p>
            <w:pPr>
              <w:spacing w:after="20"/>
            </w:pPr>
            <w:r/>
            <w:r>
              <w:rPr>
                <w:sz w:val="19"/>
              </w:rPr>
              <w:t>Omitted for a model; reporting handoff and optional post-program evaluation noted</w:t>
            </w:r>
          </w:p>
        </w:tc>
        <w:tc>
          <w:tcPr>
            <w:tcW w:type="dxa" w:w="2570"/>
            <w:shd w:val="clear" w:color="auto" w:fill="F2F5F9"/>
          </w:tcPr>
          <w:p>
            <w:pPr>
              <w:spacing w:after="20"/>
            </w:pPr>
            <w:r/>
          </w:p>
        </w:tc>
      </w:tr>
      <w:tr>
        <w:tc>
          <w:tcPr>
            <w:tcW w:type="dxa" w:w="4498"/>
          </w:tcPr>
          <w:p>
            <w:pPr>
              <w:spacing w:after="20"/>
            </w:pPr>
            <w:r/>
            <w:r>
              <w:rPr>
                <w:sz w:val="19"/>
              </w:rPr>
              <w:t>18–20 Risks, roadmap, decisions</w:t>
            </w:r>
          </w:p>
        </w:tc>
        <w:tc>
          <w:tcPr>
            <w:tcW w:type="dxa" w:w="2570"/>
          </w:tcPr>
          <w:p>
            <w:pPr>
              <w:spacing w:after="20"/>
            </w:pPr>
            <w:r/>
            <w:r>
              <w:rPr>
                <w:sz w:val="19"/>
              </w:rPr>
              <w:t>Yes</w:t>
            </w:r>
          </w:p>
        </w:tc>
        <w:tc>
          <w:tcPr>
            <w:tcW w:type="dxa" w:w="2570"/>
          </w:tcPr>
          <w:p>
            <w:pPr>
              <w:spacing w:after="20"/>
            </w:pPr>
            <w:r/>
          </w:p>
        </w:tc>
      </w:tr>
      <w:tr>
        <w:tc>
          <w:tcPr>
            <w:tcW w:type="dxa" w:w="4498"/>
            <w:shd w:val="clear" w:color="auto" w:fill="F2F5F9"/>
          </w:tcPr>
          <w:p>
            <w:pPr>
              <w:spacing w:after="20"/>
            </w:pPr>
            <w:r/>
            <w:r>
              <w:rPr>
                <w:sz w:val="19"/>
              </w:rPr>
              <w:t>21 References</w:t>
            </w:r>
          </w:p>
        </w:tc>
        <w:tc>
          <w:tcPr>
            <w:tcW w:type="dxa" w:w="2570"/>
            <w:shd w:val="clear" w:color="auto" w:fill="F2F5F9"/>
          </w:tcPr>
          <w:p>
            <w:pPr>
              <w:spacing w:after="20"/>
            </w:pPr>
            <w:r/>
            <w:r>
              <w:rPr>
                <w:sz w:val="19"/>
              </w:rPr>
              <w:t>None consulted</w:t>
            </w:r>
          </w:p>
        </w:tc>
        <w:tc>
          <w:tcPr>
            <w:tcW w:type="dxa" w:w="2570"/>
            <w:shd w:val="clear" w:color="auto" w:fill="F2F5F9"/>
          </w:tcPr>
          <w:p>
            <w:pPr>
              <w:spacing w:after="20"/>
            </w:pPr>
            <w:r/>
          </w:p>
        </w:tc>
      </w:tr>
    </w:tbl>
    <w:p>
      <w:pPr>
        <w:spacing w:after="40"/>
      </w:pPr>
    </w:p>
    <w:p>
      <w:r>
        <w:rPr/>
        <w:t>Routing: framing, data assessment and statistical inference ran in full. Model selection, experiment design and validation design were skipped (inferential lens). Evaluation and deployment ran in light form only (reporting).</w:t>
      </w:r>
    </w:p>
    <w:p>
      <w:pPr>
        <w:pStyle w:val="Heading2"/>
      </w:pPr>
      <w:r>
        <w:rPr/>
        <w:t>2. Business Problem &amp; Decision Framing</w:t>
      </w:r>
    </w:p>
    <w:tbl>
      <w:tblPr>
        <w:tblStyle w:val="TableGrid"/>
        <w:tblW w:type="auto" w:w="0"/>
        <w:jc w:val="center"/>
        <w:tblLayout w:type="fixed"/>
        <w:tblLook w:firstColumn="1" w:firstRow="1" w:lastColumn="0" w:lastRow="0" w:noHBand="0" w:noVBand="1" w:val="04A0"/>
        <w:tblLayout w:type="fixed"/>
      </w:tblPr>
      <w:tblGrid>
        <w:gridCol w:w="2174"/>
        <w:gridCol w:w="5092"/>
        <w:gridCol w:w="2372"/>
      </w:tblGrid>
      <w:tr>
        <w:trPr>
          <w:tblHeader w:val="true"/>
        </w:trPr>
        <w:tc>
          <w:tcPr>
            <w:tcW w:type="dxa" w:w="2174"/>
            <w:shd w:val="clear" w:color="auto" w:fill="1F3A5F"/>
          </w:tcPr>
          <w:p>
            <w:r/>
            <w:r>
              <w:rPr>
                <w:b/>
                <w:color w:val="FFFFFF"/>
                <w:sz w:val="19"/>
              </w:rPr>
              <w:t>Element</w:t>
            </w:r>
          </w:p>
        </w:tc>
        <w:tc>
          <w:tcPr>
            <w:tcW w:type="dxa" w:w="5092"/>
            <w:shd w:val="clear" w:color="auto" w:fill="1F3A5F"/>
          </w:tcPr>
          <w:p>
            <w:r/>
            <w:r>
              <w:rPr>
                <w:b/>
                <w:color w:val="FFFFFF"/>
                <w:sz w:val="19"/>
              </w:rPr>
              <w:t>Definition for this case</w:t>
            </w:r>
          </w:p>
        </w:tc>
        <w:tc>
          <w:tcPr>
            <w:tcW w:type="dxa" w:w="2372"/>
            <w:shd w:val="clear" w:color="auto" w:fill="1F3A5F"/>
          </w:tcPr>
          <w:p>
            <w:r/>
            <w:r>
              <w:rPr>
                <w:b/>
                <w:color w:val="FFFFFF"/>
                <w:sz w:val="19"/>
              </w:rPr>
              <w:t>Status</w:t>
            </w:r>
          </w:p>
        </w:tc>
      </w:tr>
      <w:tr>
        <w:tc>
          <w:tcPr>
            <w:tcW w:type="dxa" w:w="2174"/>
          </w:tcPr>
          <w:p>
            <w:pPr>
              <w:spacing w:after="20"/>
            </w:pPr>
            <w:r/>
            <w:r>
              <w:rPr>
                <w:sz w:val="19"/>
              </w:rPr>
              <w:t>Decision</w:t>
            </w:r>
          </w:p>
        </w:tc>
        <w:tc>
          <w:tcPr>
            <w:tcW w:type="dxa" w:w="5092"/>
          </w:tcPr>
          <w:p>
            <w:pPr>
              <w:spacing w:after="20"/>
            </w:pPr>
            <w:r/>
            <w:r>
              <w:rPr>
                <w:sz w:val="19"/>
              </w:rPr>
              <w:t>Launch (or not) and size a process-improvement program at Hospital B</w:t>
            </w:r>
          </w:p>
        </w:tc>
        <w:tc>
          <w:tcPr>
            <w:tcW w:type="dxa" w:w="2372"/>
          </w:tcPr>
          <w:p>
            <w:pPr>
              <w:spacing w:after="20"/>
            </w:pPr>
            <w:r/>
            <w:r>
              <w:rPr>
                <w:b/>
                <w:color w:val="1E7B34"/>
                <w:sz w:val="19"/>
              </w:rPr>
              <w:t>[Confirmed]</w:t>
            </w:r>
            <w:r>
              <w:rPr>
                <w:sz w:val="19"/>
              </w:rPr>
              <w:t xml:space="preserve"> from brief</w:t>
            </w:r>
          </w:p>
        </w:tc>
      </w:tr>
      <w:tr>
        <w:tc>
          <w:tcPr>
            <w:tcW w:type="dxa" w:w="2174"/>
            <w:shd w:val="clear" w:color="auto" w:fill="F2F5F9"/>
          </w:tcPr>
          <w:p>
            <w:pPr>
              <w:spacing w:after="20"/>
            </w:pPr>
            <w:r/>
            <w:r>
              <w:rPr>
                <w:sz w:val="19"/>
              </w:rPr>
              <w:t>Decision owner</w:t>
            </w:r>
          </w:p>
        </w:tc>
        <w:tc>
          <w:tcPr>
            <w:tcW w:type="dxa" w:w="5092"/>
            <w:shd w:val="clear" w:color="auto" w:fill="F2F5F9"/>
          </w:tcPr>
          <w:p>
            <w:pPr>
              <w:spacing w:after="20"/>
            </w:pPr>
            <w:r/>
            <w:r>
              <w:rPr>
                <w:sz w:val="19"/>
              </w:rPr>
              <w:t>Hospital group management</w:t>
            </w:r>
          </w:p>
        </w:tc>
        <w:tc>
          <w:tcPr>
            <w:tcW w:type="dxa" w:w="2372"/>
            <w:shd w:val="clear" w:color="auto" w:fill="F2F5F9"/>
          </w:tcPr>
          <w:p>
            <w:pPr>
              <w:spacing w:after="20"/>
            </w:pPr>
            <w:r/>
            <w:r>
              <w:rPr>
                <w:b/>
                <w:color w:val="B36B00"/>
                <w:sz w:val="19"/>
              </w:rPr>
              <w:t>[Assumed]</w:t>
            </w:r>
          </w:p>
        </w:tc>
      </w:tr>
      <w:tr>
        <w:tc>
          <w:tcPr>
            <w:tcW w:type="dxa" w:w="2174"/>
          </w:tcPr>
          <w:p>
            <w:pPr>
              <w:spacing w:after="20"/>
            </w:pPr>
            <w:r/>
            <w:r>
              <w:rPr>
                <w:sz w:val="19"/>
              </w:rPr>
              <w:t>Timing</w:t>
            </w:r>
          </w:p>
        </w:tc>
        <w:tc>
          <w:tcPr>
            <w:tcW w:type="dxa" w:w="5092"/>
          </w:tcPr>
          <w:p>
            <w:pPr>
              <w:spacing w:after="20"/>
            </w:pPr>
            <w:r/>
            <w:r>
              <w:rPr>
                <w:sz w:val="19"/>
              </w:rPr>
              <w:t>Before program launch</w:t>
            </w:r>
          </w:p>
        </w:tc>
        <w:tc>
          <w:tcPr>
            <w:tcW w:type="dxa" w:w="2372"/>
          </w:tcPr>
          <w:p>
            <w:pPr>
              <w:spacing w:after="20"/>
            </w:pPr>
            <w:r/>
            <w:r>
              <w:rPr>
                <w:b/>
                <w:color w:val="1E7B34"/>
                <w:sz w:val="19"/>
              </w:rPr>
              <w:t>[Confirmed]</w:t>
            </w:r>
          </w:p>
        </w:tc>
      </w:tr>
      <w:tr>
        <w:tc>
          <w:tcPr>
            <w:tcW w:type="dxa" w:w="2174"/>
            <w:shd w:val="clear" w:color="auto" w:fill="F2F5F9"/>
          </w:tcPr>
          <w:p>
            <w:pPr>
              <w:spacing w:after="20"/>
            </w:pPr>
            <w:r/>
            <w:r>
              <w:rPr>
                <w:sz w:val="19"/>
              </w:rPr>
              <w:t>Action space</w:t>
            </w:r>
          </w:p>
        </w:tc>
        <w:tc>
          <w:tcPr>
            <w:tcW w:type="dxa" w:w="5092"/>
            <w:shd w:val="clear" w:color="auto" w:fill="F2F5F9"/>
          </w:tcPr>
          <w:p>
            <w:pPr>
              <w:spacing w:after="20"/>
            </w:pPr>
            <w:r/>
            <w:r>
              <w:rPr>
                <w:sz w:val="19"/>
              </w:rPr>
              <w:t>Launch / defer / investigate further</w:t>
            </w:r>
          </w:p>
        </w:tc>
        <w:tc>
          <w:tcPr>
            <w:tcW w:type="dxa" w:w="2372"/>
            <w:shd w:val="clear" w:color="auto" w:fill="F2F5F9"/>
          </w:tcPr>
          <w:p>
            <w:pPr>
              <w:spacing w:after="20"/>
            </w:pPr>
            <w:r/>
            <w:r>
              <w:rPr>
                <w:b/>
                <w:color w:val="B36B00"/>
                <w:sz w:val="19"/>
              </w:rPr>
              <w:t>[Assumed]</w:t>
            </w:r>
          </w:p>
        </w:tc>
      </w:tr>
      <w:tr>
        <w:tc>
          <w:tcPr>
            <w:tcW w:type="dxa" w:w="2174"/>
          </w:tcPr>
          <w:p>
            <w:pPr>
              <w:spacing w:after="20"/>
            </w:pPr>
            <w:r/>
            <w:r>
              <w:rPr>
                <w:sz w:val="19"/>
              </w:rPr>
              <w:t>Unit of analysis</w:t>
            </w:r>
          </w:p>
        </w:tc>
        <w:tc>
          <w:tcPr>
            <w:tcW w:type="dxa" w:w="5092"/>
          </w:tcPr>
          <w:p>
            <w:pPr>
              <w:spacing w:after="20"/>
            </w:pPr>
            <w:r/>
            <w:r>
              <w:rPr>
                <w:sz w:val="19"/>
              </w:rPr>
              <w:t>One elective knee-replacement admission (the encounter)</w:t>
            </w:r>
          </w:p>
        </w:tc>
        <w:tc>
          <w:tcPr>
            <w:tcW w:type="dxa" w:w="2372"/>
          </w:tcPr>
          <w:p>
            <w:pPr>
              <w:spacing w:after="20"/>
            </w:pPr>
            <w:r/>
            <w:r>
              <w:rPr>
                <w:b/>
                <w:color w:val="B36B00"/>
                <w:sz w:val="19"/>
              </w:rPr>
              <w:t>[Assumed]</w:t>
            </w:r>
          </w:p>
        </w:tc>
      </w:tr>
      <w:tr>
        <w:tc>
          <w:tcPr>
            <w:tcW w:type="dxa" w:w="2174"/>
            <w:shd w:val="clear" w:color="auto" w:fill="F2F5F9"/>
          </w:tcPr>
          <w:p>
            <w:pPr>
              <w:spacing w:after="20"/>
            </w:pPr>
            <w:r/>
            <w:r>
              <w:rPr>
                <w:sz w:val="19"/>
              </w:rPr>
              <w:t>Population</w:t>
            </w:r>
          </w:p>
        </w:tc>
        <w:tc>
          <w:tcPr>
            <w:tcW w:type="dxa" w:w="5092"/>
            <w:shd w:val="clear" w:color="auto" w:fill="F2F5F9"/>
          </w:tcPr>
          <w:p>
            <w:pPr>
              <w:spacing w:after="20"/>
            </w:pPr>
            <w:r/>
            <w:r>
              <w:rPr>
                <w:sz w:val="19"/>
              </w:rPr>
              <w:t xml:space="preserve">Adults with elective knee replacement admitted to A or B (the 2-financial-year period is </w:t>
            </w:r>
            <w:r>
              <w:rPr>
                <w:b/>
                <w:color w:val="1E7B34"/>
                <w:sz w:val="19"/>
              </w:rPr>
              <w:t>[Confirmed]</w:t>
            </w:r>
            <w:r>
              <w:rPr>
                <w:sz w:val="19"/>
              </w:rPr>
              <w:t xml:space="preserve"> from the brief); exclusions (revisions, bilateral, emergency, trauma, deaths in hospital, transfers out) to be confirmed</w:t>
            </w:r>
          </w:p>
        </w:tc>
        <w:tc>
          <w:tcPr>
            <w:tcW w:type="dxa" w:w="2372"/>
            <w:shd w:val="clear" w:color="auto" w:fill="F2F5F9"/>
          </w:tcPr>
          <w:p>
            <w:pPr>
              <w:spacing w:after="20"/>
            </w:pPr>
            <w:r/>
            <w:r>
              <w:rPr>
                <w:sz w:val="19"/>
              </w:rPr>
              <w:t xml:space="preserve">Population </w:t>
            </w:r>
            <w:r>
              <w:rPr>
                <w:b/>
                <w:color w:val="B36B00"/>
                <w:sz w:val="19"/>
              </w:rPr>
              <w:t>[Assumed]</w:t>
            </w:r>
            <w:r>
              <w:rPr>
                <w:sz w:val="19"/>
              </w:rPr>
              <w:t xml:space="preserve">, period </w:t>
            </w:r>
            <w:r>
              <w:rPr>
                <w:b/>
                <w:color w:val="1E7B34"/>
                <w:sz w:val="19"/>
              </w:rPr>
              <w:t>[Confirmed]</w:t>
            </w:r>
            <w:r>
              <w:rPr>
                <w:sz w:val="19"/>
              </w:rPr>
              <w:t xml:space="preserve">, exclusions </w:t>
            </w:r>
            <w:r>
              <w:rPr>
                <w:b/>
                <w:color w:val="C0392B"/>
                <w:sz w:val="19"/>
              </w:rPr>
              <w:t>[To investigate]</w:t>
            </w:r>
          </w:p>
        </w:tc>
      </w:tr>
      <w:tr>
        <w:tc>
          <w:tcPr>
            <w:tcW w:type="dxa" w:w="2174"/>
          </w:tcPr>
          <w:p>
            <w:pPr>
              <w:spacing w:after="20"/>
            </w:pPr>
            <w:r/>
            <w:r>
              <w:rPr>
                <w:sz w:val="19"/>
              </w:rPr>
              <w:t>Outcome</w:t>
            </w:r>
          </w:p>
        </w:tc>
        <w:tc>
          <w:tcPr>
            <w:tcW w:type="dxa" w:w="5092"/>
          </w:tcPr>
          <w:p>
            <w:pPr>
              <w:spacing w:after="20"/>
            </w:pPr>
            <w:r/>
            <w:r>
              <w:rPr>
                <w:sz w:val="19"/>
              </w:rPr>
              <w:t>Length of stay in days: discharge date minus admission date, with the definition to be confirmed (see §7)</w:t>
            </w:r>
          </w:p>
        </w:tc>
        <w:tc>
          <w:tcPr>
            <w:tcW w:type="dxa" w:w="2372"/>
          </w:tcPr>
          <w:p>
            <w:pPr>
              <w:spacing w:after="20"/>
            </w:pPr>
            <w:r/>
            <w:r>
              <w:rPr>
                <w:b/>
                <w:color w:val="B36B00"/>
                <w:sz w:val="19"/>
              </w:rPr>
              <w:t>[Assumed]</w:t>
            </w:r>
          </w:p>
        </w:tc>
      </w:tr>
      <w:tr>
        <w:tc>
          <w:tcPr>
            <w:tcW w:type="dxa" w:w="2174"/>
            <w:shd w:val="clear" w:color="auto" w:fill="F2F5F9"/>
          </w:tcPr>
          <w:p>
            <w:pPr>
              <w:spacing w:after="20"/>
            </w:pPr>
            <w:r/>
            <w:r>
              <w:rPr>
                <w:sz w:val="19"/>
              </w:rPr>
              <w:t>Estimand</w:t>
            </w:r>
          </w:p>
        </w:tc>
        <w:tc>
          <w:tcPr>
            <w:tcW w:type="dxa" w:w="5092"/>
            <w:shd w:val="clear" w:color="auto" w:fill="F2F5F9"/>
          </w:tcPr>
          <w:p>
            <w:pPr>
              <w:spacing w:after="20"/>
            </w:pPr>
            <w:r/>
            <w:r>
              <w:rPr>
                <w:sz w:val="19"/>
              </w:rPr>
              <w:t>Difference in mean LOS (B minus A) in comparable patients; also expressed as a ratio of means</w:t>
            </w:r>
          </w:p>
        </w:tc>
        <w:tc>
          <w:tcPr>
            <w:tcW w:type="dxa" w:w="2372"/>
            <w:shd w:val="clear" w:color="auto" w:fill="F2F5F9"/>
          </w:tcPr>
          <w:p>
            <w:pPr>
              <w:spacing w:after="20"/>
            </w:pPr>
            <w:r/>
            <w:r>
              <w:rPr>
                <w:b/>
                <w:color w:val="B36B00"/>
                <w:sz w:val="19"/>
              </w:rPr>
              <w:t>[Assumed]</w:t>
            </w:r>
          </w:p>
        </w:tc>
      </w:tr>
      <w:tr>
        <w:tc>
          <w:tcPr>
            <w:tcW w:type="dxa" w:w="2174"/>
          </w:tcPr>
          <w:p>
            <w:pPr>
              <w:spacing w:after="20"/>
            </w:pPr>
            <w:r/>
            <w:r>
              <w:rPr>
                <w:sz w:val="19"/>
              </w:rPr>
              <w:t>Practical importance threshold</w:t>
            </w:r>
          </w:p>
        </w:tc>
        <w:tc>
          <w:tcPr>
            <w:tcW w:type="dxa" w:w="5092"/>
          </w:tcPr>
          <w:p>
            <w:pPr>
              <w:spacing w:after="20"/>
            </w:pPr>
            <w:r/>
            <w:r>
              <w:rPr>
                <w:b/>
                <w:color w:val="C0392B"/>
                <w:sz w:val="19"/>
              </w:rPr>
              <w:t>[TBD with client]</w:t>
            </w:r>
          </w:p>
        </w:tc>
        <w:tc>
          <w:tcPr>
            <w:tcW w:type="dxa" w:w="2372"/>
          </w:tcPr>
          <w:p>
            <w:pPr>
              <w:spacing w:after="20"/>
            </w:pPr>
            <w:r/>
            <w:r>
              <w:rPr>
                <w:sz w:val="19"/>
              </w:rPr>
              <w:t>Open</w:t>
            </w:r>
          </w:p>
        </w:tc>
      </w:tr>
      <w:tr>
        <w:tc>
          <w:tcPr>
            <w:tcW w:type="dxa" w:w="2174"/>
            <w:shd w:val="clear" w:color="auto" w:fill="F2F5F9"/>
          </w:tcPr>
          <w:p>
            <w:pPr>
              <w:spacing w:after="20"/>
            </w:pPr>
            <w:r/>
            <w:r>
              <w:rPr>
                <w:sz w:val="19"/>
              </w:rPr>
              <w:t>Cost of errors</w:t>
            </w:r>
          </w:p>
        </w:tc>
        <w:tc>
          <w:tcPr>
            <w:tcW w:type="dxa" w:w="5092"/>
            <w:shd w:val="clear" w:color="auto" w:fill="F2F5F9"/>
          </w:tcPr>
          <w:p>
            <w:pPr>
              <w:spacing w:after="20"/>
            </w:pPr>
            <w:r/>
            <w:r>
              <w:rPr>
                <w:sz w:val="19"/>
              </w:rPr>
              <w:t>Falsely concluding B is longer wastes program effort; missing a real gap leaves bed-days unused</w:t>
            </w:r>
          </w:p>
        </w:tc>
        <w:tc>
          <w:tcPr>
            <w:tcW w:type="dxa" w:w="2372"/>
            <w:shd w:val="clear" w:color="auto" w:fill="F2F5F9"/>
          </w:tcPr>
          <w:p>
            <w:pPr>
              <w:spacing w:after="20"/>
            </w:pPr>
            <w:r/>
            <w:r>
              <w:rPr>
                <w:b/>
                <w:color w:val="B36B00"/>
                <w:sz w:val="19"/>
              </w:rPr>
              <w:t>[Assumed]</w:t>
            </w:r>
          </w:p>
        </w:tc>
      </w:tr>
      <w:tr>
        <w:tc>
          <w:tcPr>
            <w:tcW w:type="dxa" w:w="2174"/>
          </w:tcPr>
          <w:p>
            <w:pPr>
              <w:spacing w:after="20"/>
            </w:pPr>
            <w:r/>
            <w:r>
              <w:rPr>
                <w:sz w:val="19"/>
              </w:rPr>
              <w:t>Constraints</w:t>
            </w:r>
          </w:p>
        </w:tc>
        <w:tc>
          <w:tcPr>
            <w:tcW w:type="dxa" w:w="5092"/>
          </w:tcPr>
          <w:p>
            <w:pPr>
              <w:spacing w:after="20"/>
            </w:pPr>
            <w:r/>
            <w:r>
              <w:rPr>
                <w:sz w:val="19"/>
              </w:rPr>
              <w:t>Patient-level health data: consent, de-identification, data residency</w:t>
            </w:r>
          </w:p>
        </w:tc>
        <w:tc>
          <w:tcPr>
            <w:tcW w:type="dxa" w:w="2372"/>
          </w:tcPr>
          <w:p>
            <w:pPr>
              <w:spacing w:after="20"/>
            </w:pPr>
            <w:r/>
            <w:r>
              <w:rPr>
                <w:b/>
                <w:color w:val="C0392B"/>
                <w:sz w:val="19"/>
              </w:rPr>
              <w:t>[To investigate]</w:t>
            </w:r>
          </w:p>
        </w:tc>
      </w:tr>
    </w:tbl>
    <w:p>
      <w:pPr>
        <w:spacing w:after="40"/>
      </w:pPr>
    </w:p>
    <w:p>
      <w:pPr>
        <w:pStyle w:val="Heading2"/>
      </w:pPr>
      <w:r>
        <w:rPr/>
        <w:t>3. Analytical Problem Classification</w:t>
      </w:r>
    </w:p>
    <w:p>
      <w:pPr>
        <w:pStyle w:val="ListBullet"/>
        <w:spacing w:after="40"/>
        <w:ind w:left="357" w:hanging="357"/>
      </w:pPr>
      <w:r>
        <w:rPr>
          <w:b/>
        </w:rPr>
        <w:t>A1 (in scope): Inferential.</w:t>
      </w:r>
      <w:r>
        <w:rPr/>
        <w:t xml:space="preserve"> Is mean LOS for elective knee replacement different between B and A, after accounting for patient mix, and by how much?</w:t>
      </w:r>
    </w:p>
    <w:p>
      <w:pPr>
        <w:pStyle w:val="ListBullet"/>
        <w:spacing w:after="40"/>
        <w:ind w:left="357" w:hanging="357"/>
      </w:pPr>
      <w:r>
        <w:rPr>
          <w:b/>
        </w:rPr>
        <w:t>A2 (out of scope, flagged): Causal.</w:t>
      </w:r>
      <w:r>
        <w:rPr/>
        <w:t xml:space="preserve"> "What would reduce LOS at B / what is the effect of the program?" A cross-hospital comparison cannot answer this. If management wants it, a separate design is needed (for example a before/after with a comparison site, or a staged roll-out across wards or surgeons). The toolkit's causal-design guidance would apply.</w:t>
      </w:r>
    </w:p>
    <w:p>
      <w:pPr>
        <w:pStyle w:val="ListBullet"/>
        <w:spacing w:after="40"/>
        <w:ind w:left="357" w:hanging="357"/>
      </w:pPr>
      <w:r>
        <w:rPr>
          <w:b/>
        </w:rPr>
        <w:t>A3 (optional, exploratory): Diagnostic.</w:t>
      </w:r>
      <w:r>
        <w:rPr/>
        <w:t xml:space="preserve"> Where in the pathway does B's time go? This needs timestamps beyond admission and discharge (theatre date, mobilisation, discharge order) which are not in the stated data.</w:t>
      </w:r>
    </w:p>
    <w:p>
      <w:pPr>
        <w:pStyle w:val="ListBullet"/>
        <w:spacing w:after="40"/>
        <w:ind w:left="357" w:hanging="357"/>
      </w:pPr>
      <w:r>
        <w:rPr>
          <w:b/>
        </w:rPr>
        <w:t>Alternatives considered:</w:t>
      </w:r>
      <w:r>
        <w:rPr/>
        <w:t xml:space="preserve"> a predictive LOS model would be appropriate for bed planning, but it does not answer "is B different". A risk-adjusted comparison via indirect standardisation (expected LOS from a pooled model, then observed/expected by site) is a presentation option for the same analysis.</w:t>
      </w:r>
    </w:p>
    <w:p>
      <w:pPr>
        <w:pStyle w:val="Heading2"/>
      </w:pPr>
      <w:r>
        <w:rPr/>
        <w:t>4. Assumptions, Unknowns &amp; Client Clarification Questions</w:t>
      </w:r>
    </w:p>
    <w:tbl>
      <w:tblPr>
        <w:tblStyle w:val="TableGrid"/>
        <w:tblW w:type="auto" w:w="0"/>
        <w:jc w:val="center"/>
        <w:tblLayout w:type="fixed"/>
        <w:tblLook w:firstColumn="1" w:firstRow="1" w:lastColumn="0" w:lastRow="0" w:noHBand="0" w:noVBand="1" w:val="04A0"/>
        <w:tblLayout w:type="fixed"/>
      </w:tblPr>
      <w:tblGrid>
        <w:gridCol w:w="969"/>
        <w:gridCol w:w="3213"/>
        <w:gridCol w:w="1213"/>
        <w:gridCol w:w="1817"/>
        <w:gridCol w:w="1334"/>
        <w:gridCol w:w="1092"/>
      </w:tblGrid>
      <w:tr>
        <w:trPr>
          <w:tblHeader w:val="true"/>
        </w:trPr>
        <w:tc>
          <w:tcPr>
            <w:tcW w:type="dxa" w:w="969"/>
            <w:shd w:val="clear" w:color="auto" w:fill="1F3A5F"/>
          </w:tcPr>
          <w:p>
            <w:r/>
            <w:r>
              <w:rPr>
                <w:b/>
                <w:color w:val="FFFFFF"/>
                <w:sz w:val="17"/>
              </w:rPr>
              <w:t>ID</w:t>
            </w:r>
          </w:p>
        </w:tc>
        <w:tc>
          <w:tcPr>
            <w:tcW w:type="dxa" w:w="3213"/>
            <w:shd w:val="clear" w:color="auto" w:fill="1F3A5F"/>
          </w:tcPr>
          <w:p>
            <w:r/>
            <w:r>
              <w:rPr>
                <w:b/>
                <w:color w:val="FFFFFF"/>
                <w:sz w:val="17"/>
              </w:rPr>
              <w:t>Statement</w:t>
            </w:r>
          </w:p>
        </w:tc>
        <w:tc>
          <w:tcPr>
            <w:tcW w:type="dxa" w:w="1213"/>
            <w:shd w:val="clear" w:color="auto" w:fill="1F3A5F"/>
          </w:tcPr>
          <w:p>
            <w:r/>
            <w:r>
              <w:rPr>
                <w:b/>
                <w:color w:val="FFFFFF"/>
                <w:sz w:val="17"/>
              </w:rPr>
              <w:t>Type</w:t>
            </w:r>
          </w:p>
        </w:tc>
        <w:tc>
          <w:tcPr>
            <w:tcW w:type="dxa" w:w="1817"/>
            <w:shd w:val="clear" w:color="auto" w:fill="1F3A5F"/>
          </w:tcPr>
          <w:p>
            <w:r/>
            <w:r>
              <w:rPr>
                <w:b/>
                <w:color w:val="FFFFFF"/>
                <w:sz w:val="17"/>
              </w:rPr>
              <w:t>Impact if wrong</w:t>
            </w:r>
          </w:p>
        </w:tc>
        <w:tc>
          <w:tcPr>
            <w:tcW w:type="dxa" w:w="1334"/>
            <w:shd w:val="clear" w:color="auto" w:fill="1F3A5F"/>
          </w:tcPr>
          <w:p>
            <w:r/>
            <w:r>
              <w:rPr>
                <w:b/>
                <w:color w:val="FFFFFF"/>
                <w:sz w:val="17"/>
              </w:rPr>
              <w:t>Owner</w:t>
            </w:r>
          </w:p>
        </w:tc>
        <w:tc>
          <w:tcPr>
            <w:tcW w:type="dxa" w:w="1092"/>
            <w:shd w:val="clear" w:color="auto" w:fill="1F3A5F"/>
          </w:tcPr>
          <w:p>
            <w:r/>
            <w:r>
              <w:rPr>
                <w:b/>
                <w:color w:val="FFFFFF"/>
                <w:sz w:val="17"/>
              </w:rPr>
              <w:t>Needed by</w:t>
            </w:r>
          </w:p>
        </w:tc>
      </w:tr>
      <w:tr>
        <w:tc>
          <w:tcPr>
            <w:tcW w:type="dxa" w:w="969"/>
          </w:tcPr>
          <w:p>
            <w:pPr>
              <w:spacing w:after="20"/>
            </w:pPr>
            <w:r/>
            <w:r>
              <w:rPr>
                <w:sz w:val="17"/>
              </w:rPr>
              <w:t>Q1</w:t>
            </w:r>
          </w:p>
        </w:tc>
        <w:tc>
          <w:tcPr>
            <w:tcW w:type="dxa" w:w="3213"/>
          </w:tcPr>
          <w:p>
            <w:pPr>
              <w:spacing w:after="20"/>
            </w:pPr>
            <w:r/>
            <w:r>
              <w:rPr>
                <w:sz w:val="17"/>
              </w:rPr>
              <w:t>Admission and discharge definitions are identical at A and B</w:t>
            </w:r>
          </w:p>
        </w:tc>
        <w:tc>
          <w:tcPr>
            <w:tcW w:type="dxa" w:w="1213"/>
          </w:tcPr>
          <w:p>
            <w:pPr>
              <w:spacing w:after="20"/>
            </w:pPr>
            <w:r/>
            <w:r>
              <w:rPr>
                <w:sz w:val="17"/>
              </w:rPr>
              <w:t>Open question</w:t>
            </w:r>
          </w:p>
        </w:tc>
        <w:tc>
          <w:tcPr>
            <w:tcW w:type="dxa" w:w="1817"/>
          </w:tcPr>
          <w:p>
            <w:pPr>
              <w:spacing w:after="20"/>
            </w:pPr>
            <w:r/>
            <w:r>
              <w:rPr>
                <w:sz w:val="17"/>
              </w:rPr>
              <w:t>A definitional gap could create or hide the difference</w:t>
            </w:r>
          </w:p>
        </w:tc>
        <w:tc>
          <w:tcPr>
            <w:tcW w:type="dxa" w:w="1334"/>
          </w:tcPr>
          <w:p>
            <w:pPr>
              <w:spacing w:after="20"/>
            </w:pPr>
            <w:r/>
            <w:r>
              <w:rPr>
                <w:sz w:val="17"/>
              </w:rPr>
              <w:t>HIS/IT leads</w:t>
            </w:r>
          </w:p>
        </w:tc>
        <w:tc>
          <w:tcPr>
            <w:tcW w:type="dxa" w:w="1092"/>
          </w:tcPr>
          <w:p>
            <w:pPr>
              <w:spacing w:after="20"/>
            </w:pPr>
            <w:r/>
            <w:r>
              <w:rPr>
                <w:sz w:val="17"/>
              </w:rPr>
              <w:t>Discovery</w:t>
            </w:r>
          </w:p>
        </w:tc>
      </w:tr>
      <w:tr>
        <w:tc>
          <w:tcPr>
            <w:tcW w:type="dxa" w:w="969"/>
            <w:shd w:val="clear" w:color="auto" w:fill="F2F5F9"/>
          </w:tcPr>
          <w:p>
            <w:pPr>
              <w:spacing w:after="20"/>
            </w:pPr>
            <w:r/>
            <w:r>
              <w:rPr>
                <w:sz w:val="17"/>
              </w:rPr>
              <w:t>Q2</w:t>
            </w:r>
          </w:p>
        </w:tc>
        <w:tc>
          <w:tcPr>
            <w:tcW w:type="dxa" w:w="3213"/>
            <w:shd w:val="clear" w:color="auto" w:fill="F2F5F9"/>
          </w:tcPr>
          <w:p>
            <w:pPr>
              <w:spacing w:after="20"/>
            </w:pPr>
            <w:r/>
            <w:r>
              <w:rPr>
                <w:sz w:val="17"/>
              </w:rPr>
              <w:t>Cohort is elective primary knee replacement only</w:t>
            </w:r>
          </w:p>
        </w:tc>
        <w:tc>
          <w:tcPr>
            <w:tcW w:type="dxa" w:w="1213"/>
            <w:shd w:val="clear" w:color="auto" w:fill="F2F5F9"/>
          </w:tcPr>
          <w:p>
            <w:pPr>
              <w:spacing w:after="20"/>
            </w:pPr>
            <w:r/>
            <w:r>
              <w:rPr>
                <w:sz w:val="17"/>
              </w:rPr>
              <w:t>Open question</w:t>
            </w:r>
          </w:p>
        </w:tc>
        <w:tc>
          <w:tcPr>
            <w:tcW w:type="dxa" w:w="1817"/>
            <w:shd w:val="clear" w:color="auto" w:fill="F2F5F9"/>
          </w:tcPr>
          <w:p>
            <w:pPr>
              <w:spacing w:after="20"/>
            </w:pPr>
            <w:r/>
            <w:r>
              <w:rPr>
                <w:sz w:val="17"/>
              </w:rPr>
              <w:t>Mixing in revisions or bilaterals inflates LOS and may differ by site</w:t>
            </w:r>
          </w:p>
        </w:tc>
        <w:tc>
          <w:tcPr>
            <w:tcW w:type="dxa" w:w="1334"/>
            <w:shd w:val="clear" w:color="auto" w:fill="F2F5F9"/>
          </w:tcPr>
          <w:p>
            <w:pPr>
              <w:spacing w:after="20"/>
            </w:pPr>
            <w:r/>
            <w:r>
              <w:rPr>
                <w:sz w:val="17"/>
              </w:rPr>
              <w:t>Orthopaedic lead</w:t>
            </w:r>
          </w:p>
        </w:tc>
        <w:tc>
          <w:tcPr>
            <w:tcW w:type="dxa" w:w="1092"/>
            <w:shd w:val="clear" w:color="auto" w:fill="F2F5F9"/>
          </w:tcPr>
          <w:p>
            <w:pPr>
              <w:spacing w:after="20"/>
            </w:pPr>
            <w:r/>
            <w:r>
              <w:rPr>
                <w:sz w:val="17"/>
              </w:rPr>
              <w:t>Discovery</w:t>
            </w:r>
          </w:p>
        </w:tc>
      </w:tr>
      <w:tr>
        <w:tc>
          <w:tcPr>
            <w:tcW w:type="dxa" w:w="969"/>
          </w:tcPr>
          <w:p>
            <w:pPr>
              <w:spacing w:after="20"/>
            </w:pPr>
            <w:r/>
            <w:r>
              <w:rPr>
                <w:sz w:val="17"/>
              </w:rPr>
              <w:t>Q3</w:t>
            </w:r>
          </w:p>
        </w:tc>
        <w:tc>
          <w:tcPr>
            <w:tcW w:type="dxa" w:w="3213"/>
          </w:tcPr>
          <w:p>
            <w:pPr>
              <w:spacing w:after="20"/>
            </w:pPr>
            <w:r/>
            <w:r>
              <w:rPr>
                <w:sz w:val="17"/>
              </w:rPr>
              <w:t>Surgeon overlap between sites</w:t>
            </w:r>
          </w:p>
        </w:tc>
        <w:tc>
          <w:tcPr>
            <w:tcW w:type="dxa" w:w="1213"/>
          </w:tcPr>
          <w:p>
            <w:pPr>
              <w:spacing w:after="20"/>
            </w:pPr>
            <w:r/>
            <w:r>
              <w:rPr>
                <w:sz w:val="17"/>
              </w:rPr>
              <w:t>Open question</w:t>
            </w:r>
          </w:p>
        </w:tc>
        <w:tc>
          <w:tcPr>
            <w:tcW w:type="dxa" w:w="1817"/>
          </w:tcPr>
          <w:p>
            <w:pPr>
              <w:spacing w:after="20"/>
            </w:pPr>
            <w:r/>
            <w:r>
              <w:rPr>
                <w:sz w:val="17"/>
              </w:rPr>
              <w:t>If no surgeon works at both sites, hospital and surgeon effects cannot be separated</w:t>
            </w:r>
          </w:p>
        </w:tc>
        <w:tc>
          <w:tcPr>
            <w:tcW w:type="dxa" w:w="1334"/>
          </w:tcPr>
          <w:p>
            <w:pPr>
              <w:spacing w:after="20"/>
            </w:pPr>
            <w:r/>
            <w:r>
              <w:rPr>
                <w:sz w:val="17"/>
              </w:rPr>
              <w:t>Medical director</w:t>
            </w:r>
          </w:p>
        </w:tc>
        <w:tc>
          <w:tcPr>
            <w:tcW w:type="dxa" w:w="1092"/>
          </w:tcPr>
          <w:p>
            <w:pPr>
              <w:spacing w:after="20"/>
            </w:pPr>
            <w:r/>
            <w:r>
              <w:rPr>
                <w:sz w:val="17"/>
              </w:rPr>
              <w:t>Discovery</w:t>
            </w:r>
          </w:p>
        </w:tc>
      </w:tr>
      <w:tr>
        <w:tc>
          <w:tcPr>
            <w:tcW w:type="dxa" w:w="969"/>
            <w:shd w:val="clear" w:color="auto" w:fill="F2F5F9"/>
          </w:tcPr>
          <w:p>
            <w:pPr>
              <w:spacing w:after="20"/>
            </w:pPr>
            <w:r/>
            <w:r>
              <w:rPr>
                <w:sz w:val="17"/>
              </w:rPr>
              <w:t>Q4</w:t>
            </w:r>
          </w:p>
        </w:tc>
        <w:tc>
          <w:tcPr>
            <w:tcW w:type="dxa" w:w="3213"/>
            <w:shd w:val="clear" w:color="auto" w:fill="F2F5F9"/>
          </w:tcPr>
          <w:p>
            <w:pPr>
              <w:spacing w:after="20"/>
            </w:pPr>
            <w:r/>
            <w:r>
              <w:rPr>
                <w:sz w:val="17"/>
              </w:rPr>
              <w:t>Ethics/data-protection approval route</w:t>
            </w:r>
          </w:p>
        </w:tc>
        <w:tc>
          <w:tcPr>
            <w:tcW w:type="dxa" w:w="1213"/>
            <w:shd w:val="clear" w:color="auto" w:fill="F2F5F9"/>
          </w:tcPr>
          <w:p>
            <w:pPr>
              <w:spacing w:after="20"/>
            </w:pPr>
            <w:r/>
            <w:r>
              <w:rPr>
                <w:sz w:val="17"/>
              </w:rPr>
              <w:t>Open question</w:t>
            </w:r>
          </w:p>
        </w:tc>
        <w:tc>
          <w:tcPr>
            <w:tcW w:type="dxa" w:w="1817"/>
            <w:shd w:val="clear" w:color="auto" w:fill="F2F5F9"/>
          </w:tcPr>
          <w:p>
            <w:pPr>
              <w:spacing w:after="20"/>
            </w:pPr>
            <w:r/>
            <w:r>
              <w:rPr>
                <w:sz w:val="17"/>
              </w:rPr>
              <w:t>Blocks access to data</w:t>
            </w:r>
          </w:p>
        </w:tc>
        <w:tc>
          <w:tcPr>
            <w:tcW w:type="dxa" w:w="1334"/>
            <w:shd w:val="clear" w:color="auto" w:fill="F2F5F9"/>
          </w:tcPr>
          <w:p>
            <w:pPr>
              <w:spacing w:after="20"/>
            </w:pPr>
            <w:r/>
            <w:r>
              <w:rPr>
                <w:sz w:val="17"/>
              </w:rPr>
              <w:t>Compliance</w:t>
            </w:r>
          </w:p>
        </w:tc>
        <w:tc>
          <w:tcPr>
            <w:tcW w:type="dxa" w:w="1092"/>
            <w:shd w:val="clear" w:color="auto" w:fill="F2F5F9"/>
          </w:tcPr>
          <w:p>
            <w:pPr>
              <w:spacing w:after="20"/>
            </w:pPr>
            <w:r/>
            <w:r>
              <w:rPr>
                <w:sz w:val="17"/>
              </w:rPr>
              <w:t>Discovery</w:t>
            </w:r>
          </w:p>
        </w:tc>
      </w:tr>
      <w:tr>
        <w:tc>
          <w:tcPr>
            <w:tcW w:type="dxa" w:w="969"/>
          </w:tcPr>
          <w:p>
            <w:pPr>
              <w:spacing w:after="20"/>
            </w:pPr>
            <w:r/>
            <w:r>
              <w:rPr>
                <w:sz w:val="17"/>
              </w:rPr>
              <w:t>Q5</w:t>
            </w:r>
          </w:p>
        </w:tc>
        <w:tc>
          <w:tcPr>
            <w:tcW w:type="dxa" w:w="3213"/>
          </w:tcPr>
          <w:p>
            <w:pPr>
              <w:spacing w:after="20"/>
            </w:pPr>
            <w:r/>
            <w:r>
              <w:rPr>
                <w:sz w:val="17"/>
              </w:rPr>
              <w:t>Practical importance threshold and bed-day cost</w:t>
            </w:r>
          </w:p>
        </w:tc>
        <w:tc>
          <w:tcPr>
            <w:tcW w:type="dxa" w:w="1213"/>
          </w:tcPr>
          <w:p>
            <w:pPr>
              <w:spacing w:after="20"/>
            </w:pPr>
            <w:r/>
            <w:r>
              <w:rPr>
                <w:sz w:val="17"/>
              </w:rPr>
              <w:t>Open question</w:t>
            </w:r>
          </w:p>
        </w:tc>
        <w:tc>
          <w:tcPr>
            <w:tcW w:type="dxa" w:w="1817"/>
          </w:tcPr>
          <w:p>
            <w:pPr>
              <w:spacing w:after="20"/>
            </w:pPr>
            <w:r/>
            <w:r>
              <w:rPr>
                <w:sz w:val="17"/>
              </w:rPr>
              <w:t>Cannot judge significance in business terms</w:t>
            </w:r>
          </w:p>
        </w:tc>
        <w:tc>
          <w:tcPr>
            <w:tcW w:type="dxa" w:w="1334"/>
          </w:tcPr>
          <w:p>
            <w:pPr>
              <w:spacing w:after="20"/>
            </w:pPr>
            <w:r/>
            <w:r>
              <w:rPr>
                <w:sz w:val="17"/>
              </w:rPr>
              <w:t>Management</w:t>
            </w:r>
          </w:p>
        </w:tc>
        <w:tc>
          <w:tcPr>
            <w:tcW w:type="dxa" w:w="1092"/>
          </w:tcPr>
          <w:p>
            <w:pPr>
              <w:spacing w:after="20"/>
            </w:pPr>
            <w:r/>
            <w:r>
              <w:rPr>
                <w:sz w:val="17"/>
              </w:rPr>
              <w:t>Discovery</w:t>
            </w:r>
          </w:p>
        </w:tc>
      </w:tr>
      <w:tr>
        <w:tc>
          <w:tcPr>
            <w:tcW w:type="dxa" w:w="969"/>
            <w:shd w:val="clear" w:color="auto" w:fill="F2F5F9"/>
          </w:tcPr>
          <w:p>
            <w:pPr>
              <w:spacing w:after="20"/>
            </w:pPr>
            <w:r/>
            <w:r>
              <w:rPr>
                <w:sz w:val="17"/>
              </w:rPr>
              <w:t>A1</w:t>
            </w:r>
          </w:p>
        </w:tc>
        <w:tc>
          <w:tcPr>
            <w:tcW w:type="dxa" w:w="3213"/>
            <w:shd w:val="clear" w:color="auto" w:fill="F2F5F9"/>
          </w:tcPr>
          <w:p>
            <w:pPr>
              <w:spacing w:after="20"/>
            </w:pPr>
            <w:r/>
            <w:r>
              <w:rPr>
                <w:sz w:val="17"/>
              </w:rPr>
              <w:t>Data are complete for all consecutive eligible admissions (no selection into extract)</w:t>
            </w:r>
          </w:p>
        </w:tc>
        <w:tc>
          <w:tcPr>
            <w:tcW w:type="dxa" w:w="1213"/>
            <w:shd w:val="clear" w:color="auto" w:fill="F2F5F9"/>
          </w:tcPr>
          <w:p>
            <w:pPr>
              <w:spacing w:after="20"/>
            </w:pPr>
            <w:r/>
            <w:r>
              <w:rPr>
                <w:sz w:val="17"/>
              </w:rPr>
              <w:t>Assumption</w:t>
            </w:r>
          </w:p>
        </w:tc>
        <w:tc>
          <w:tcPr>
            <w:tcW w:type="dxa" w:w="1817"/>
            <w:shd w:val="clear" w:color="auto" w:fill="F2F5F9"/>
          </w:tcPr>
          <w:p>
            <w:pPr>
              <w:spacing w:after="20"/>
            </w:pPr>
            <w:r/>
            <w:r>
              <w:rPr>
                <w:sz w:val="17"/>
              </w:rPr>
              <w:t>Selection bias</w:t>
            </w:r>
          </w:p>
        </w:tc>
        <w:tc>
          <w:tcPr>
            <w:tcW w:type="dxa" w:w="1334"/>
            <w:shd w:val="clear" w:color="auto" w:fill="F2F5F9"/>
          </w:tcPr>
          <w:p>
            <w:pPr>
              <w:spacing w:after="20"/>
            </w:pPr>
            <w:r/>
            <w:r>
              <w:rPr>
                <w:sz w:val="17"/>
              </w:rPr>
              <w:t>Data team</w:t>
            </w:r>
          </w:p>
        </w:tc>
        <w:tc>
          <w:tcPr>
            <w:tcW w:type="dxa" w:w="1092"/>
            <w:shd w:val="clear" w:color="auto" w:fill="F2F5F9"/>
          </w:tcPr>
          <w:p>
            <w:pPr>
              <w:spacing w:after="20"/>
            </w:pPr>
            <w:r/>
            <w:r>
              <w:rPr>
                <w:sz w:val="17"/>
              </w:rPr>
              <w:t>Data profiling</w:t>
            </w:r>
          </w:p>
        </w:tc>
      </w:tr>
      <w:tr>
        <w:tc>
          <w:tcPr>
            <w:tcW w:type="dxa" w:w="969"/>
          </w:tcPr>
          <w:p>
            <w:pPr>
              <w:spacing w:after="20"/>
            </w:pPr>
            <w:r/>
            <w:r>
              <w:rPr>
                <w:sz w:val="17"/>
              </w:rPr>
              <w:t>A2</w:t>
            </w:r>
          </w:p>
        </w:tc>
        <w:tc>
          <w:tcPr>
            <w:tcW w:type="dxa" w:w="3213"/>
          </w:tcPr>
          <w:p>
            <w:pPr>
              <w:spacing w:after="20"/>
            </w:pPr>
            <w:r/>
            <w:r>
              <w:rPr>
                <w:sz w:val="17"/>
              </w:rPr>
              <w:t>The two financial years are the same at both sites, with no major policy change mid-period</w:t>
            </w:r>
          </w:p>
        </w:tc>
        <w:tc>
          <w:tcPr>
            <w:tcW w:type="dxa" w:w="1213"/>
          </w:tcPr>
          <w:p>
            <w:pPr>
              <w:spacing w:after="20"/>
            </w:pPr>
            <w:r/>
            <w:r>
              <w:rPr>
                <w:sz w:val="17"/>
              </w:rPr>
              <w:t>Assumption</w:t>
            </w:r>
          </w:p>
        </w:tc>
        <w:tc>
          <w:tcPr>
            <w:tcW w:type="dxa" w:w="1817"/>
          </w:tcPr>
          <w:p>
            <w:pPr>
              <w:spacing w:after="20"/>
            </w:pPr>
            <w:r/>
            <w:r>
              <w:rPr>
                <w:sz w:val="17"/>
              </w:rPr>
              <w:t>Time confounding</w:t>
            </w:r>
          </w:p>
        </w:tc>
        <w:tc>
          <w:tcPr>
            <w:tcW w:type="dxa" w:w="1334"/>
          </w:tcPr>
          <w:p>
            <w:pPr>
              <w:spacing w:after="20"/>
            </w:pPr>
            <w:r/>
            <w:r>
              <w:rPr>
                <w:sz w:val="17"/>
              </w:rPr>
              <w:t>Client</w:t>
            </w:r>
          </w:p>
        </w:tc>
        <w:tc>
          <w:tcPr>
            <w:tcW w:type="dxa" w:w="1092"/>
          </w:tcPr>
          <w:p>
            <w:pPr>
              <w:spacing w:after="20"/>
            </w:pPr>
            <w:r/>
            <w:r>
              <w:rPr>
                <w:sz w:val="17"/>
              </w:rPr>
              <w:t>Discovery</w:t>
            </w:r>
          </w:p>
        </w:tc>
      </w:tr>
      <w:tr>
        <w:tc>
          <w:tcPr>
            <w:tcW w:type="dxa" w:w="969"/>
            <w:shd w:val="clear" w:color="auto" w:fill="F2F5F9"/>
          </w:tcPr>
          <w:p>
            <w:pPr>
              <w:spacing w:after="20"/>
            </w:pPr>
            <w:r/>
            <w:r>
              <w:rPr>
                <w:sz w:val="17"/>
              </w:rPr>
              <w:t>A3</w:t>
            </w:r>
          </w:p>
        </w:tc>
        <w:tc>
          <w:tcPr>
            <w:tcW w:type="dxa" w:w="3213"/>
            <w:shd w:val="clear" w:color="auto" w:fill="F2F5F9"/>
          </w:tcPr>
          <w:p>
            <w:pPr>
              <w:spacing w:after="20"/>
            </w:pPr>
            <w:r/>
            <w:r>
              <w:rPr>
                <w:sz w:val="17"/>
              </w:rPr>
              <w:t>Comorbidities are available as a coded list or index (not free text)</w:t>
            </w:r>
          </w:p>
        </w:tc>
        <w:tc>
          <w:tcPr>
            <w:tcW w:type="dxa" w:w="1213"/>
            <w:shd w:val="clear" w:color="auto" w:fill="F2F5F9"/>
          </w:tcPr>
          <w:p>
            <w:pPr>
              <w:spacing w:after="20"/>
            </w:pPr>
            <w:r/>
            <w:r>
              <w:rPr>
                <w:sz w:val="17"/>
              </w:rPr>
              <w:t>Assumption</w:t>
            </w:r>
          </w:p>
        </w:tc>
        <w:tc>
          <w:tcPr>
            <w:tcW w:type="dxa" w:w="1817"/>
            <w:shd w:val="clear" w:color="auto" w:fill="F2F5F9"/>
          </w:tcPr>
          <w:p>
            <w:pPr>
              <w:spacing w:after="20"/>
            </w:pPr>
            <w:r/>
            <w:r>
              <w:rPr>
                <w:sz w:val="17"/>
              </w:rPr>
              <w:t>Weaker adjustment</w:t>
            </w:r>
          </w:p>
        </w:tc>
        <w:tc>
          <w:tcPr>
            <w:tcW w:type="dxa" w:w="1334"/>
            <w:shd w:val="clear" w:color="auto" w:fill="F2F5F9"/>
          </w:tcPr>
          <w:p>
            <w:pPr>
              <w:spacing w:after="20"/>
            </w:pPr>
            <w:r/>
            <w:r>
              <w:rPr>
                <w:sz w:val="17"/>
              </w:rPr>
              <w:t>Data team</w:t>
            </w:r>
          </w:p>
        </w:tc>
        <w:tc>
          <w:tcPr>
            <w:tcW w:type="dxa" w:w="1092"/>
            <w:shd w:val="clear" w:color="auto" w:fill="F2F5F9"/>
          </w:tcPr>
          <w:p>
            <w:pPr>
              <w:spacing w:after="20"/>
            </w:pPr>
            <w:r/>
            <w:r>
              <w:rPr>
                <w:sz w:val="17"/>
              </w:rPr>
              <w:t>Data profiling</w:t>
            </w:r>
          </w:p>
        </w:tc>
      </w:tr>
      <w:tr>
        <w:tc>
          <w:tcPr>
            <w:tcW w:type="dxa" w:w="969"/>
          </w:tcPr>
          <w:p>
            <w:pPr>
              <w:spacing w:after="20"/>
            </w:pPr>
            <w:r/>
            <w:r>
              <w:rPr>
                <w:sz w:val="17"/>
              </w:rPr>
              <w:t>A4</w:t>
            </w:r>
          </w:p>
        </w:tc>
        <w:tc>
          <w:tcPr>
            <w:tcW w:type="dxa" w:w="3213"/>
          </w:tcPr>
          <w:p>
            <w:pPr>
              <w:spacing w:after="20"/>
            </w:pPr>
            <w:r/>
            <w:r>
              <w:rPr>
                <w:sz w:val="17"/>
              </w:rPr>
              <w:t>In-hospital deaths and transfers out are rare enough to handle by exclusion with a sensitivity check</w:t>
            </w:r>
          </w:p>
        </w:tc>
        <w:tc>
          <w:tcPr>
            <w:tcW w:type="dxa" w:w="1213"/>
          </w:tcPr>
          <w:p>
            <w:pPr>
              <w:spacing w:after="20"/>
            </w:pPr>
            <w:r/>
            <w:r>
              <w:rPr>
                <w:sz w:val="17"/>
              </w:rPr>
              <w:t>Assumption</w:t>
            </w:r>
          </w:p>
        </w:tc>
        <w:tc>
          <w:tcPr>
            <w:tcW w:type="dxa" w:w="1817"/>
          </w:tcPr>
          <w:p>
            <w:pPr>
              <w:spacing w:after="20"/>
            </w:pPr>
            <w:r/>
            <w:r>
              <w:rPr>
                <w:sz w:val="17"/>
              </w:rPr>
              <w:t>Informative censoring of LOS</w:t>
            </w:r>
          </w:p>
        </w:tc>
        <w:tc>
          <w:tcPr>
            <w:tcW w:type="dxa" w:w="1334"/>
          </w:tcPr>
          <w:p>
            <w:pPr>
              <w:spacing w:after="20"/>
            </w:pPr>
            <w:r/>
            <w:r>
              <w:rPr>
                <w:sz w:val="17"/>
              </w:rPr>
              <w:t>Data team</w:t>
            </w:r>
          </w:p>
        </w:tc>
        <w:tc>
          <w:tcPr>
            <w:tcW w:type="dxa" w:w="1092"/>
          </w:tcPr>
          <w:p>
            <w:pPr>
              <w:spacing w:after="20"/>
            </w:pPr>
            <w:r/>
            <w:r>
              <w:rPr>
                <w:sz w:val="17"/>
              </w:rPr>
              <w:t>Data profiling</w:t>
            </w:r>
          </w:p>
        </w:tc>
      </w:tr>
      <w:tr>
        <w:tc>
          <w:tcPr>
            <w:tcW w:type="dxa" w:w="969"/>
            <w:shd w:val="clear" w:color="auto" w:fill="F2F5F9"/>
          </w:tcPr>
          <w:p>
            <w:pPr>
              <w:spacing w:after="20"/>
            </w:pPr>
            <w:r/>
            <w:r>
              <w:rPr>
                <w:sz w:val="17"/>
              </w:rPr>
              <w:t>A5</w:t>
            </w:r>
          </w:p>
        </w:tc>
        <w:tc>
          <w:tcPr>
            <w:tcW w:type="dxa" w:w="3213"/>
            <w:shd w:val="clear" w:color="auto" w:fill="F2F5F9"/>
          </w:tcPr>
          <w:p>
            <w:pPr>
              <w:spacing w:after="20"/>
            </w:pPr>
            <w:r/>
            <w:r>
              <w:rPr>
                <w:sz w:val="17"/>
              </w:rPr>
              <w:t xml:space="preserve">Payer or insurance type, discharge destination, and day-of-week are </w:t>
            </w:r>
            <w:r>
              <w:rPr>
                <w:i/>
                <w:sz w:val="17"/>
              </w:rPr>
              <w:t>not</w:t>
            </w:r>
            <w:r>
              <w:rPr>
                <w:sz w:val="17"/>
              </w:rPr>
              <w:t xml:space="preserve"> in the stated data; we ask for them but proceed without if absent</w:t>
            </w:r>
          </w:p>
        </w:tc>
        <w:tc>
          <w:tcPr>
            <w:tcW w:type="dxa" w:w="1213"/>
            <w:shd w:val="clear" w:color="auto" w:fill="F2F5F9"/>
          </w:tcPr>
          <w:p>
            <w:pPr>
              <w:spacing w:after="20"/>
            </w:pPr>
            <w:r/>
            <w:r>
              <w:rPr>
                <w:sz w:val="17"/>
              </w:rPr>
              <w:t>Assumption</w:t>
            </w:r>
          </w:p>
        </w:tc>
        <w:tc>
          <w:tcPr>
            <w:tcW w:type="dxa" w:w="1817"/>
            <w:shd w:val="clear" w:color="auto" w:fill="F2F5F9"/>
          </w:tcPr>
          <w:p>
            <w:pPr>
              <w:spacing w:after="20"/>
            </w:pPr>
            <w:r/>
            <w:r>
              <w:rPr>
                <w:sz w:val="17"/>
              </w:rPr>
              <w:t>Residual confounding</w:t>
            </w:r>
          </w:p>
        </w:tc>
        <w:tc>
          <w:tcPr>
            <w:tcW w:type="dxa" w:w="1334"/>
            <w:shd w:val="clear" w:color="auto" w:fill="F2F5F9"/>
          </w:tcPr>
          <w:p>
            <w:pPr>
              <w:spacing w:after="20"/>
            </w:pPr>
            <w:r/>
            <w:r>
              <w:rPr>
                <w:sz w:val="17"/>
              </w:rPr>
              <w:t>Data team</w:t>
            </w:r>
          </w:p>
        </w:tc>
        <w:tc>
          <w:tcPr>
            <w:tcW w:type="dxa" w:w="1092"/>
            <w:shd w:val="clear" w:color="auto" w:fill="F2F5F9"/>
          </w:tcPr>
          <w:p>
            <w:pPr>
              <w:spacing w:after="20"/>
            </w:pPr>
            <w:r/>
            <w:r>
              <w:rPr>
                <w:sz w:val="17"/>
              </w:rPr>
              <w:t>Discovery</w:t>
            </w:r>
          </w:p>
        </w:tc>
      </w:tr>
      <w:tr>
        <w:tc>
          <w:tcPr>
            <w:tcW w:type="dxa" w:w="969"/>
          </w:tcPr>
          <w:p>
            <w:pPr>
              <w:spacing w:after="20"/>
            </w:pPr>
            <w:r/>
            <w:r>
              <w:rPr>
                <w:sz w:val="17"/>
              </w:rPr>
              <w:t>F1</w:t>
            </w:r>
          </w:p>
        </w:tc>
        <w:tc>
          <w:tcPr>
            <w:tcW w:type="dxa" w:w="3213"/>
          </w:tcPr>
          <w:p>
            <w:pPr>
              <w:spacing w:after="20"/>
            </w:pPr>
            <w:r/>
            <w:r>
              <w:rPr>
                <w:sz w:val="17"/>
              </w:rPr>
              <w:t>About 1,100 admissions at A, about 800 at B, last 2 financial years, with age, sex, comorbidities, ASA grade, surgeon, admission and discharge dates</w:t>
            </w:r>
          </w:p>
        </w:tc>
        <w:tc>
          <w:tcPr>
            <w:tcW w:type="dxa" w:w="1213"/>
          </w:tcPr>
          <w:p>
            <w:pPr>
              <w:spacing w:after="20"/>
            </w:pPr>
            <w:r/>
            <w:r>
              <w:rPr>
                <w:sz w:val="17"/>
              </w:rPr>
              <w:t>Fact (from brief)</w:t>
            </w:r>
          </w:p>
        </w:tc>
        <w:tc>
          <w:tcPr>
            <w:tcW w:type="dxa" w:w="1817"/>
          </w:tcPr>
          <w:p>
            <w:pPr>
              <w:spacing w:after="20"/>
            </w:pPr>
            <w:r/>
          </w:p>
        </w:tc>
        <w:tc>
          <w:tcPr>
            <w:tcW w:type="dxa" w:w="1334"/>
          </w:tcPr>
          <w:p>
            <w:pPr>
              <w:spacing w:after="20"/>
            </w:pPr>
            <w:r/>
          </w:p>
        </w:tc>
        <w:tc>
          <w:tcPr>
            <w:tcW w:type="dxa" w:w="1092"/>
          </w:tcPr>
          <w:p>
            <w:pPr>
              <w:spacing w:after="20"/>
            </w:pPr>
            <w:r/>
          </w:p>
        </w:tc>
      </w:tr>
    </w:tbl>
    <w:p>
      <w:pPr>
        <w:spacing w:after="40"/>
      </w:pPr>
    </w:p>
    <w:p>
      <w:pPr>
        <w:pStyle w:val="Heading2"/>
      </w:pPr>
      <w:r>
        <w:rPr/>
        <w:t>5. Data Inventory &amp; Feasibility Assessment</w:t>
      </w:r>
    </w:p>
    <w:tbl>
      <w:tblPr>
        <w:tblStyle w:val="TableGrid"/>
        <w:tblW w:type="auto" w:w="0"/>
        <w:jc w:val="center"/>
        <w:tblLayout w:type="fixed"/>
        <w:tblLook w:firstColumn="1" w:firstRow="1" w:lastColumn="0" w:lastRow="0" w:noHBand="0" w:noVBand="1" w:val="04A0"/>
        <w:tblLayout w:type="fixed"/>
      </w:tblPr>
      <w:tblGrid>
        <w:gridCol w:w="1250"/>
        <w:gridCol w:w="1303"/>
        <w:gridCol w:w="883"/>
        <w:gridCol w:w="779"/>
        <w:gridCol w:w="779"/>
        <w:gridCol w:w="1086"/>
        <w:gridCol w:w="1530"/>
        <w:gridCol w:w="970"/>
        <w:gridCol w:w="1059"/>
      </w:tblGrid>
      <w:tr>
        <w:trPr>
          <w:tblHeader w:val="true"/>
        </w:trPr>
        <w:tc>
          <w:tcPr>
            <w:tcW w:type="dxa" w:w="1250"/>
            <w:shd w:val="clear" w:color="auto" w:fill="1F3A5F"/>
          </w:tcPr>
          <w:p>
            <w:r/>
            <w:r>
              <w:rPr>
                <w:b/>
                <w:color w:val="FFFFFF"/>
                <w:sz w:val="15"/>
              </w:rPr>
              <w:t>Source</w:t>
            </w:r>
          </w:p>
        </w:tc>
        <w:tc>
          <w:tcPr>
            <w:tcW w:type="dxa" w:w="1303"/>
            <w:shd w:val="clear" w:color="auto" w:fill="1F3A5F"/>
          </w:tcPr>
          <w:p>
            <w:r/>
            <w:r>
              <w:rPr>
                <w:b/>
                <w:color w:val="FFFFFF"/>
                <w:sz w:val="15"/>
              </w:rPr>
              <w:t>Business meaning</w:t>
            </w:r>
          </w:p>
        </w:tc>
        <w:tc>
          <w:tcPr>
            <w:tcW w:type="dxa" w:w="883"/>
            <w:shd w:val="clear" w:color="auto" w:fill="1F3A5F"/>
          </w:tcPr>
          <w:p>
            <w:r/>
            <w:r>
              <w:rPr>
                <w:b/>
                <w:color w:val="FFFFFF"/>
                <w:sz w:val="15"/>
              </w:rPr>
              <w:t>Owner</w:t>
            </w:r>
          </w:p>
        </w:tc>
        <w:tc>
          <w:tcPr>
            <w:tcW w:type="dxa" w:w="779"/>
            <w:shd w:val="clear" w:color="auto" w:fill="1F3A5F"/>
          </w:tcPr>
          <w:p>
            <w:r/>
            <w:r>
              <w:rPr>
                <w:b/>
                <w:color w:val="FFFFFF"/>
                <w:sz w:val="15"/>
              </w:rPr>
              <w:t>Grain/keys</w:t>
            </w:r>
          </w:p>
        </w:tc>
        <w:tc>
          <w:tcPr>
            <w:tcW w:type="dxa" w:w="779"/>
            <w:shd w:val="clear" w:color="auto" w:fill="1F3A5F"/>
          </w:tcPr>
          <w:p>
            <w:r/>
            <w:r>
              <w:rPr>
                <w:b/>
                <w:color w:val="FFFFFF"/>
                <w:sz w:val="15"/>
              </w:rPr>
              <w:t>Coverage</w:t>
            </w:r>
          </w:p>
        </w:tc>
        <w:tc>
          <w:tcPr>
            <w:tcW w:type="dxa" w:w="1086"/>
            <w:shd w:val="clear" w:color="auto" w:fill="1F3A5F"/>
          </w:tcPr>
          <w:p>
            <w:r/>
            <w:r>
              <w:rPr>
                <w:b/>
                <w:color w:val="FFFFFF"/>
                <w:sz w:val="15"/>
              </w:rPr>
              <w:t>Point-in-time?</w:t>
            </w:r>
          </w:p>
        </w:tc>
        <w:tc>
          <w:tcPr>
            <w:tcW w:type="dxa" w:w="1530"/>
            <w:shd w:val="clear" w:color="auto" w:fill="1F3A5F"/>
          </w:tcPr>
          <w:p>
            <w:r/>
            <w:r>
              <w:rPr>
                <w:b/>
                <w:color w:val="FFFFFF"/>
                <w:sz w:val="15"/>
              </w:rPr>
              <w:t>Quality risks</w:t>
            </w:r>
          </w:p>
        </w:tc>
        <w:tc>
          <w:tcPr>
            <w:tcW w:type="dxa" w:w="970"/>
            <w:shd w:val="clear" w:color="auto" w:fill="1F3A5F"/>
          </w:tcPr>
          <w:p>
            <w:r/>
            <w:r>
              <w:rPr>
                <w:b/>
                <w:color w:val="FFFFFF"/>
                <w:sz w:val="15"/>
              </w:rPr>
              <w:t>Privacy</w:t>
            </w:r>
          </w:p>
        </w:tc>
        <w:tc>
          <w:tcPr>
            <w:tcW w:type="dxa" w:w="1059"/>
            <w:shd w:val="clear" w:color="auto" w:fill="1F3A5F"/>
          </w:tcPr>
          <w:p>
            <w:r/>
            <w:r>
              <w:rPr>
                <w:b/>
                <w:color w:val="FFFFFF"/>
                <w:sz w:val="15"/>
              </w:rPr>
              <w:t>Status</w:t>
            </w:r>
          </w:p>
        </w:tc>
      </w:tr>
      <w:tr>
        <w:tc>
          <w:tcPr>
            <w:tcW w:type="dxa" w:w="1250"/>
          </w:tcPr>
          <w:p>
            <w:pPr>
              <w:spacing w:after="20"/>
            </w:pPr>
            <w:r/>
            <w:r>
              <w:rPr>
                <w:sz w:val="15"/>
              </w:rPr>
              <w:t>Admission-level knee-replacement extract</w:t>
            </w:r>
          </w:p>
        </w:tc>
        <w:tc>
          <w:tcPr>
            <w:tcW w:type="dxa" w:w="1303"/>
          </w:tcPr>
          <w:p>
            <w:pPr>
              <w:spacing w:after="20"/>
            </w:pPr>
            <w:r/>
            <w:r>
              <w:rPr>
                <w:sz w:val="15"/>
              </w:rPr>
              <w:t>Core analysis table</w:t>
            </w:r>
          </w:p>
        </w:tc>
        <w:tc>
          <w:tcPr>
            <w:tcW w:type="dxa" w:w="883"/>
          </w:tcPr>
          <w:p>
            <w:pPr>
              <w:spacing w:after="20"/>
            </w:pPr>
            <w:r/>
            <w:r>
              <w:rPr>
                <w:sz w:val="15"/>
              </w:rPr>
              <w:t>Each hospital's records/IT team (system to be confirmed)</w:t>
            </w:r>
          </w:p>
        </w:tc>
        <w:tc>
          <w:tcPr>
            <w:tcW w:type="dxa" w:w="779"/>
          </w:tcPr>
          <w:p>
            <w:pPr>
              <w:spacing w:after="20"/>
            </w:pPr>
            <w:r/>
            <w:r>
              <w:rPr>
                <w:sz w:val="15"/>
              </w:rPr>
              <w:t>One row per admission</w:t>
            </w:r>
          </w:p>
        </w:tc>
        <w:tc>
          <w:tcPr>
            <w:tcW w:type="dxa" w:w="779"/>
          </w:tcPr>
          <w:p>
            <w:pPr>
              <w:spacing w:after="20"/>
            </w:pPr>
            <w:r/>
            <w:r>
              <w:rPr>
                <w:sz w:val="15"/>
              </w:rPr>
              <w:t>2 financial years, A ~1,100 and B ~800</w:t>
            </w:r>
          </w:p>
        </w:tc>
        <w:tc>
          <w:tcPr>
            <w:tcW w:type="dxa" w:w="1086"/>
          </w:tcPr>
          <w:p>
            <w:pPr>
              <w:spacing w:after="20"/>
            </w:pPr>
            <w:r/>
            <w:r>
              <w:rPr>
                <w:sz w:val="15"/>
              </w:rPr>
              <w:t>Not relevant (retrospective)</w:t>
            </w:r>
          </w:p>
        </w:tc>
        <w:tc>
          <w:tcPr>
            <w:tcW w:type="dxa" w:w="1530"/>
          </w:tcPr>
          <w:p>
            <w:pPr>
              <w:spacing w:after="20"/>
            </w:pPr>
            <w:r/>
            <w:r>
              <w:rPr>
                <w:sz w:val="15"/>
              </w:rPr>
              <w:t>Possible differences in systems and coding between sites, possibly date-only timestamps, possible missing comorbidity fields [all To investigate]</w:t>
            </w:r>
          </w:p>
        </w:tc>
        <w:tc>
          <w:tcPr>
            <w:tcW w:type="dxa" w:w="970"/>
          </w:tcPr>
          <w:p>
            <w:pPr>
              <w:spacing w:after="20"/>
            </w:pPr>
            <w:r/>
            <w:r>
              <w:rPr>
                <w:sz w:val="15"/>
              </w:rPr>
              <w:t>Patient-level health data; confirm DPDP Act 2023 obligations and institutional rules with compliance</w:t>
            </w:r>
          </w:p>
        </w:tc>
        <w:tc>
          <w:tcPr>
            <w:tcW w:type="dxa" w:w="1059"/>
          </w:tcPr>
          <w:p>
            <w:pPr>
              <w:spacing w:after="20"/>
            </w:pPr>
            <w:r/>
            <w:r>
              <w:rPr>
                <w:b/>
                <w:color w:val="1E7B34"/>
                <w:sz w:val="15"/>
              </w:rPr>
              <w:t>[Confirmed]</w:t>
            </w:r>
            <w:r>
              <w:rPr>
                <w:sz w:val="15"/>
              </w:rPr>
              <w:t xml:space="preserve"> it exists per brief; field detail </w:t>
            </w:r>
            <w:r>
              <w:rPr>
                <w:b/>
                <w:color w:val="C0392B"/>
                <w:sz w:val="15"/>
              </w:rPr>
              <w:t>[To investigate]</w:t>
            </w:r>
          </w:p>
        </w:tc>
      </w:tr>
      <w:tr>
        <w:tc>
          <w:tcPr>
            <w:tcW w:type="dxa" w:w="1250"/>
            <w:shd w:val="clear" w:color="auto" w:fill="F2F5F9"/>
          </w:tcPr>
          <w:p>
            <w:pPr>
              <w:spacing w:after="20"/>
            </w:pPr>
            <w:r/>
            <w:r>
              <w:rPr>
                <w:sz w:val="15"/>
              </w:rPr>
              <w:t>Procedure and diagnosis codes (to define cohort)</w:t>
            </w:r>
          </w:p>
        </w:tc>
        <w:tc>
          <w:tcPr>
            <w:tcW w:type="dxa" w:w="1303"/>
            <w:shd w:val="clear" w:color="auto" w:fill="F2F5F9"/>
          </w:tcPr>
          <w:p>
            <w:pPr>
              <w:spacing w:after="20"/>
            </w:pPr>
            <w:r/>
            <w:r>
              <w:rPr>
                <w:sz w:val="15"/>
              </w:rPr>
              <w:t>Identify elective primary TKR vs revision/bilateral</w:t>
            </w:r>
          </w:p>
        </w:tc>
        <w:tc>
          <w:tcPr>
            <w:tcW w:type="dxa" w:w="883"/>
            <w:shd w:val="clear" w:color="auto" w:fill="F2F5F9"/>
          </w:tcPr>
          <w:p>
            <w:pPr>
              <w:spacing w:after="20"/>
            </w:pPr>
            <w:r/>
            <w:r>
              <w:rPr>
                <w:sz w:val="15"/>
              </w:rPr>
              <w:t>Medical records / IT</w:t>
            </w:r>
          </w:p>
        </w:tc>
        <w:tc>
          <w:tcPr>
            <w:tcW w:type="dxa" w:w="779"/>
            <w:shd w:val="clear" w:color="auto" w:fill="F2F5F9"/>
          </w:tcPr>
          <w:p>
            <w:pPr>
              <w:spacing w:after="20"/>
            </w:pPr>
            <w:r/>
            <w:r>
              <w:rPr>
                <w:sz w:val="15"/>
              </w:rPr>
              <w:t>Admission</w:t>
            </w:r>
          </w:p>
        </w:tc>
        <w:tc>
          <w:tcPr>
            <w:tcW w:type="dxa" w:w="779"/>
            <w:shd w:val="clear" w:color="auto" w:fill="F2F5F9"/>
          </w:tcPr>
          <w:p>
            <w:pPr>
              <w:spacing w:after="20"/>
            </w:pPr>
            <w:r/>
            <w:r>
              <w:rPr>
                <w:sz w:val="15"/>
              </w:rPr>
              <w:t>Same</w:t>
            </w:r>
          </w:p>
        </w:tc>
        <w:tc>
          <w:tcPr>
            <w:tcW w:type="dxa" w:w="1086"/>
            <w:shd w:val="clear" w:color="auto" w:fill="F2F5F9"/>
          </w:tcPr>
          <w:p>
            <w:pPr>
              <w:spacing w:after="20"/>
            </w:pPr>
            <w:r/>
            <w:r>
              <w:rPr>
                <w:sz w:val="15"/>
              </w:rPr>
              <w:t>n/a</w:t>
            </w:r>
          </w:p>
        </w:tc>
        <w:tc>
          <w:tcPr>
            <w:tcW w:type="dxa" w:w="1530"/>
            <w:shd w:val="clear" w:color="auto" w:fill="F2F5F9"/>
          </w:tcPr>
          <w:p>
            <w:pPr>
              <w:spacing w:after="20"/>
            </w:pPr>
            <w:r/>
            <w:r>
              <w:rPr>
                <w:sz w:val="15"/>
              </w:rPr>
              <w:t>Local coding differences</w:t>
            </w:r>
          </w:p>
        </w:tc>
        <w:tc>
          <w:tcPr>
            <w:tcW w:type="dxa" w:w="970"/>
            <w:shd w:val="clear" w:color="auto" w:fill="F2F5F9"/>
          </w:tcPr>
          <w:p>
            <w:pPr>
              <w:spacing w:after="20"/>
            </w:pPr>
            <w:r/>
            <w:r>
              <w:rPr>
                <w:sz w:val="15"/>
              </w:rPr>
              <w:t>As above</w:t>
            </w:r>
          </w:p>
        </w:tc>
        <w:tc>
          <w:tcPr>
            <w:tcW w:type="dxa" w:w="1059"/>
            <w:shd w:val="clear" w:color="auto" w:fill="F2F5F9"/>
          </w:tcPr>
          <w:p>
            <w:pPr>
              <w:spacing w:after="20"/>
            </w:pPr>
            <w:r/>
            <w:r>
              <w:rPr>
                <w:b/>
                <w:color w:val="C0392B"/>
                <w:sz w:val="15"/>
              </w:rPr>
              <w:t>[To investigate]</w:t>
            </w:r>
          </w:p>
        </w:tc>
      </w:tr>
      <w:tr>
        <w:tc>
          <w:tcPr>
            <w:tcW w:type="dxa" w:w="1250"/>
          </w:tcPr>
          <w:p>
            <w:pPr>
              <w:spacing w:after="20"/>
            </w:pPr>
            <w:r/>
            <w:r>
              <w:rPr>
                <w:sz w:val="15"/>
              </w:rPr>
              <w:t>Surgeon identifier</w:t>
            </w:r>
          </w:p>
        </w:tc>
        <w:tc>
          <w:tcPr>
            <w:tcW w:type="dxa" w:w="1303"/>
          </w:tcPr>
          <w:p>
            <w:pPr>
              <w:spacing w:after="20"/>
            </w:pPr>
            <w:r/>
            <w:r>
              <w:rPr>
                <w:sz w:val="15"/>
              </w:rPr>
              <w:t>Cluster variable</w:t>
            </w:r>
          </w:p>
        </w:tc>
        <w:tc>
          <w:tcPr>
            <w:tcW w:type="dxa" w:w="883"/>
          </w:tcPr>
          <w:p>
            <w:pPr>
              <w:spacing w:after="20"/>
            </w:pPr>
            <w:r/>
            <w:r>
              <w:rPr>
                <w:sz w:val="15"/>
              </w:rPr>
              <w:t>Hospital records</w:t>
            </w:r>
          </w:p>
        </w:tc>
        <w:tc>
          <w:tcPr>
            <w:tcW w:type="dxa" w:w="779"/>
          </w:tcPr>
          <w:p>
            <w:pPr>
              <w:spacing w:after="20"/>
            </w:pPr>
            <w:r/>
            <w:r>
              <w:rPr>
                <w:sz w:val="15"/>
              </w:rPr>
              <w:t>Admission</w:t>
            </w:r>
          </w:p>
        </w:tc>
        <w:tc>
          <w:tcPr>
            <w:tcW w:type="dxa" w:w="779"/>
          </w:tcPr>
          <w:p>
            <w:pPr>
              <w:spacing w:after="20"/>
            </w:pPr>
            <w:r/>
            <w:r>
              <w:rPr>
                <w:sz w:val="15"/>
              </w:rPr>
              <w:t>Same</w:t>
            </w:r>
          </w:p>
        </w:tc>
        <w:tc>
          <w:tcPr>
            <w:tcW w:type="dxa" w:w="1086"/>
          </w:tcPr>
          <w:p>
            <w:pPr>
              <w:spacing w:after="20"/>
            </w:pPr>
            <w:r/>
            <w:r>
              <w:rPr>
                <w:sz w:val="15"/>
              </w:rPr>
              <w:t>n/a</w:t>
            </w:r>
          </w:p>
        </w:tc>
        <w:tc>
          <w:tcPr>
            <w:tcW w:type="dxa" w:w="1530"/>
          </w:tcPr>
          <w:p>
            <w:pPr>
              <w:spacing w:after="20"/>
            </w:pPr>
            <w:r/>
            <w:r>
              <w:rPr>
                <w:sz w:val="15"/>
              </w:rPr>
              <w:t>Same surgeon may be spelled differently; consultants vs assistants</w:t>
            </w:r>
          </w:p>
        </w:tc>
        <w:tc>
          <w:tcPr>
            <w:tcW w:type="dxa" w:w="970"/>
          </w:tcPr>
          <w:p>
            <w:pPr>
              <w:spacing w:after="20"/>
            </w:pPr>
            <w:r/>
            <w:r>
              <w:rPr>
                <w:sz w:val="15"/>
              </w:rPr>
              <w:t>Pseudonymise</w:t>
            </w:r>
          </w:p>
        </w:tc>
        <w:tc>
          <w:tcPr>
            <w:tcW w:type="dxa" w:w="1059"/>
          </w:tcPr>
          <w:p>
            <w:pPr>
              <w:spacing w:after="20"/>
            </w:pPr>
            <w:r/>
            <w:r>
              <w:rPr>
                <w:b/>
                <w:color w:val="1E7B34"/>
                <w:sz w:val="15"/>
              </w:rPr>
              <w:t>[Confirmed]</w:t>
            </w:r>
            <w:r>
              <w:rPr>
                <w:sz w:val="15"/>
              </w:rPr>
              <w:t xml:space="preserve"> per brief</w:t>
            </w:r>
          </w:p>
        </w:tc>
      </w:tr>
      <w:tr>
        <w:tc>
          <w:tcPr>
            <w:tcW w:type="dxa" w:w="1250"/>
            <w:shd w:val="clear" w:color="auto" w:fill="F2F5F9"/>
          </w:tcPr>
          <w:p>
            <w:pPr>
              <w:spacing w:after="20"/>
            </w:pPr>
            <w:r/>
            <w:r>
              <w:rPr>
                <w:sz w:val="15"/>
              </w:rPr>
              <w:t>Payer/insurance type, discharge destination, theatre date, rehab/physio timestamps</w:t>
            </w:r>
          </w:p>
        </w:tc>
        <w:tc>
          <w:tcPr>
            <w:tcW w:type="dxa" w:w="1303"/>
            <w:shd w:val="clear" w:color="auto" w:fill="F2F5F9"/>
          </w:tcPr>
          <w:p>
            <w:pPr>
              <w:spacing w:after="20"/>
            </w:pPr>
            <w:r/>
            <w:r>
              <w:rPr>
                <w:sz w:val="15"/>
              </w:rPr>
              <w:t>Additional drivers of stay</w:t>
            </w:r>
          </w:p>
        </w:tc>
        <w:tc>
          <w:tcPr>
            <w:tcW w:type="dxa" w:w="883"/>
            <w:shd w:val="clear" w:color="auto" w:fill="F2F5F9"/>
          </w:tcPr>
          <w:p>
            <w:pPr>
              <w:spacing w:after="20"/>
            </w:pPr>
            <w:r/>
            <w:r>
              <w:rPr>
                <w:sz w:val="15"/>
              </w:rPr>
              <w:t>Billing, ward systems</w:t>
            </w:r>
          </w:p>
        </w:tc>
        <w:tc>
          <w:tcPr>
            <w:tcW w:type="dxa" w:w="779"/>
            <w:shd w:val="clear" w:color="auto" w:fill="F2F5F9"/>
          </w:tcPr>
          <w:p>
            <w:pPr>
              <w:spacing w:after="20"/>
            </w:pPr>
            <w:r/>
            <w:r>
              <w:rPr>
                <w:sz w:val="15"/>
              </w:rPr>
              <w:t>Admission</w:t>
            </w:r>
          </w:p>
        </w:tc>
        <w:tc>
          <w:tcPr>
            <w:tcW w:type="dxa" w:w="779"/>
            <w:shd w:val="clear" w:color="auto" w:fill="F2F5F9"/>
          </w:tcPr>
          <w:p>
            <w:pPr>
              <w:spacing w:after="20"/>
            </w:pPr>
            <w:r/>
            <w:r>
              <w:rPr>
                <w:sz w:val="15"/>
              </w:rPr>
              <w:t>Unknown</w:t>
            </w:r>
          </w:p>
        </w:tc>
        <w:tc>
          <w:tcPr>
            <w:tcW w:type="dxa" w:w="1086"/>
            <w:shd w:val="clear" w:color="auto" w:fill="F2F5F9"/>
          </w:tcPr>
          <w:p>
            <w:pPr>
              <w:spacing w:after="20"/>
            </w:pPr>
            <w:r/>
            <w:r>
              <w:rPr>
                <w:sz w:val="15"/>
              </w:rPr>
              <w:t>n/a</w:t>
            </w:r>
          </w:p>
        </w:tc>
        <w:tc>
          <w:tcPr>
            <w:tcW w:type="dxa" w:w="1530"/>
            <w:shd w:val="clear" w:color="auto" w:fill="F2F5F9"/>
          </w:tcPr>
          <w:p>
            <w:pPr>
              <w:spacing w:after="20"/>
            </w:pPr>
            <w:r/>
            <w:r>
              <w:rPr>
                <w:sz w:val="15"/>
              </w:rPr>
              <w:t>May not exist</w:t>
            </w:r>
          </w:p>
        </w:tc>
        <w:tc>
          <w:tcPr>
            <w:tcW w:type="dxa" w:w="970"/>
            <w:shd w:val="clear" w:color="auto" w:fill="F2F5F9"/>
          </w:tcPr>
          <w:p>
            <w:pPr>
              <w:spacing w:after="20"/>
            </w:pPr>
            <w:r/>
            <w:r>
              <w:rPr>
                <w:sz w:val="15"/>
              </w:rPr>
              <w:t>As above</w:t>
            </w:r>
          </w:p>
        </w:tc>
        <w:tc>
          <w:tcPr>
            <w:tcW w:type="dxa" w:w="1059"/>
            <w:shd w:val="clear" w:color="auto" w:fill="F2F5F9"/>
          </w:tcPr>
          <w:p>
            <w:pPr>
              <w:spacing w:after="20"/>
            </w:pPr>
            <w:r/>
            <w:r>
              <w:rPr>
                <w:b/>
                <w:color w:val="C0392B"/>
                <w:sz w:val="15"/>
              </w:rPr>
              <w:t>[To investigate]</w:t>
            </w:r>
            <w:r>
              <w:rPr>
                <w:sz w:val="15"/>
              </w:rPr>
              <w:t>; would materially strengthen the analysis</w:t>
            </w:r>
          </w:p>
        </w:tc>
      </w:tr>
    </w:tbl>
    <w:p>
      <w:pPr>
        <w:spacing w:after="40"/>
      </w:pPr>
    </w:p>
    <w:p>
      <w:r>
        <w:rPr>
          <w:b/>
        </w:rPr>
        <w:t>Feasibility verdict:</w:t>
      </w:r>
      <w:r>
        <w:rPr/>
        <w:t xml:space="preserve"> feasible for the core question given the stated fields, provided Q1 and Q2 are resolved. The key limitation is that the stated variables may not capture all drivers of stay (social support, distance from home, insurance pre-authorisation delays, physiotherapy availability). </w:t>
      </w:r>
      <w:r>
        <w:rPr>
          <w:b/>
        </w:rPr>
        <w:t>Blocking dependencies:</w:t>
      </w:r>
      <w:r>
        <w:rPr/>
        <w:t xml:space="preserve"> data access approval (Q4), definition alignment (Q1, Q2).</w:t>
      </w:r>
    </w:p>
    <w:p>
      <w:pPr>
        <w:pStyle w:val="Heading2"/>
      </w:pPr>
      <w:r>
        <w:rPr/>
        <w:t>6. Data Quality &amp; Preprocessing Plan</w:t>
      </w:r>
    </w:p>
    <w:tbl>
      <w:tblPr>
        <w:tblStyle w:val="TableGrid"/>
        <w:tblW w:type="auto" w:w="0"/>
        <w:jc w:val="center"/>
        <w:tblLayout w:type="fixed"/>
        <w:tblLook w:firstColumn="1" w:firstRow="1" w:lastColumn="0" w:lastRow="0" w:noHBand="0" w:noVBand="1" w:val="04A0"/>
        <w:tblLayout w:type="fixed"/>
      </w:tblPr>
      <w:tblGrid>
        <w:gridCol w:w="1434"/>
        <w:gridCol w:w="1409"/>
        <w:gridCol w:w="2810"/>
        <w:gridCol w:w="1761"/>
        <w:gridCol w:w="2225"/>
      </w:tblGrid>
      <w:tr>
        <w:trPr>
          <w:tblHeader w:val="true"/>
        </w:trPr>
        <w:tc>
          <w:tcPr>
            <w:tcW w:type="dxa" w:w="1434"/>
            <w:shd w:val="clear" w:color="auto" w:fill="1F3A5F"/>
          </w:tcPr>
          <w:p>
            <w:r/>
            <w:r>
              <w:rPr>
                <w:b/>
                <w:color w:val="FFFFFF"/>
                <w:sz w:val="17"/>
              </w:rPr>
              <w:t>Step</w:t>
            </w:r>
          </w:p>
        </w:tc>
        <w:tc>
          <w:tcPr>
            <w:tcW w:type="dxa" w:w="1409"/>
            <w:shd w:val="clear" w:color="auto" w:fill="1F3A5F"/>
          </w:tcPr>
          <w:p>
            <w:r/>
            <w:r>
              <w:rPr>
                <w:b/>
                <w:color w:val="FFFFFF"/>
                <w:sz w:val="17"/>
              </w:rPr>
              <w:t>Rationale</w:t>
            </w:r>
          </w:p>
        </w:tc>
        <w:tc>
          <w:tcPr>
            <w:tcW w:type="dxa" w:w="2810"/>
            <w:shd w:val="clear" w:color="auto" w:fill="1F3A5F"/>
          </w:tcPr>
          <w:p>
            <w:r/>
            <w:r>
              <w:rPr>
                <w:b/>
                <w:color w:val="FFFFFF"/>
                <w:sz w:val="17"/>
              </w:rPr>
              <w:t>Method</w:t>
            </w:r>
          </w:p>
        </w:tc>
        <w:tc>
          <w:tcPr>
            <w:tcW w:type="dxa" w:w="1761"/>
            <w:shd w:val="clear" w:color="auto" w:fill="1F3A5F"/>
          </w:tcPr>
          <w:p>
            <w:r/>
            <w:r>
              <w:rPr>
                <w:b/>
                <w:color w:val="FFFFFF"/>
                <w:sz w:val="17"/>
              </w:rPr>
              <w:t>Risks</w:t>
            </w:r>
          </w:p>
        </w:tc>
        <w:tc>
          <w:tcPr>
            <w:tcW w:type="dxa" w:w="2225"/>
            <w:shd w:val="clear" w:color="auto" w:fill="1F3A5F"/>
          </w:tcPr>
          <w:p>
            <w:r/>
            <w:r>
              <w:rPr>
                <w:b/>
                <w:color w:val="FFFFFF"/>
                <w:sz w:val="17"/>
              </w:rPr>
              <w:t>Validation check</w:t>
            </w:r>
          </w:p>
        </w:tc>
      </w:tr>
      <w:tr>
        <w:tc>
          <w:tcPr>
            <w:tcW w:type="dxa" w:w="1434"/>
          </w:tcPr>
          <w:p>
            <w:pPr>
              <w:spacing w:after="20"/>
            </w:pPr>
            <w:r/>
            <w:r>
              <w:rPr>
                <w:sz w:val="17"/>
              </w:rPr>
              <w:t>Pseudonymise and keep data in the client environment</w:t>
            </w:r>
          </w:p>
        </w:tc>
        <w:tc>
          <w:tcPr>
            <w:tcW w:type="dxa" w:w="1409"/>
          </w:tcPr>
          <w:p>
            <w:pPr>
              <w:spacing w:after="20"/>
            </w:pPr>
            <w:r/>
            <w:r>
              <w:rPr>
                <w:sz w:val="17"/>
              </w:rPr>
              <w:t>Privacy</w:t>
            </w:r>
          </w:p>
        </w:tc>
        <w:tc>
          <w:tcPr>
            <w:tcW w:type="dxa" w:w="2810"/>
          </w:tcPr>
          <w:p>
            <w:pPr>
              <w:spacing w:after="20"/>
            </w:pPr>
            <w:r/>
            <w:r>
              <w:rPr>
                <w:sz w:val="17"/>
              </w:rPr>
              <w:t>Hash IDs; analysis runs on client infrastructure</w:t>
            </w:r>
          </w:p>
        </w:tc>
        <w:tc>
          <w:tcPr>
            <w:tcW w:type="dxa" w:w="1761"/>
          </w:tcPr>
          <w:p>
            <w:pPr>
              <w:spacing w:after="20"/>
            </w:pPr>
            <w:r/>
            <w:r>
              <w:rPr>
                <w:sz w:val="17"/>
              </w:rPr>
              <w:t>None</w:t>
            </w:r>
          </w:p>
        </w:tc>
        <w:tc>
          <w:tcPr>
            <w:tcW w:type="dxa" w:w="2225"/>
          </w:tcPr>
          <w:p>
            <w:pPr>
              <w:spacing w:after="20"/>
            </w:pPr>
            <w:r/>
            <w:r>
              <w:rPr>
                <w:sz w:val="17"/>
              </w:rPr>
              <w:t>Access log</w:t>
            </w:r>
          </w:p>
        </w:tc>
      </w:tr>
      <w:tr>
        <w:tc>
          <w:tcPr>
            <w:tcW w:type="dxa" w:w="1434"/>
            <w:shd w:val="clear" w:color="auto" w:fill="F2F5F9"/>
          </w:tcPr>
          <w:p>
            <w:pPr>
              <w:spacing w:after="20"/>
            </w:pPr>
            <w:r/>
            <w:r>
              <w:rPr>
                <w:sz w:val="17"/>
              </w:rPr>
              <w:t>Reconcile definitions across sites</w:t>
            </w:r>
          </w:p>
        </w:tc>
        <w:tc>
          <w:tcPr>
            <w:tcW w:type="dxa" w:w="1409"/>
            <w:shd w:val="clear" w:color="auto" w:fill="F2F5F9"/>
          </w:tcPr>
          <w:p>
            <w:pPr>
              <w:spacing w:after="20"/>
            </w:pPr>
            <w:r/>
            <w:r>
              <w:rPr>
                <w:sz w:val="17"/>
              </w:rPr>
              <w:t>Different systems</w:t>
            </w:r>
          </w:p>
        </w:tc>
        <w:tc>
          <w:tcPr>
            <w:tcW w:type="dxa" w:w="2810"/>
            <w:shd w:val="clear" w:color="auto" w:fill="F2F5F9"/>
          </w:tcPr>
          <w:p>
            <w:pPr>
              <w:spacing w:after="20"/>
            </w:pPr>
            <w:r/>
            <w:r>
              <w:rPr>
                <w:sz w:val="17"/>
              </w:rPr>
              <w:t>Data dictionary comparison; side-by-side field profiles</w:t>
            </w:r>
          </w:p>
        </w:tc>
        <w:tc>
          <w:tcPr>
            <w:tcW w:type="dxa" w:w="1761"/>
            <w:shd w:val="clear" w:color="auto" w:fill="F2F5F9"/>
          </w:tcPr>
          <w:p>
            <w:pPr>
              <w:spacing w:after="20"/>
            </w:pPr>
            <w:r/>
            <w:r>
              <w:rPr>
                <w:sz w:val="17"/>
              </w:rPr>
              <w:t>Silent definitional differences</w:t>
            </w:r>
          </w:p>
        </w:tc>
        <w:tc>
          <w:tcPr>
            <w:tcW w:type="dxa" w:w="2225"/>
            <w:shd w:val="clear" w:color="auto" w:fill="F2F5F9"/>
          </w:tcPr>
          <w:p>
            <w:pPr>
              <w:spacing w:after="20"/>
            </w:pPr>
            <w:r/>
            <w:r>
              <w:rPr>
                <w:sz w:val="17"/>
              </w:rPr>
              <w:t>Compare timestamp precision and discharge-event meaning at each site</w:t>
            </w:r>
          </w:p>
        </w:tc>
      </w:tr>
      <w:tr>
        <w:tc>
          <w:tcPr>
            <w:tcW w:type="dxa" w:w="1434"/>
          </w:tcPr>
          <w:p>
            <w:pPr>
              <w:spacing w:after="20"/>
            </w:pPr>
            <w:r/>
            <w:r>
              <w:rPr>
                <w:sz w:val="17"/>
              </w:rPr>
              <w:t>Apply cohort definition</w:t>
            </w:r>
          </w:p>
        </w:tc>
        <w:tc>
          <w:tcPr>
            <w:tcW w:type="dxa" w:w="1409"/>
          </w:tcPr>
          <w:p>
            <w:pPr>
              <w:spacing w:after="20"/>
            </w:pPr>
            <w:r/>
            <w:r>
              <w:rPr>
                <w:sz w:val="17"/>
              </w:rPr>
              <w:t>Comparable populations</w:t>
            </w:r>
          </w:p>
        </w:tc>
        <w:tc>
          <w:tcPr>
            <w:tcW w:type="dxa" w:w="2810"/>
          </w:tcPr>
          <w:p>
            <w:pPr>
              <w:spacing w:after="20"/>
            </w:pPr>
            <w:r/>
            <w:r>
              <w:rPr>
                <w:sz w:val="17"/>
              </w:rPr>
              <w:t>Rule-based filter on codes; log exclusions by site</w:t>
            </w:r>
          </w:p>
        </w:tc>
        <w:tc>
          <w:tcPr>
            <w:tcW w:type="dxa" w:w="1761"/>
          </w:tcPr>
          <w:p>
            <w:pPr>
              <w:spacing w:after="20"/>
            </w:pPr>
            <w:r/>
            <w:r>
              <w:rPr>
                <w:sz w:val="17"/>
              </w:rPr>
              <w:t>Exclusion rules applied unequally</w:t>
            </w:r>
          </w:p>
        </w:tc>
        <w:tc>
          <w:tcPr>
            <w:tcW w:type="dxa" w:w="2225"/>
          </w:tcPr>
          <w:p>
            <w:pPr>
              <w:spacing w:after="20"/>
            </w:pPr>
            <w:r/>
            <w:r>
              <w:rPr>
                <w:sz w:val="17"/>
              </w:rPr>
              <w:t>Exclusion counts by site and reason reported</w:t>
            </w:r>
          </w:p>
        </w:tc>
      </w:tr>
      <w:tr>
        <w:tc>
          <w:tcPr>
            <w:tcW w:type="dxa" w:w="1434"/>
            <w:shd w:val="clear" w:color="auto" w:fill="F2F5F9"/>
          </w:tcPr>
          <w:p>
            <w:pPr>
              <w:spacing w:after="20"/>
            </w:pPr>
            <w:r/>
            <w:r>
              <w:rPr>
                <w:sz w:val="17"/>
              </w:rPr>
              <w:t>Compute LOS</w:t>
            </w:r>
          </w:p>
        </w:tc>
        <w:tc>
          <w:tcPr>
            <w:tcW w:type="dxa" w:w="1409"/>
            <w:shd w:val="clear" w:color="auto" w:fill="F2F5F9"/>
          </w:tcPr>
          <w:p>
            <w:pPr>
              <w:spacing w:after="20"/>
            </w:pPr>
            <w:r/>
            <w:r>
              <w:rPr>
                <w:sz w:val="17"/>
              </w:rPr>
              <w:t>Outcome</w:t>
            </w:r>
          </w:p>
        </w:tc>
        <w:tc>
          <w:tcPr>
            <w:tcW w:type="dxa" w:w="2810"/>
            <w:shd w:val="clear" w:color="auto" w:fill="F2F5F9"/>
          </w:tcPr>
          <w:p>
            <w:pPr>
              <w:spacing w:after="20"/>
            </w:pPr>
            <w:r/>
            <w:r>
              <w:rPr>
                <w:sz w:val="17"/>
              </w:rPr>
              <w:t>Discharge date minus admission date; check for negatives, zeros, and extreme values</w:t>
            </w:r>
          </w:p>
        </w:tc>
        <w:tc>
          <w:tcPr>
            <w:tcW w:type="dxa" w:w="1761"/>
            <w:shd w:val="clear" w:color="auto" w:fill="F2F5F9"/>
          </w:tcPr>
          <w:p>
            <w:pPr>
              <w:spacing w:after="20"/>
            </w:pPr>
            <w:r/>
            <w:r>
              <w:rPr>
                <w:sz w:val="17"/>
              </w:rPr>
              <w:t>Same-day or date-only rounding</w:t>
            </w:r>
          </w:p>
        </w:tc>
        <w:tc>
          <w:tcPr>
            <w:tcW w:type="dxa" w:w="2225"/>
            <w:shd w:val="clear" w:color="auto" w:fill="F2F5F9"/>
          </w:tcPr>
          <w:p>
            <w:pPr>
              <w:spacing w:after="20"/>
            </w:pPr>
            <w:r/>
            <w:r>
              <w:rPr>
                <w:sz w:val="17"/>
              </w:rPr>
              <w:t>Distribution plots by site; manual review of extremes against source records</w:t>
            </w:r>
          </w:p>
        </w:tc>
      </w:tr>
      <w:tr>
        <w:tc>
          <w:tcPr>
            <w:tcW w:type="dxa" w:w="1434"/>
          </w:tcPr>
          <w:p>
            <w:pPr>
              <w:spacing w:after="20"/>
            </w:pPr>
            <w:r/>
            <w:r>
              <w:rPr>
                <w:sz w:val="17"/>
              </w:rPr>
              <w:t>Duplicates and readmissions</w:t>
            </w:r>
          </w:p>
        </w:tc>
        <w:tc>
          <w:tcPr>
            <w:tcW w:type="dxa" w:w="1409"/>
          </w:tcPr>
          <w:p>
            <w:pPr>
              <w:spacing w:after="20"/>
            </w:pPr>
            <w:r/>
            <w:r>
              <w:rPr>
                <w:sz w:val="17"/>
              </w:rPr>
              <w:t>Independence</w:t>
            </w:r>
          </w:p>
        </w:tc>
        <w:tc>
          <w:tcPr>
            <w:tcW w:type="dxa" w:w="2810"/>
          </w:tcPr>
          <w:p>
            <w:pPr>
              <w:spacing w:after="20"/>
            </w:pPr>
            <w:r/>
            <w:r>
              <w:rPr>
                <w:sz w:val="17"/>
              </w:rPr>
              <w:t>Check repeat patients and bilateral staged procedures</w:t>
            </w:r>
          </w:p>
        </w:tc>
        <w:tc>
          <w:tcPr>
            <w:tcW w:type="dxa" w:w="1761"/>
          </w:tcPr>
          <w:p>
            <w:pPr>
              <w:spacing w:after="20"/>
            </w:pPr>
            <w:r/>
            <w:r>
              <w:rPr>
                <w:sz w:val="17"/>
              </w:rPr>
              <w:t>Non-independent rows</w:t>
            </w:r>
          </w:p>
        </w:tc>
        <w:tc>
          <w:tcPr>
            <w:tcW w:type="dxa" w:w="2225"/>
          </w:tcPr>
          <w:p>
            <w:pPr>
              <w:spacing w:after="20"/>
            </w:pPr>
            <w:r/>
            <w:r>
              <w:rPr>
                <w:sz w:val="17"/>
              </w:rPr>
              <w:t>Count of patients with multiple rows</w:t>
            </w:r>
          </w:p>
        </w:tc>
      </w:tr>
      <w:tr>
        <w:tc>
          <w:tcPr>
            <w:tcW w:type="dxa" w:w="1434"/>
            <w:shd w:val="clear" w:color="auto" w:fill="F2F5F9"/>
          </w:tcPr>
          <w:p>
            <w:pPr>
              <w:spacing w:after="20"/>
            </w:pPr>
            <w:r/>
            <w:r>
              <w:rPr>
                <w:sz w:val="17"/>
              </w:rPr>
              <w:t>Missing data</w:t>
            </w:r>
          </w:p>
        </w:tc>
        <w:tc>
          <w:tcPr>
            <w:tcW w:type="dxa" w:w="1409"/>
            <w:shd w:val="clear" w:color="auto" w:fill="F2F5F9"/>
          </w:tcPr>
          <w:p>
            <w:pPr>
              <w:spacing w:after="20"/>
            </w:pPr>
            <w:r/>
            <w:r>
              <w:rPr>
                <w:sz w:val="17"/>
              </w:rPr>
              <w:t>Adjustment variables</w:t>
            </w:r>
          </w:p>
        </w:tc>
        <w:tc>
          <w:tcPr>
            <w:tcW w:type="dxa" w:w="2810"/>
            <w:shd w:val="clear" w:color="auto" w:fill="F2F5F9"/>
          </w:tcPr>
          <w:p>
            <w:pPr>
              <w:spacing w:after="20"/>
            </w:pPr>
            <w:r/>
            <w:r>
              <w:rPr>
                <w:sz w:val="17"/>
              </w:rPr>
              <w:t>Report missingness by site; if modest, multiple imputation with site as a predictor; complete-case as sensitivity</w:t>
            </w:r>
          </w:p>
        </w:tc>
        <w:tc>
          <w:tcPr>
            <w:tcW w:type="dxa" w:w="1761"/>
            <w:shd w:val="clear" w:color="auto" w:fill="F2F5F9"/>
          </w:tcPr>
          <w:p>
            <w:pPr>
              <w:spacing w:after="20"/>
            </w:pPr>
            <w:r/>
            <w:r>
              <w:rPr>
                <w:sz w:val="17"/>
              </w:rPr>
              <w:t>Missingness differs by site</w:t>
            </w:r>
          </w:p>
        </w:tc>
        <w:tc>
          <w:tcPr>
            <w:tcW w:type="dxa" w:w="2225"/>
            <w:shd w:val="clear" w:color="auto" w:fill="F2F5F9"/>
          </w:tcPr>
          <w:p>
            <w:pPr>
              <w:spacing w:after="20"/>
            </w:pPr>
            <w:r/>
            <w:r>
              <w:rPr>
                <w:sz w:val="17"/>
              </w:rPr>
              <w:t>Compare imputed vs complete-case estimates</w:t>
            </w:r>
          </w:p>
        </w:tc>
      </w:tr>
      <w:tr>
        <w:tc>
          <w:tcPr>
            <w:tcW w:type="dxa" w:w="1434"/>
          </w:tcPr>
          <w:p>
            <w:pPr>
              <w:spacing w:after="20"/>
            </w:pPr>
            <w:r/>
            <w:r>
              <w:rPr>
                <w:sz w:val="17"/>
              </w:rPr>
              <w:t>Comorbidity summary</w:t>
            </w:r>
          </w:p>
        </w:tc>
        <w:tc>
          <w:tcPr>
            <w:tcW w:type="dxa" w:w="1409"/>
          </w:tcPr>
          <w:p>
            <w:pPr>
              <w:spacing w:after="20"/>
            </w:pPr>
            <w:r/>
            <w:r>
              <w:rPr>
                <w:sz w:val="17"/>
              </w:rPr>
              <w:t>Case-mix</w:t>
            </w:r>
          </w:p>
        </w:tc>
        <w:tc>
          <w:tcPr>
            <w:tcW w:type="dxa" w:w="2810"/>
          </w:tcPr>
          <w:p>
            <w:pPr>
              <w:spacing w:after="20"/>
            </w:pPr>
            <w:r/>
            <w:r>
              <w:rPr>
                <w:sz w:val="17"/>
              </w:rPr>
              <w:t>Use a standard index if codes allow (for example Charlson or Elixhauser), otherwise individual flags</w:t>
            </w:r>
          </w:p>
        </w:tc>
        <w:tc>
          <w:tcPr>
            <w:tcW w:type="dxa" w:w="1761"/>
          </w:tcPr>
          <w:p>
            <w:pPr>
              <w:spacing w:after="20"/>
            </w:pPr>
            <w:r/>
            <w:r>
              <w:rPr>
                <w:sz w:val="17"/>
              </w:rPr>
              <w:t>Coding intensity differs by site, so sicker-looking patients may simply be better documented</w:t>
            </w:r>
          </w:p>
        </w:tc>
        <w:tc>
          <w:tcPr>
            <w:tcW w:type="dxa" w:w="2225"/>
          </w:tcPr>
          <w:p>
            <w:pPr>
              <w:spacing w:after="20"/>
            </w:pPr>
            <w:r/>
            <w:r>
              <w:rPr>
                <w:sz w:val="17"/>
              </w:rPr>
              <w:t>Compare comorbidity counts per patient by site and by surgeon</w:t>
            </w:r>
          </w:p>
        </w:tc>
      </w:tr>
      <w:tr>
        <w:tc>
          <w:tcPr>
            <w:tcW w:type="dxa" w:w="1434"/>
            <w:shd w:val="clear" w:color="auto" w:fill="F2F5F9"/>
          </w:tcPr>
          <w:p>
            <w:pPr>
              <w:spacing w:after="20"/>
            </w:pPr>
            <w:r/>
            <w:r>
              <w:rPr>
                <w:sz w:val="17"/>
              </w:rPr>
              <w:t>Do not drop long stays silently</w:t>
            </w:r>
          </w:p>
        </w:tc>
        <w:tc>
          <w:tcPr>
            <w:tcW w:type="dxa" w:w="1409"/>
            <w:shd w:val="clear" w:color="auto" w:fill="F2F5F9"/>
          </w:tcPr>
          <w:p>
            <w:pPr>
              <w:spacing w:after="20"/>
            </w:pPr>
            <w:r/>
            <w:r>
              <w:rPr>
                <w:sz w:val="17"/>
              </w:rPr>
              <w:t>Long stays are the signal</w:t>
            </w:r>
          </w:p>
        </w:tc>
        <w:tc>
          <w:tcPr>
            <w:tcW w:type="dxa" w:w="2810"/>
            <w:shd w:val="clear" w:color="auto" w:fill="F2F5F9"/>
          </w:tcPr>
          <w:p>
            <w:pPr>
              <w:spacing w:after="20"/>
            </w:pPr>
            <w:r/>
            <w:r>
              <w:rPr>
                <w:sz w:val="17"/>
              </w:rPr>
              <w:t>Keep all; handle by robust methods or sensitivity</w:t>
            </w:r>
          </w:p>
        </w:tc>
        <w:tc>
          <w:tcPr>
            <w:tcW w:type="dxa" w:w="1761"/>
            <w:shd w:val="clear" w:color="auto" w:fill="F2F5F9"/>
          </w:tcPr>
          <w:p>
            <w:pPr>
              <w:spacing w:after="20"/>
            </w:pPr>
            <w:r/>
            <w:r>
              <w:rPr>
                <w:sz w:val="17"/>
              </w:rPr>
              <w:t>Outliers dominate the mean</w:t>
            </w:r>
          </w:p>
        </w:tc>
        <w:tc>
          <w:tcPr>
            <w:tcW w:type="dxa" w:w="2225"/>
            <w:shd w:val="clear" w:color="auto" w:fill="F2F5F9"/>
          </w:tcPr>
          <w:p>
            <w:pPr>
              <w:spacing w:after="20"/>
            </w:pPr>
            <w:r/>
            <w:r>
              <w:rPr>
                <w:sz w:val="17"/>
              </w:rPr>
              <w:t>Report results with and without top percentile</w:t>
            </w:r>
          </w:p>
        </w:tc>
      </w:tr>
    </w:tbl>
    <w:p>
      <w:pPr>
        <w:spacing w:after="40"/>
      </w:pPr>
    </w:p>
    <w:p>
      <w:pPr>
        <w:pStyle w:val="Heading2"/>
      </w:pPr>
      <w:r>
        <w:rPr/>
        <w:t>7. Feature &amp; Target Design</w:t>
      </w:r>
    </w:p>
    <w:p>
      <w:pPr>
        <w:pStyle w:val="ListBullet"/>
        <w:spacing w:after="40"/>
        <w:ind w:left="357" w:hanging="357"/>
      </w:pPr>
      <w:r>
        <w:rPr>
          <w:b/>
        </w:rPr>
        <w:t>Outcome:</w:t>
      </w:r>
      <w:r>
        <w:rPr/>
        <w:t xml:space="preserve"> LOS in days, defined as discharge date minus admission date. Admission date means hospital admission, not surgery date; whether pre-operative days are included matters if A admits the day before surgery and B admits the same day. </w:t>
      </w:r>
      <w:r>
        <w:rPr>
          <w:b/>
        </w:rPr>
        <w:t>Primary recommendation:</w:t>
      </w:r>
      <w:r>
        <w:rPr/>
        <w:t xml:space="preserve"> also compute </w:t>
      </w:r>
      <w:r>
        <w:rPr>
          <w:b/>
        </w:rPr>
        <w:t>post-operative LOS</w:t>
      </w:r>
      <w:r>
        <w:rPr/>
        <w:t xml:space="preserve"> (surgery date to discharge) if the surgery date is available </w:t>
      </w:r>
      <w:r>
        <w:rPr>
          <w:b/>
          <w:color w:val="C0392B"/>
        </w:rPr>
        <w:t>[To investigate]</w:t>
      </w:r>
      <w:r>
        <w:rPr/>
        <w:t>, since it removes admission-practice differences.</w:t>
      </w:r>
    </w:p>
    <w:p>
      <w:pPr>
        <w:pStyle w:val="ListBullet"/>
        <w:spacing w:after="40"/>
        <w:ind w:left="357" w:hanging="357"/>
      </w:pPr>
      <w:r>
        <w:rPr>
          <w:b/>
        </w:rPr>
        <w:t>Distribution:</w:t>
      </w:r>
      <w:r>
        <w:rPr/>
        <w:t xml:space="preserve"> LOS is a count of days and typically right-skewed </w:t>
      </w:r>
      <w:r>
        <w:rPr>
          <w:b/>
          <w:color w:val="B36B00"/>
        </w:rPr>
        <w:t>[Assumed]</w:t>
      </w:r>
      <w:r>
        <w:rPr/>
        <w:t>; modelling choices in §14 reflect that.</w:t>
      </w:r>
    </w:p>
    <w:p>
      <w:pPr>
        <w:pStyle w:val="ListBullet"/>
        <w:spacing w:after="40"/>
        <w:ind w:left="357" w:hanging="357"/>
      </w:pPr>
      <w:r>
        <w:rPr>
          <w:b/>
        </w:rPr>
        <w:t>Exposure:</w:t>
      </w:r>
      <w:r>
        <w:rPr/>
        <w:t xml:space="preserve"> hospital (B vs A). This is a site label, not a manipulable treatment.</w:t>
      </w:r>
    </w:p>
    <w:p>
      <w:pPr>
        <w:pStyle w:val="ListBullet"/>
        <w:spacing w:after="40"/>
        <w:ind w:left="357" w:hanging="357"/>
      </w:pPr>
      <w:r>
        <w:rPr>
          <w:b/>
        </w:rPr>
        <w:t>Adjustment covariates (all known before or at admission):</w:t>
      </w:r>
      <w:r>
        <w:rPr/>
        <w:t xml:space="preserve"> age, sex, comorbidity (index or flags), ASA grade. Admission month/quarter and financial year are added as time controls.</w:t>
      </w:r>
    </w:p>
    <w:p>
      <w:pPr>
        <w:pStyle w:val="ListBullet"/>
        <w:spacing w:after="40"/>
        <w:ind w:left="357" w:hanging="357"/>
      </w:pPr>
      <w:r>
        <w:rPr>
          <w:b/>
        </w:rPr>
        <w:t>Cluster:</w:t>
      </w:r>
      <w:r>
        <w:rPr/>
        <w:t xml:space="preserve"> surgeon (nested within hospital unless surgeons operate at both).</w:t>
      </w:r>
    </w:p>
    <w:p>
      <w:pPr>
        <w:pStyle w:val="ListBullet"/>
        <w:spacing w:after="40"/>
        <w:ind w:left="357" w:hanging="357"/>
      </w:pPr>
      <w:r>
        <w:rPr>
          <w:b/>
        </w:rPr>
        <w:t>Do not adjust for</w:t>
      </w:r>
      <w:r>
        <w:rPr/>
        <w:t xml:space="preserve"> anything that occurs after admission and may be affected by the hospital's process (complications, ICU stay, discharge destination), since that would adjust away part of the effect we are trying to measure. Report these as descriptive.</w:t>
      </w:r>
    </w:p>
    <w:p>
      <w:pPr>
        <w:pStyle w:val="ListBullet"/>
        <w:spacing w:after="40"/>
        <w:ind w:left="357" w:hanging="357"/>
      </w:pPr>
      <w:r>
        <w:rPr>
          <w:b/>
        </w:rPr>
        <w:t>Exclusions to confirm:</w:t>
      </w:r>
      <w:r>
        <w:rPr/>
        <w:t xml:space="preserve"> in-hospital deaths, transfers out, revisions, bilaterals, emergency or trauma cases.</w:t>
      </w:r>
    </w:p>
    <w:p>
      <w:pPr>
        <w:pStyle w:val="Heading2"/>
      </w:pPr>
      <w:r>
        <w:rPr/>
        <w:t>10. Metrics &amp; Decision Criteria</w:t>
      </w:r>
    </w:p>
    <w:tbl>
      <w:tblPr>
        <w:tblStyle w:val="TableGrid"/>
        <w:tblW w:type="auto" w:w="0"/>
        <w:jc w:val="center"/>
        <w:tblLayout w:type="fixed"/>
        <w:tblLook w:firstColumn="1" w:firstRow="1" w:lastColumn="0" w:lastRow="0" w:noHBand="0" w:noVBand="1" w:val="04A0"/>
        <w:tblLayout w:type="fixed"/>
      </w:tblPr>
      <w:tblGrid>
        <w:gridCol w:w="1330"/>
        <w:gridCol w:w="2351"/>
        <w:gridCol w:w="2088"/>
        <w:gridCol w:w="2007"/>
        <w:gridCol w:w="1862"/>
      </w:tblGrid>
      <w:tr>
        <w:trPr>
          <w:tblHeader w:val="true"/>
        </w:trPr>
        <w:tc>
          <w:tcPr>
            <w:tcW w:type="dxa" w:w="1330"/>
            <w:shd w:val="clear" w:color="auto" w:fill="1F3A5F"/>
          </w:tcPr>
          <w:p>
            <w:r/>
            <w:r>
              <w:rPr>
                <w:b/>
                <w:color w:val="FFFFFF"/>
                <w:sz w:val="17"/>
              </w:rPr>
              <w:t>Tier</w:t>
            </w:r>
          </w:p>
        </w:tc>
        <w:tc>
          <w:tcPr>
            <w:tcW w:type="dxa" w:w="2351"/>
            <w:shd w:val="clear" w:color="auto" w:fill="1F3A5F"/>
          </w:tcPr>
          <w:p>
            <w:r/>
            <w:r>
              <w:rPr>
                <w:b/>
                <w:color w:val="FFFFFF"/>
                <w:sz w:val="17"/>
              </w:rPr>
              <w:t>Metric</w:t>
            </w:r>
          </w:p>
        </w:tc>
        <w:tc>
          <w:tcPr>
            <w:tcW w:type="dxa" w:w="2088"/>
            <w:shd w:val="clear" w:color="auto" w:fill="1F3A5F"/>
          </w:tcPr>
          <w:p>
            <w:r/>
            <w:r>
              <w:rPr>
                <w:b/>
                <w:color w:val="FFFFFF"/>
                <w:sz w:val="17"/>
              </w:rPr>
              <w:t>Definition</w:t>
            </w:r>
          </w:p>
        </w:tc>
        <w:tc>
          <w:tcPr>
            <w:tcW w:type="dxa" w:w="2007"/>
            <w:shd w:val="clear" w:color="auto" w:fill="1F3A5F"/>
          </w:tcPr>
          <w:p>
            <w:r/>
            <w:r>
              <w:rPr>
                <w:b/>
                <w:color w:val="FFFFFF"/>
                <w:sz w:val="17"/>
              </w:rPr>
              <w:t>Why</w:t>
            </w:r>
          </w:p>
        </w:tc>
        <w:tc>
          <w:tcPr>
            <w:tcW w:type="dxa" w:w="1862"/>
            <w:shd w:val="clear" w:color="auto" w:fill="1F3A5F"/>
          </w:tcPr>
          <w:p>
            <w:r/>
            <w:r>
              <w:rPr>
                <w:b/>
                <w:color w:val="FFFFFF"/>
                <w:sz w:val="17"/>
              </w:rPr>
              <w:t>Caveat</w:t>
            </w:r>
          </w:p>
        </w:tc>
      </w:tr>
      <w:tr>
        <w:tc>
          <w:tcPr>
            <w:tcW w:type="dxa" w:w="1330"/>
          </w:tcPr>
          <w:p>
            <w:pPr>
              <w:spacing w:after="20"/>
            </w:pPr>
            <w:r/>
            <w:r>
              <w:rPr>
                <w:sz w:val="17"/>
              </w:rPr>
              <w:t>Primary</w:t>
            </w:r>
          </w:p>
        </w:tc>
        <w:tc>
          <w:tcPr>
            <w:tcW w:type="dxa" w:w="2351"/>
          </w:tcPr>
          <w:p>
            <w:pPr>
              <w:spacing w:after="20"/>
            </w:pPr>
            <w:r/>
            <w:r>
              <w:rPr>
                <w:sz w:val="17"/>
              </w:rPr>
              <w:t>Adjusted difference in mean LOS (B minus A), days, with 95% CI</w:t>
            </w:r>
          </w:p>
        </w:tc>
        <w:tc>
          <w:tcPr>
            <w:tcW w:type="dxa" w:w="2088"/>
          </w:tcPr>
          <w:p>
            <w:pPr>
              <w:spacing w:after="20"/>
            </w:pPr>
            <w:r/>
            <w:r>
              <w:rPr>
                <w:sz w:val="17"/>
              </w:rPr>
              <w:t>From the primary model, averaged over the pooled case-mix</w:t>
            </w:r>
          </w:p>
        </w:tc>
        <w:tc>
          <w:tcPr>
            <w:tcW w:type="dxa" w:w="2007"/>
          </w:tcPr>
          <w:p>
            <w:pPr>
              <w:spacing w:after="20"/>
            </w:pPr>
            <w:r/>
            <w:r>
              <w:rPr>
                <w:sz w:val="17"/>
              </w:rPr>
              <w:t>Directly answers "how large"</w:t>
            </w:r>
          </w:p>
        </w:tc>
        <w:tc>
          <w:tcPr>
            <w:tcW w:type="dxa" w:w="1862"/>
          </w:tcPr>
          <w:p>
            <w:pPr>
              <w:spacing w:after="20"/>
            </w:pPr>
            <w:r/>
            <w:r>
              <w:rPr>
                <w:sz w:val="17"/>
              </w:rPr>
              <w:t>Observational; association only</w:t>
            </w:r>
          </w:p>
        </w:tc>
      </w:tr>
      <w:tr>
        <w:tc>
          <w:tcPr>
            <w:tcW w:type="dxa" w:w="1330"/>
            <w:shd w:val="clear" w:color="auto" w:fill="F2F5F9"/>
          </w:tcPr>
          <w:p>
            <w:pPr>
              <w:spacing w:after="20"/>
            </w:pPr>
            <w:r/>
            <w:r>
              <w:rPr>
                <w:sz w:val="17"/>
              </w:rPr>
              <w:t>Primary</w:t>
            </w:r>
          </w:p>
        </w:tc>
        <w:tc>
          <w:tcPr>
            <w:tcW w:type="dxa" w:w="2351"/>
            <w:shd w:val="clear" w:color="auto" w:fill="F2F5F9"/>
          </w:tcPr>
          <w:p>
            <w:pPr>
              <w:spacing w:after="20"/>
            </w:pPr>
            <w:r/>
            <w:r>
              <w:rPr>
                <w:sz w:val="17"/>
              </w:rPr>
              <w:t>Adjusted ratio of means with 95% CI</w:t>
            </w:r>
          </w:p>
        </w:tc>
        <w:tc>
          <w:tcPr>
            <w:tcW w:type="dxa" w:w="2088"/>
            <w:shd w:val="clear" w:color="auto" w:fill="F2F5F9"/>
          </w:tcPr>
          <w:p>
            <w:pPr>
              <w:spacing w:after="20"/>
            </w:pPr>
            <w:r/>
            <w:r>
              <w:rPr>
                <w:sz w:val="17"/>
              </w:rPr>
              <w:t>Exponentiated hospital coefficient in a log-link model</w:t>
            </w:r>
          </w:p>
        </w:tc>
        <w:tc>
          <w:tcPr>
            <w:tcW w:type="dxa" w:w="2007"/>
            <w:shd w:val="clear" w:color="auto" w:fill="F2F5F9"/>
          </w:tcPr>
          <w:p>
            <w:pPr>
              <w:spacing w:after="20"/>
            </w:pPr>
            <w:r/>
            <w:r>
              <w:rPr>
                <w:sz w:val="17"/>
              </w:rPr>
              <w:t>Relative gap is easier to compare across procedures</w:t>
            </w:r>
          </w:p>
        </w:tc>
        <w:tc>
          <w:tcPr>
            <w:tcW w:type="dxa" w:w="1862"/>
            <w:shd w:val="clear" w:color="auto" w:fill="F2F5F9"/>
          </w:tcPr>
          <w:p>
            <w:pPr>
              <w:spacing w:after="20"/>
            </w:pPr>
            <w:r/>
          </w:p>
        </w:tc>
      </w:tr>
      <w:tr>
        <w:tc>
          <w:tcPr>
            <w:tcW w:type="dxa" w:w="1330"/>
          </w:tcPr>
          <w:p>
            <w:pPr>
              <w:spacing w:after="20"/>
            </w:pPr>
            <w:r/>
            <w:r>
              <w:rPr>
                <w:sz w:val="17"/>
              </w:rPr>
              <w:t>Secondary</w:t>
            </w:r>
          </w:p>
        </w:tc>
        <w:tc>
          <w:tcPr>
            <w:tcW w:type="dxa" w:w="2351"/>
          </w:tcPr>
          <w:p>
            <w:pPr>
              <w:spacing w:after="20"/>
            </w:pPr>
            <w:r/>
            <w:r>
              <w:rPr>
                <w:sz w:val="17"/>
              </w:rPr>
              <w:t>Raw difference in mean and median LOS with CI</w:t>
            </w:r>
          </w:p>
        </w:tc>
        <w:tc>
          <w:tcPr>
            <w:tcW w:type="dxa" w:w="2088"/>
          </w:tcPr>
          <w:p>
            <w:pPr>
              <w:spacing w:after="20"/>
            </w:pPr>
            <w:r/>
            <w:r>
              <w:rPr>
                <w:sz w:val="17"/>
              </w:rPr>
              <w:t>Unadjusted</w:t>
            </w:r>
          </w:p>
        </w:tc>
        <w:tc>
          <w:tcPr>
            <w:tcW w:type="dxa" w:w="2007"/>
          </w:tcPr>
          <w:p>
            <w:pPr>
              <w:spacing w:after="20"/>
            </w:pPr>
            <w:r/>
            <w:r>
              <w:rPr>
                <w:sz w:val="17"/>
              </w:rPr>
              <w:t>Shows what management sees today</w:t>
            </w:r>
          </w:p>
        </w:tc>
        <w:tc>
          <w:tcPr>
            <w:tcW w:type="dxa" w:w="1862"/>
          </w:tcPr>
          <w:p>
            <w:pPr>
              <w:spacing w:after="20"/>
            </w:pPr>
            <w:r/>
            <w:r>
              <w:rPr>
                <w:sz w:val="17"/>
              </w:rPr>
              <w:t>Confounded by case-mix</w:t>
            </w:r>
          </w:p>
        </w:tc>
      </w:tr>
      <w:tr>
        <w:tc>
          <w:tcPr>
            <w:tcW w:type="dxa" w:w="1330"/>
            <w:shd w:val="clear" w:color="auto" w:fill="F2F5F9"/>
          </w:tcPr>
          <w:p>
            <w:pPr>
              <w:spacing w:after="20"/>
            </w:pPr>
            <w:r/>
            <w:r>
              <w:rPr>
                <w:sz w:val="17"/>
              </w:rPr>
              <w:t>Secondary</w:t>
            </w:r>
          </w:p>
        </w:tc>
        <w:tc>
          <w:tcPr>
            <w:tcW w:type="dxa" w:w="2351"/>
            <w:shd w:val="clear" w:color="auto" w:fill="F2F5F9"/>
          </w:tcPr>
          <w:p>
            <w:pPr>
              <w:spacing w:after="20"/>
            </w:pPr>
            <w:r/>
            <w:r>
              <w:rPr>
                <w:sz w:val="17"/>
              </w:rPr>
              <w:t>Standardised effect size</w:t>
            </w:r>
          </w:p>
        </w:tc>
        <w:tc>
          <w:tcPr>
            <w:tcW w:type="dxa" w:w="2088"/>
            <w:shd w:val="clear" w:color="auto" w:fill="F2F5F9"/>
          </w:tcPr>
          <w:p>
            <w:pPr>
              <w:spacing w:after="20"/>
            </w:pPr>
            <w:r/>
            <w:r>
              <w:rPr>
                <w:sz w:val="17"/>
              </w:rPr>
              <w:t>Difference in means divided by pooled SD</w:t>
            </w:r>
          </w:p>
        </w:tc>
        <w:tc>
          <w:tcPr>
            <w:tcW w:type="dxa" w:w="2007"/>
            <w:shd w:val="clear" w:color="auto" w:fill="F2F5F9"/>
          </w:tcPr>
          <w:p>
            <w:pPr>
              <w:spacing w:after="20"/>
            </w:pPr>
            <w:r/>
            <w:r>
              <w:rPr>
                <w:sz w:val="17"/>
              </w:rPr>
              <w:t>Comparability</w:t>
            </w:r>
          </w:p>
        </w:tc>
        <w:tc>
          <w:tcPr>
            <w:tcW w:type="dxa" w:w="1862"/>
            <w:shd w:val="clear" w:color="auto" w:fill="F2F5F9"/>
          </w:tcPr>
          <w:p>
            <w:pPr>
              <w:spacing w:after="20"/>
            </w:pPr>
            <w:r/>
            <w:r>
              <w:rPr>
                <w:sz w:val="17"/>
              </w:rPr>
              <w:t>Not a substitute for days</w:t>
            </w:r>
          </w:p>
        </w:tc>
      </w:tr>
      <w:tr>
        <w:tc>
          <w:tcPr>
            <w:tcW w:type="dxa" w:w="1330"/>
          </w:tcPr>
          <w:p>
            <w:pPr>
              <w:spacing w:after="20"/>
            </w:pPr>
            <w:r/>
            <w:r>
              <w:rPr>
                <w:sz w:val="17"/>
              </w:rPr>
              <w:t>Diagnostic</w:t>
            </w:r>
          </w:p>
        </w:tc>
        <w:tc>
          <w:tcPr>
            <w:tcW w:type="dxa" w:w="2351"/>
          </w:tcPr>
          <w:p>
            <w:pPr>
              <w:spacing w:after="20"/>
            </w:pPr>
            <w:r/>
            <w:r>
              <w:rPr>
                <w:sz w:val="17"/>
              </w:rPr>
              <w:t>Proportion with LOS above a clinically agreed cut-off (for example "prolonged stay")</w:t>
            </w:r>
          </w:p>
        </w:tc>
        <w:tc>
          <w:tcPr>
            <w:tcW w:type="dxa" w:w="2088"/>
          </w:tcPr>
          <w:p>
            <w:pPr>
              <w:spacing w:after="20"/>
            </w:pPr>
            <w:r/>
            <w:r>
              <w:rPr>
                <w:sz w:val="17"/>
              </w:rPr>
              <w:t>Defined with clinicians</w:t>
            </w:r>
          </w:p>
        </w:tc>
        <w:tc>
          <w:tcPr>
            <w:tcW w:type="dxa" w:w="2007"/>
          </w:tcPr>
          <w:p>
            <w:pPr>
              <w:spacing w:after="20"/>
            </w:pPr>
            <w:r/>
            <w:r>
              <w:rPr>
                <w:sz w:val="17"/>
              </w:rPr>
              <w:t>Tail may drive the mean</w:t>
            </w:r>
          </w:p>
        </w:tc>
        <w:tc>
          <w:tcPr>
            <w:tcW w:type="dxa" w:w="1862"/>
          </w:tcPr>
          <w:p>
            <w:pPr>
              <w:spacing w:after="20"/>
            </w:pPr>
            <w:r/>
            <w:r>
              <w:rPr>
                <w:sz w:val="17"/>
              </w:rPr>
              <w:t xml:space="preserve">Cut-off </w:t>
            </w:r>
            <w:r>
              <w:rPr>
                <w:b/>
                <w:color w:val="C0392B"/>
                <w:sz w:val="17"/>
              </w:rPr>
              <w:t>[TBD with client]</w:t>
            </w:r>
          </w:p>
        </w:tc>
      </w:tr>
      <w:tr>
        <w:tc>
          <w:tcPr>
            <w:tcW w:type="dxa" w:w="1330"/>
            <w:shd w:val="clear" w:color="auto" w:fill="F2F5F9"/>
          </w:tcPr>
          <w:p>
            <w:pPr>
              <w:spacing w:after="20"/>
            </w:pPr>
            <w:r/>
            <w:r>
              <w:rPr>
                <w:sz w:val="17"/>
              </w:rPr>
              <w:t>Diagnostic</w:t>
            </w:r>
          </w:p>
        </w:tc>
        <w:tc>
          <w:tcPr>
            <w:tcW w:type="dxa" w:w="2351"/>
            <w:shd w:val="clear" w:color="auto" w:fill="F2F5F9"/>
          </w:tcPr>
          <w:p>
            <w:pPr>
              <w:spacing w:after="20"/>
            </w:pPr>
            <w:r/>
            <w:r>
              <w:rPr>
                <w:sz w:val="17"/>
              </w:rPr>
              <w:t>Between-surgeon variance</w:t>
            </w:r>
          </w:p>
        </w:tc>
        <w:tc>
          <w:tcPr>
            <w:tcW w:type="dxa" w:w="2088"/>
            <w:shd w:val="clear" w:color="auto" w:fill="F2F5F9"/>
          </w:tcPr>
          <w:p>
            <w:pPr>
              <w:spacing w:after="20"/>
            </w:pPr>
            <w:r/>
            <w:r>
              <w:rPr>
                <w:sz w:val="17"/>
              </w:rPr>
              <w:t>Random-effect variance component</w:t>
            </w:r>
          </w:p>
        </w:tc>
        <w:tc>
          <w:tcPr>
            <w:tcW w:type="dxa" w:w="2007"/>
            <w:shd w:val="clear" w:color="auto" w:fill="F2F5F9"/>
          </w:tcPr>
          <w:p>
            <w:pPr>
              <w:spacing w:after="20"/>
            </w:pPr>
            <w:r/>
            <w:r>
              <w:rPr>
                <w:sz w:val="17"/>
              </w:rPr>
              <w:t>Shows how much variation sits at surgeon level</w:t>
            </w:r>
          </w:p>
        </w:tc>
        <w:tc>
          <w:tcPr>
            <w:tcW w:type="dxa" w:w="1862"/>
            <w:shd w:val="clear" w:color="auto" w:fill="F2F5F9"/>
          </w:tcPr>
          <w:p>
            <w:pPr>
              <w:spacing w:after="20"/>
            </w:pPr>
            <w:r/>
            <w:r>
              <w:rPr>
                <w:sz w:val="17"/>
              </w:rPr>
              <w:t>Unreliable with few surgeons</w:t>
            </w:r>
          </w:p>
        </w:tc>
      </w:tr>
      <w:tr>
        <w:tc>
          <w:tcPr>
            <w:tcW w:type="dxa" w:w="1330"/>
          </w:tcPr>
          <w:p>
            <w:pPr>
              <w:spacing w:after="20"/>
            </w:pPr>
            <w:r/>
            <w:r>
              <w:rPr>
                <w:sz w:val="17"/>
              </w:rPr>
              <w:t>Business</w:t>
            </w:r>
          </w:p>
        </w:tc>
        <w:tc>
          <w:tcPr>
            <w:tcW w:type="dxa" w:w="2351"/>
          </w:tcPr>
          <w:p>
            <w:pPr>
              <w:spacing w:after="20"/>
            </w:pPr>
            <w:r/>
            <w:r>
              <w:rPr>
                <w:sz w:val="17"/>
              </w:rPr>
              <w:t>Bed-days per year associated with the gap</w:t>
            </w:r>
          </w:p>
        </w:tc>
        <w:tc>
          <w:tcPr>
            <w:tcW w:type="dxa" w:w="2088"/>
          </w:tcPr>
          <w:p>
            <w:pPr>
              <w:spacing w:after="20"/>
            </w:pPr>
            <w:r/>
            <w:r>
              <w:rPr>
                <w:sz w:val="17"/>
              </w:rPr>
              <w:t>Adjusted difference × annual case volume at B</w:t>
            </w:r>
          </w:p>
        </w:tc>
        <w:tc>
          <w:tcPr>
            <w:tcW w:type="dxa" w:w="2007"/>
          </w:tcPr>
          <w:p>
            <w:pPr>
              <w:spacing w:after="20"/>
            </w:pPr>
            <w:r/>
            <w:r>
              <w:rPr>
                <w:sz w:val="17"/>
              </w:rPr>
              <w:t>Translates to capacity and cost; not a counterfactual saving</w:t>
            </w:r>
          </w:p>
        </w:tc>
        <w:tc>
          <w:tcPr>
            <w:tcW w:type="dxa" w:w="1862"/>
          </w:tcPr>
          <w:p>
            <w:pPr>
              <w:spacing w:after="20"/>
            </w:pPr>
            <w:r/>
            <w:r>
              <w:rPr>
                <w:sz w:val="17"/>
              </w:rPr>
              <w:t xml:space="preserve">Volume from the data; cost of a bed-day </w:t>
            </w:r>
            <w:r>
              <w:rPr>
                <w:b/>
                <w:color w:val="C0392B"/>
                <w:sz w:val="17"/>
              </w:rPr>
              <w:t>[TBD with client]</w:t>
            </w:r>
          </w:p>
        </w:tc>
      </w:tr>
    </w:tbl>
    <w:p>
      <w:pPr>
        <w:spacing w:after="40"/>
      </w:pPr>
    </w:p>
    <w:p>
      <w:r>
        <w:rPr>
          <w:b/>
        </w:rPr>
        <w:t>Decision rule (to agree before looking at results; exhaustive).</w:t>
      </w:r>
      <w:r>
        <w:rPr/>
        <w:t xml:space="preserve"> Let T be the practical importance threshold and [L, U] the 95% CI of the adjusted difference (B minus A). (1) L &gt; T: real and material. (2) 0 &lt; L ≤ T &lt; U: real, but whether it is material is uncertain. (3) 0 &lt; L and U ≤ T: real but small. (4) L ≤ 0 ≤ U with U ≥ T: inconclusive, since both no gap and a material gap are compatible. (5) L ≤ 0 ≤ U with U &lt; T: no material gap (any gap is below T). (6) U &lt; 0: B shorter. T is </w:t>
      </w:r>
      <w:r>
        <w:rPr>
          <w:b/>
          <w:color w:val="C0392B"/>
        </w:rPr>
        <w:t>[TBD with client]</w:t>
      </w:r>
      <w:r>
        <w:rPr/>
        <w:t xml:space="preserve"> and </w:t>
      </w:r>
      <w:r>
        <w:rPr>
          <w:b/>
        </w:rPr>
        <w:t>must be fixed before the Discovery phase exits</w:t>
      </w:r>
      <w:r>
        <w:rPr/>
        <w:t>.</w:t>
      </w:r>
    </w:p>
    <w:p>
      <w:pPr>
        <w:pStyle w:val="Heading2"/>
      </w:pPr>
      <w:r>
        <w:rPr/>
        <w:t>13. Bias and Confounding Audit (replaces the predictive leakage checklist)</w:t>
      </w:r>
    </w:p>
    <w:tbl>
      <w:tblPr>
        <w:tblStyle w:val="TableGrid"/>
        <w:tblW w:type="auto" w:w="0"/>
        <w:jc w:val="center"/>
        <w:tblLayout w:type="fixed"/>
        <w:tblLook w:firstColumn="1" w:firstRow="1" w:lastColumn="0" w:lastRow="0" w:noHBand="0" w:noVBand="1" w:val="04A0"/>
        <w:tblLayout w:type="fixed"/>
      </w:tblPr>
      <w:tblGrid>
        <w:gridCol w:w="2155"/>
        <w:gridCol w:w="1078"/>
        <w:gridCol w:w="2886"/>
        <w:gridCol w:w="2506"/>
        <w:gridCol w:w="1013"/>
      </w:tblGrid>
      <w:tr>
        <w:trPr>
          <w:tblHeader w:val="true"/>
        </w:trPr>
        <w:tc>
          <w:tcPr>
            <w:tcW w:type="dxa" w:w="2155"/>
            <w:shd w:val="clear" w:color="auto" w:fill="1F3A5F"/>
          </w:tcPr>
          <w:p>
            <w:r/>
            <w:r>
              <w:rPr>
                <w:b/>
                <w:color w:val="FFFFFF"/>
                <w:sz w:val="17"/>
              </w:rPr>
              <w:t>Risk</w:t>
            </w:r>
          </w:p>
        </w:tc>
        <w:tc>
          <w:tcPr>
            <w:tcW w:type="dxa" w:w="1078"/>
            <w:shd w:val="clear" w:color="auto" w:fill="1F3A5F"/>
          </w:tcPr>
          <w:p>
            <w:r/>
            <w:r>
              <w:rPr>
                <w:b/>
                <w:color w:val="FFFFFF"/>
                <w:sz w:val="17"/>
              </w:rPr>
              <w:t>Applies?</w:t>
            </w:r>
          </w:p>
        </w:tc>
        <w:tc>
          <w:tcPr>
            <w:tcW w:type="dxa" w:w="2886"/>
            <w:shd w:val="clear" w:color="auto" w:fill="1F3A5F"/>
          </w:tcPr>
          <w:p>
            <w:r/>
            <w:r>
              <w:rPr>
                <w:b/>
                <w:color w:val="FFFFFF"/>
                <w:sz w:val="17"/>
              </w:rPr>
              <w:t>Where it could occur</w:t>
            </w:r>
          </w:p>
        </w:tc>
        <w:tc>
          <w:tcPr>
            <w:tcW w:type="dxa" w:w="2506"/>
            <w:shd w:val="clear" w:color="auto" w:fill="1F3A5F"/>
          </w:tcPr>
          <w:p>
            <w:r/>
            <w:r>
              <w:rPr>
                <w:b/>
                <w:color w:val="FFFFFF"/>
                <w:sz w:val="17"/>
              </w:rPr>
              <w:t>Mitigation</w:t>
            </w:r>
          </w:p>
        </w:tc>
        <w:tc>
          <w:tcPr>
            <w:tcW w:type="dxa" w:w="1013"/>
            <w:shd w:val="clear" w:color="auto" w:fill="1F3A5F"/>
          </w:tcPr>
          <w:p>
            <w:r/>
            <w:r>
              <w:rPr>
                <w:b/>
                <w:color w:val="FFFFFF"/>
                <w:sz w:val="17"/>
              </w:rPr>
              <w:t>Owner</w:t>
            </w:r>
          </w:p>
        </w:tc>
      </w:tr>
      <w:tr>
        <w:tc>
          <w:tcPr>
            <w:tcW w:type="dxa" w:w="2155"/>
          </w:tcPr>
          <w:p>
            <w:pPr>
              <w:spacing w:after="20"/>
            </w:pPr>
            <w:r/>
            <w:r>
              <w:rPr>
                <w:sz w:val="17"/>
              </w:rPr>
              <w:t>Hospital label confounded with all site-level factors</w:t>
            </w:r>
          </w:p>
        </w:tc>
        <w:tc>
          <w:tcPr>
            <w:tcW w:type="dxa" w:w="1078"/>
          </w:tcPr>
          <w:p>
            <w:pPr>
              <w:spacing w:after="20"/>
            </w:pPr>
            <w:r/>
            <w:r>
              <w:rPr>
                <w:sz w:val="17"/>
              </w:rPr>
              <w:t>Yes</w:t>
            </w:r>
          </w:p>
        </w:tc>
        <w:tc>
          <w:tcPr>
            <w:tcW w:type="dxa" w:w="2886"/>
          </w:tcPr>
          <w:p>
            <w:pPr>
              <w:spacing w:after="20"/>
            </w:pPr>
            <w:r/>
            <w:r>
              <w:rPr>
                <w:sz w:val="17"/>
              </w:rPr>
              <w:t>With two sites, the hospital effect bundles staffing, physiotherapy availability, referral base, systems and local practice; it cannot be split into those parts</w:t>
            </w:r>
          </w:p>
        </w:tc>
        <w:tc>
          <w:tcPr>
            <w:tcW w:type="dxa" w:w="2506"/>
          </w:tcPr>
          <w:p>
            <w:pPr>
              <w:spacing w:after="20"/>
            </w:pPr>
            <w:r/>
            <w:r>
              <w:rPr>
                <w:sz w:val="17"/>
              </w:rPr>
              <w:t>State this explicitly in the report; do not attribute the gap to any one factor</w:t>
            </w:r>
          </w:p>
        </w:tc>
        <w:tc>
          <w:tcPr>
            <w:tcW w:type="dxa" w:w="1013"/>
          </w:tcPr>
          <w:p>
            <w:pPr>
              <w:spacing w:after="20"/>
            </w:pPr>
            <w:r/>
            <w:r>
              <w:rPr>
                <w:sz w:val="17"/>
              </w:rPr>
              <w:t>Analyst</w:t>
            </w:r>
          </w:p>
        </w:tc>
      </w:tr>
      <w:tr>
        <w:tc>
          <w:tcPr>
            <w:tcW w:type="dxa" w:w="2155"/>
            <w:shd w:val="clear" w:color="auto" w:fill="F2F5F9"/>
          </w:tcPr>
          <w:p>
            <w:pPr>
              <w:spacing w:after="20"/>
            </w:pPr>
            <w:r/>
            <w:r>
              <w:rPr>
                <w:sz w:val="17"/>
              </w:rPr>
              <w:t>Case-mix confounding</w:t>
            </w:r>
          </w:p>
        </w:tc>
        <w:tc>
          <w:tcPr>
            <w:tcW w:type="dxa" w:w="1078"/>
            <w:shd w:val="clear" w:color="auto" w:fill="F2F5F9"/>
          </w:tcPr>
          <w:p>
            <w:pPr>
              <w:spacing w:after="20"/>
            </w:pPr>
            <w:r/>
            <w:r>
              <w:rPr>
                <w:sz w:val="17"/>
              </w:rPr>
              <w:t>Yes</w:t>
            </w:r>
          </w:p>
        </w:tc>
        <w:tc>
          <w:tcPr>
            <w:tcW w:type="dxa" w:w="2886"/>
            <w:shd w:val="clear" w:color="auto" w:fill="F2F5F9"/>
          </w:tcPr>
          <w:p>
            <w:pPr>
              <w:spacing w:after="20"/>
            </w:pPr>
            <w:r/>
            <w:r>
              <w:rPr>
                <w:sz w:val="17"/>
              </w:rPr>
              <w:t>B may treat older or sicker patients (tertiary referral)</w:t>
            </w:r>
          </w:p>
        </w:tc>
        <w:tc>
          <w:tcPr>
            <w:tcW w:type="dxa" w:w="2506"/>
            <w:shd w:val="clear" w:color="auto" w:fill="F2F5F9"/>
          </w:tcPr>
          <w:p>
            <w:pPr>
              <w:spacing w:after="20"/>
            </w:pPr>
            <w:r/>
            <w:r>
              <w:rPr>
                <w:sz w:val="17"/>
              </w:rPr>
              <w:t>Adjust for age, sex, comorbidity, ASA</w:t>
            </w:r>
          </w:p>
        </w:tc>
        <w:tc>
          <w:tcPr>
            <w:tcW w:type="dxa" w:w="1013"/>
            <w:shd w:val="clear" w:color="auto" w:fill="F2F5F9"/>
          </w:tcPr>
          <w:p>
            <w:pPr>
              <w:spacing w:after="20"/>
            </w:pPr>
            <w:r/>
            <w:r>
              <w:rPr>
                <w:sz w:val="17"/>
              </w:rPr>
              <w:t>Analyst</w:t>
            </w:r>
          </w:p>
        </w:tc>
      </w:tr>
      <w:tr>
        <w:tc>
          <w:tcPr>
            <w:tcW w:type="dxa" w:w="2155"/>
          </w:tcPr>
          <w:p>
            <w:pPr>
              <w:spacing w:after="20"/>
            </w:pPr>
            <w:r/>
            <w:r>
              <w:rPr>
                <w:sz w:val="17"/>
              </w:rPr>
              <w:t>Definitional difference in LOS</w:t>
            </w:r>
          </w:p>
        </w:tc>
        <w:tc>
          <w:tcPr>
            <w:tcW w:type="dxa" w:w="1078"/>
          </w:tcPr>
          <w:p>
            <w:pPr>
              <w:spacing w:after="20"/>
            </w:pPr>
            <w:r/>
            <w:r>
              <w:rPr>
                <w:sz w:val="17"/>
              </w:rPr>
              <w:t>Yes</w:t>
            </w:r>
          </w:p>
        </w:tc>
        <w:tc>
          <w:tcPr>
            <w:tcW w:type="dxa" w:w="2886"/>
          </w:tcPr>
          <w:p>
            <w:pPr>
              <w:spacing w:after="20"/>
            </w:pPr>
            <w:r/>
            <w:r>
              <w:rPr>
                <w:sz w:val="17"/>
              </w:rPr>
              <w:t>Different admission/discharge conventions</w:t>
            </w:r>
          </w:p>
        </w:tc>
        <w:tc>
          <w:tcPr>
            <w:tcW w:type="dxa" w:w="2506"/>
          </w:tcPr>
          <w:p>
            <w:pPr>
              <w:spacing w:after="20"/>
            </w:pPr>
            <w:r/>
            <w:r>
              <w:rPr>
                <w:sz w:val="17"/>
              </w:rPr>
              <w:t>Reconcile (Q1); use post-operative LOS</w:t>
            </w:r>
          </w:p>
        </w:tc>
        <w:tc>
          <w:tcPr>
            <w:tcW w:type="dxa" w:w="1013"/>
          </w:tcPr>
          <w:p>
            <w:pPr>
              <w:spacing w:after="20"/>
            </w:pPr>
            <w:r/>
            <w:r>
              <w:rPr>
                <w:sz w:val="17"/>
              </w:rPr>
              <w:t>HIS/IT</w:t>
            </w:r>
          </w:p>
        </w:tc>
      </w:tr>
      <w:tr>
        <w:tc>
          <w:tcPr>
            <w:tcW w:type="dxa" w:w="2155"/>
            <w:shd w:val="clear" w:color="auto" w:fill="F2F5F9"/>
          </w:tcPr>
          <w:p>
            <w:pPr>
              <w:spacing w:after="20"/>
            </w:pPr>
            <w:r/>
            <w:r>
              <w:rPr>
                <w:sz w:val="17"/>
              </w:rPr>
              <w:t>Coding intensity difference</w:t>
            </w:r>
          </w:p>
        </w:tc>
        <w:tc>
          <w:tcPr>
            <w:tcW w:type="dxa" w:w="1078"/>
            <w:shd w:val="clear" w:color="auto" w:fill="F2F5F9"/>
          </w:tcPr>
          <w:p>
            <w:pPr>
              <w:spacing w:after="20"/>
            </w:pPr>
            <w:r/>
            <w:r>
              <w:rPr>
                <w:sz w:val="17"/>
              </w:rPr>
              <w:t>Possible</w:t>
            </w:r>
          </w:p>
        </w:tc>
        <w:tc>
          <w:tcPr>
            <w:tcW w:type="dxa" w:w="2886"/>
            <w:shd w:val="clear" w:color="auto" w:fill="F2F5F9"/>
          </w:tcPr>
          <w:p>
            <w:pPr>
              <w:spacing w:after="20"/>
            </w:pPr>
            <w:r/>
            <w:r>
              <w:rPr>
                <w:sz w:val="17"/>
              </w:rPr>
              <w:t>Comorbidities documented more at one site</w:t>
            </w:r>
          </w:p>
        </w:tc>
        <w:tc>
          <w:tcPr>
            <w:tcW w:type="dxa" w:w="2506"/>
            <w:shd w:val="clear" w:color="auto" w:fill="F2F5F9"/>
          </w:tcPr>
          <w:p>
            <w:pPr>
              <w:spacing w:after="20"/>
            </w:pPr>
            <w:r/>
            <w:r>
              <w:rPr>
                <w:sz w:val="17"/>
              </w:rPr>
              <w:t>Compare coding density; sensitivity without comorbidity index</w:t>
            </w:r>
          </w:p>
        </w:tc>
        <w:tc>
          <w:tcPr>
            <w:tcW w:type="dxa" w:w="1013"/>
            <w:shd w:val="clear" w:color="auto" w:fill="F2F5F9"/>
          </w:tcPr>
          <w:p>
            <w:pPr>
              <w:spacing w:after="20"/>
            </w:pPr>
            <w:r/>
            <w:r>
              <w:rPr>
                <w:sz w:val="17"/>
              </w:rPr>
              <w:t>Analyst</w:t>
            </w:r>
          </w:p>
        </w:tc>
      </w:tr>
      <w:tr>
        <w:tc>
          <w:tcPr>
            <w:tcW w:type="dxa" w:w="2155"/>
          </w:tcPr>
          <w:p>
            <w:pPr>
              <w:spacing w:after="20"/>
            </w:pPr>
            <w:r/>
            <w:r>
              <w:rPr>
                <w:sz w:val="17"/>
              </w:rPr>
              <w:t>Surgeon–hospital confounding</w:t>
            </w:r>
          </w:p>
        </w:tc>
        <w:tc>
          <w:tcPr>
            <w:tcW w:type="dxa" w:w="1078"/>
          </w:tcPr>
          <w:p>
            <w:pPr>
              <w:spacing w:after="20"/>
            </w:pPr>
            <w:r/>
            <w:r>
              <w:rPr>
                <w:sz w:val="17"/>
              </w:rPr>
              <w:t>Yes</w:t>
            </w:r>
          </w:p>
        </w:tc>
        <w:tc>
          <w:tcPr>
            <w:tcW w:type="dxa" w:w="2886"/>
          </w:tcPr>
          <w:p>
            <w:pPr>
              <w:spacing w:after="20"/>
            </w:pPr>
            <w:r/>
            <w:r>
              <w:rPr>
                <w:sz w:val="17"/>
              </w:rPr>
              <w:t>Surgeons tied to one site (nested vs crossed structure depends on Q3)</w:t>
            </w:r>
          </w:p>
        </w:tc>
        <w:tc>
          <w:tcPr>
            <w:tcW w:type="dxa" w:w="2506"/>
          </w:tcPr>
          <w:p>
            <w:pPr>
              <w:spacing w:after="20"/>
            </w:pPr>
            <w:r/>
            <w:r>
              <w:rPr>
                <w:sz w:val="17"/>
              </w:rPr>
              <w:t>Surgeon random effect; report overlap; say what cannot be separated</w:t>
            </w:r>
          </w:p>
        </w:tc>
        <w:tc>
          <w:tcPr>
            <w:tcW w:type="dxa" w:w="1013"/>
          </w:tcPr>
          <w:p>
            <w:pPr>
              <w:spacing w:after="20"/>
            </w:pPr>
            <w:r/>
            <w:r>
              <w:rPr>
                <w:sz w:val="17"/>
              </w:rPr>
              <w:t>Analyst</w:t>
            </w:r>
          </w:p>
        </w:tc>
      </w:tr>
      <w:tr>
        <w:tc>
          <w:tcPr>
            <w:tcW w:type="dxa" w:w="2155"/>
            <w:shd w:val="clear" w:color="auto" w:fill="F2F5F9"/>
          </w:tcPr>
          <w:p>
            <w:pPr>
              <w:spacing w:after="20"/>
            </w:pPr>
            <w:r/>
            <w:r>
              <w:rPr>
                <w:sz w:val="17"/>
              </w:rPr>
              <w:t>Selection into hospital</w:t>
            </w:r>
          </w:p>
        </w:tc>
        <w:tc>
          <w:tcPr>
            <w:tcW w:type="dxa" w:w="1078"/>
            <w:shd w:val="clear" w:color="auto" w:fill="F2F5F9"/>
          </w:tcPr>
          <w:p>
            <w:pPr>
              <w:spacing w:after="20"/>
            </w:pPr>
            <w:r/>
            <w:r>
              <w:rPr>
                <w:sz w:val="17"/>
              </w:rPr>
              <w:t>Possible</w:t>
            </w:r>
          </w:p>
        </w:tc>
        <w:tc>
          <w:tcPr>
            <w:tcW w:type="dxa" w:w="2886"/>
            <w:shd w:val="clear" w:color="auto" w:fill="F2F5F9"/>
          </w:tcPr>
          <w:p>
            <w:pPr>
              <w:spacing w:after="20"/>
            </w:pPr>
            <w:r/>
            <w:r>
              <w:rPr>
                <w:sz w:val="17"/>
              </w:rPr>
              <w:t>Patients may choose hospitals by insurance, region or complexity</w:t>
            </w:r>
          </w:p>
        </w:tc>
        <w:tc>
          <w:tcPr>
            <w:tcW w:type="dxa" w:w="2506"/>
            <w:shd w:val="clear" w:color="auto" w:fill="F2F5F9"/>
          </w:tcPr>
          <w:p>
            <w:pPr>
              <w:spacing w:after="20"/>
            </w:pPr>
            <w:r/>
            <w:r>
              <w:rPr>
                <w:sz w:val="17"/>
              </w:rPr>
              <w:t>Describe; sensitivity analysis for unmeasured confounding</w:t>
            </w:r>
          </w:p>
        </w:tc>
        <w:tc>
          <w:tcPr>
            <w:tcW w:type="dxa" w:w="1013"/>
            <w:shd w:val="clear" w:color="auto" w:fill="F2F5F9"/>
          </w:tcPr>
          <w:p>
            <w:pPr>
              <w:spacing w:after="20"/>
            </w:pPr>
            <w:r/>
            <w:r>
              <w:rPr>
                <w:sz w:val="17"/>
              </w:rPr>
              <w:t>Analyst</w:t>
            </w:r>
          </w:p>
        </w:tc>
      </w:tr>
      <w:tr>
        <w:tc>
          <w:tcPr>
            <w:tcW w:type="dxa" w:w="2155"/>
          </w:tcPr>
          <w:p>
            <w:pPr>
              <w:spacing w:after="20"/>
            </w:pPr>
            <w:r/>
            <w:r>
              <w:rPr>
                <w:sz w:val="17"/>
              </w:rPr>
              <w:t>Time effects</w:t>
            </w:r>
          </w:p>
        </w:tc>
        <w:tc>
          <w:tcPr>
            <w:tcW w:type="dxa" w:w="1078"/>
          </w:tcPr>
          <w:p>
            <w:pPr>
              <w:spacing w:after="20"/>
            </w:pPr>
            <w:r/>
            <w:r>
              <w:rPr>
                <w:sz w:val="17"/>
              </w:rPr>
              <w:t>Possible</w:t>
            </w:r>
          </w:p>
        </w:tc>
        <w:tc>
          <w:tcPr>
            <w:tcW w:type="dxa" w:w="2886"/>
          </w:tcPr>
          <w:p>
            <w:pPr>
              <w:spacing w:after="20"/>
            </w:pPr>
            <w:r/>
            <w:r>
              <w:rPr>
                <w:sz w:val="17"/>
              </w:rPr>
              <w:t>A policy change or staffing change in one period</w:t>
            </w:r>
          </w:p>
        </w:tc>
        <w:tc>
          <w:tcPr>
            <w:tcW w:type="dxa" w:w="2506"/>
          </w:tcPr>
          <w:p>
            <w:pPr>
              <w:spacing w:after="20"/>
            </w:pPr>
            <w:r/>
            <w:r>
              <w:rPr>
                <w:sz w:val="17"/>
              </w:rPr>
              <w:t>Adjust for period; time-sliced estimates</w:t>
            </w:r>
          </w:p>
        </w:tc>
        <w:tc>
          <w:tcPr>
            <w:tcW w:type="dxa" w:w="1013"/>
          </w:tcPr>
          <w:p>
            <w:pPr>
              <w:spacing w:after="20"/>
            </w:pPr>
            <w:r/>
            <w:r>
              <w:rPr>
                <w:sz w:val="17"/>
              </w:rPr>
              <w:t>Analyst</w:t>
            </w:r>
          </w:p>
        </w:tc>
      </w:tr>
      <w:tr>
        <w:tc>
          <w:tcPr>
            <w:tcW w:type="dxa" w:w="2155"/>
            <w:shd w:val="clear" w:color="auto" w:fill="F2F5F9"/>
          </w:tcPr>
          <w:p>
            <w:pPr>
              <w:spacing w:after="20"/>
            </w:pPr>
            <w:r/>
            <w:r>
              <w:rPr>
                <w:sz w:val="17"/>
              </w:rPr>
              <w:t>Mediators wrongly adjusted</w:t>
            </w:r>
          </w:p>
        </w:tc>
        <w:tc>
          <w:tcPr>
            <w:tcW w:type="dxa" w:w="1078"/>
            <w:shd w:val="clear" w:color="auto" w:fill="F2F5F9"/>
          </w:tcPr>
          <w:p>
            <w:pPr>
              <w:spacing w:after="20"/>
            </w:pPr>
            <w:r/>
            <w:r>
              <w:rPr>
                <w:sz w:val="17"/>
              </w:rPr>
              <w:t>Avoid</w:t>
            </w:r>
          </w:p>
        </w:tc>
        <w:tc>
          <w:tcPr>
            <w:tcW w:type="dxa" w:w="2886"/>
            <w:shd w:val="clear" w:color="auto" w:fill="F2F5F9"/>
          </w:tcPr>
          <w:p>
            <w:pPr>
              <w:spacing w:after="20"/>
            </w:pPr>
            <w:r/>
            <w:r>
              <w:rPr>
                <w:sz w:val="17"/>
              </w:rPr>
              <w:t>Post-admission variables</w:t>
            </w:r>
          </w:p>
        </w:tc>
        <w:tc>
          <w:tcPr>
            <w:tcW w:type="dxa" w:w="2506"/>
            <w:shd w:val="clear" w:color="auto" w:fill="F2F5F9"/>
          </w:tcPr>
          <w:p>
            <w:pPr>
              <w:spacing w:after="20"/>
            </w:pPr>
            <w:r/>
            <w:r>
              <w:rPr>
                <w:sz w:val="17"/>
              </w:rPr>
              <w:t>Pre-specify covariates</w:t>
            </w:r>
          </w:p>
        </w:tc>
        <w:tc>
          <w:tcPr>
            <w:tcW w:type="dxa" w:w="1013"/>
            <w:shd w:val="clear" w:color="auto" w:fill="F2F5F9"/>
          </w:tcPr>
          <w:p>
            <w:pPr>
              <w:spacing w:after="20"/>
            </w:pPr>
            <w:r/>
            <w:r>
              <w:rPr>
                <w:sz w:val="17"/>
              </w:rPr>
              <w:t>Analyst</w:t>
            </w:r>
          </w:p>
        </w:tc>
      </w:tr>
      <w:tr>
        <w:tc>
          <w:tcPr>
            <w:tcW w:type="dxa" w:w="2155"/>
          </w:tcPr>
          <w:p>
            <w:pPr>
              <w:spacing w:after="20"/>
            </w:pPr>
            <w:r/>
            <w:r>
              <w:rPr>
                <w:sz w:val="17"/>
              </w:rPr>
              <w:t>Informative exclusion (deaths, transfers)</w:t>
            </w:r>
          </w:p>
        </w:tc>
        <w:tc>
          <w:tcPr>
            <w:tcW w:type="dxa" w:w="1078"/>
          </w:tcPr>
          <w:p>
            <w:pPr>
              <w:spacing w:after="20"/>
            </w:pPr>
            <w:r/>
            <w:r>
              <w:rPr>
                <w:sz w:val="17"/>
              </w:rPr>
              <w:t>Possible</w:t>
            </w:r>
          </w:p>
        </w:tc>
        <w:tc>
          <w:tcPr>
            <w:tcW w:type="dxa" w:w="2886"/>
          </w:tcPr>
          <w:p>
            <w:pPr>
              <w:spacing w:after="20"/>
            </w:pPr>
            <w:r/>
            <w:r>
              <w:rPr>
                <w:sz w:val="17"/>
              </w:rPr>
              <w:t>Excluding them biases LOS downward</w:t>
            </w:r>
          </w:p>
        </w:tc>
        <w:tc>
          <w:tcPr>
            <w:tcW w:type="dxa" w:w="2506"/>
          </w:tcPr>
          <w:p>
            <w:pPr>
              <w:spacing w:after="20"/>
            </w:pPr>
            <w:r/>
            <w:r>
              <w:rPr>
                <w:sz w:val="17"/>
              </w:rPr>
              <w:t>Report counts by site; sensitivity analysis</w:t>
            </w:r>
          </w:p>
        </w:tc>
        <w:tc>
          <w:tcPr>
            <w:tcW w:type="dxa" w:w="1013"/>
          </w:tcPr>
          <w:p>
            <w:pPr>
              <w:spacing w:after="20"/>
            </w:pPr>
            <w:r/>
            <w:r>
              <w:rPr>
                <w:sz w:val="17"/>
              </w:rPr>
              <w:t>Analyst</w:t>
            </w:r>
          </w:p>
        </w:tc>
      </w:tr>
      <w:tr>
        <w:tc>
          <w:tcPr>
            <w:tcW w:type="dxa" w:w="2155"/>
            <w:shd w:val="clear" w:color="auto" w:fill="F2F5F9"/>
          </w:tcPr>
          <w:p>
            <w:pPr>
              <w:spacing w:after="20"/>
            </w:pPr>
            <w:r/>
            <w:r>
              <w:rPr>
                <w:sz w:val="17"/>
              </w:rPr>
              <w:t>Multiple looks</w:t>
            </w:r>
          </w:p>
        </w:tc>
        <w:tc>
          <w:tcPr>
            <w:tcW w:type="dxa" w:w="1078"/>
            <w:shd w:val="clear" w:color="auto" w:fill="F2F5F9"/>
          </w:tcPr>
          <w:p>
            <w:pPr>
              <w:spacing w:after="20"/>
            </w:pPr>
            <w:r/>
            <w:r>
              <w:rPr>
                <w:sz w:val="17"/>
              </w:rPr>
              <w:t>Avoid</w:t>
            </w:r>
          </w:p>
        </w:tc>
        <w:tc>
          <w:tcPr>
            <w:tcW w:type="dxa" w:w="2886"/>
            <w:shd w:val="clear" w:color="auto" w:fill="F2F5F9"/>
          </w:tcPr>
          <w:p>
            <w:pPr>
              <w:spacing w:after="20"/>
            </w:pPr>
            <w:r/>
            <w:r>
              <w:rPr>
                <w:sz w:val="17"/>
              </w:rPr>
              <w:t>Fishing across subgroups</w:t>
            </w:r>
          </w:p>
        </w:tc>
        <w:tc>
          <w:tcPr>
            <w:tcW w:type="dxa" w:w="2506"/>
            <w:shd w:val="clear" w:color="auto" w:fill="F2F5F9"/>
          </w:tcPr>
          <w:p>
            <w:pPr>
              <w:spacing w:after="20"/>
            </w:pPr>
            <w:r/>
            <w:r>
              <w:rPr>
                <w:sz w:val="17"/>
              </w:rPr>
              <w:t>Pre-specify (see §14)</w:t>
            </w:r>
          </w:p>
        </w:tc>
        <w:tc>
          <w:tcPr>
            <w:tcW w:type="dxa" w:w="1013"/>
            <w:shd w:val="clear" w:color="auto" w:fill="F2F5F9"/>
          </w:tcPr>
          <w:p>
            <w:pPr>
              <w:spacing w:after="20"/>
            </w:pPr>
            <w:r/>
            <w:r>
              <w:rPr>
                <w:sz w:val="17"/>
              </w:rPr>
              <w:t>Analyst</w:t>
            </w:r>
          </w:p>
        </w:tc>
      </w:tr>
    </w:tbl>
    <w:p>
      <w:pPr>
        <w:spacing w:after="40"/>
      </w:pPr>
    </w:p>
    <w:p>
      <w:pPr>
        <w:pStyle w:val="Heading2"/>
      </w:pPr>
      <w:r>
        <w:rPr/>
        <w:t>14. Statistical Inference &amp; Causal Analysis Plan</w:t>
      </w:r>
    </w:p>
    <w:p>
      <w:r>
        <w:rPr>
          <w:b/>
        </w:rPr>
        <w:t>Estimand.</w:t>
      </w:r>
      <w:r>
        <w:rPr/>
        <w:t xml:space="preserve"> The </w:t>
      </w:r>
      <w:r>
        <w:rPr>
          <w:b/>
        </w:rPr>
        <w:t>marginal</w:t>
      </w:r>
      <w:r>
        <w:rPr/>
        <w:t xml:space="preserve"> (population-averaged) difference and ratio in mean LOS between B and A, standardised to the pooled case-mix of both hospitals. It is obtained from the fitted model by standardisation (g-computation: predict LOS for every patient as if treated at A and as if at B, average, then contrast), with CIs from a surgeon-clustered bootstrap. The OLS-with-cluster-robust-SE fallback targets the same estimand; the log(LOS) fallback targets a geometric-mean ratio (a different estimand) and quantile regression targets a median difference, so both are reported only as sensitivity results. Associational wording applies throughout, because the hospital label is not a manipulable treatment. in the population of elective knee-replacement patients treated at these two hospitals during the study period.</w:t>
      </w:r>
    </w:p>
    <w:p>
      <w:r>
        <w:rPr>
          <w:b/>
        </w:rPr>
        <w:t>Hypotheses.</w:t>
      </w:r>
      <w:r>
        <w:rPr/>
        <w:t xml:space="preserve"> H₀: adjusted mean LOS at B equals that at A. H₁: they differ (two-sided; management's belief is directional, but a two-sided test is the conservative choice and allows the possibility that B is shorter). α = 0.05.</w:t>
      </w:r>
    </w:p>
    <w:tbl>
      <w:tblPr>
        <w:tblStyle w:val="TableGrid"/>
        <w:tblW w:type="auto" w:w="0"/>
        <w:jc w:val="center"/>
        <w:tblLayout w:type="fixed"/>
        <w:tblLook w:firstColumn="1" w:firstRow="1" w:lastColumn="0" w:lastRow="0" w:noHBand="0" w:noVBand="1" w:val="04A0"/>
        <w:tblLayout w:type="fixed"/>
      </w:tblPr>
      <w:tblGrid>
        <w:gridCol w:w="1017"/>
        <w:gridCol w:w="3566"/>
        <w:gridCol w:w="1065"/>
        <w:gridCol w:w="1828"/>
        <w:gridCol w:w="2162"/>
      </w:tblGrid>
      <w:tr>
        <w:trPr>
          <w:tblHeader w:val="true"/>
        </w:trPr>
        <w:tc>
          <w:tcPr>
            <w:tcW w:type="dxa" w:w="1017"/>
            <w:shd w:val="clear" w:color="auto" w:fill="1F3A5F"/>
          </w:tcPr>
          <w:p>
            <w:r/>
            <w:r>
              <w:rPr>
                <w:b/>
                <w:color w:val="FFFFFF"/>
                <w:sz w:val="17"/>
              </w:rPr>
              <w:t>Question</w:t>
            </w:r>
          </w:p>
        </w:tc>
        <w:tc>
          <w:tcPr>
            <w:tcW w:type="dxa" w:w="3566"/>
            <w:shd w:val="clear" w:color="auto" w:fill="1F3A5F"/>
          </w:tcPr>
          <w:p>
            <w:r/>
            <w:r>
              <w:rPr>
                <w:b/>
                <w:color w:val="FFFFFF"/>
                <w:sz w:val="17"/>
              </w:rPr>
              <w:t>Design / test</w:t>
            </w:r>
          </w:p>
        </w:tc>
        <w:tc>
          <w:tcPr>
            <w:tcW w:type="dxa" w:w="1065"/>
            <w:shd w:val="clear" w:color="auto" w:fill="1F3A5F"/>
          </w:tcPr>
          <w:p>
            <w:r/>
            <w:r>
              <w:rPr>
                <w:b/>
                <w:color w:val="FFFFFF"/>
                <w:sz w:val="17"/>
              </w:rPr>
              <w:t>Key assumptions</w:t>
            </w:r>
          </w:p>
        </w:tc>
        <w:tc>
          <w:tcPr>
            <w:tcW w:type="dxa" w:w="1828"/>
            <w:shd w:val="clear" w:color="auto" w:fill="1F3A5F"/>
          </w:tcPr>
          <w:p>
            <w:r/>
            <w:r>
              <w:rPr>
                <w:b/>
                <w:color w:val="FFFFFF"/>
                <w:sz w:val="17"/>
              </w:rPr>
              <w:t>Checks</w:t>
            </w:r>
          </w:p>
        </w:tc>
        <w:tc>
          <w:tcPr>
            <w:tcW w:type="dxa" w:w="2162"/>
            <w:shd w:val="clear" w:color="auto" w:fill="1F3A5F"/>
          </w:tcPr>
          <w:p>
            <w:r/>
            <w:r>
              <w:rPr>
                <w:b/>
                <w:color w:val="FFFFFF"/>
                <w:sz w:val="17"/>
              </w:rPr>
              <w:t>Fallback</w:t>
            </w:r>
          </w:p>
        </w:tc>
      </w:tr>
      <w:tr>
        <w:tc>
          <w:tcPr>
            <w:tcW w:type="dxa" w:w="1017"/>
          </w:tcPr>
          <w:p>
            <w:pPr>
              <w:spacing w:after="20"/>
            </w:pPr>
            <w:r/>
            <w:r>
              <w:rPr>
                <w:sz w:val="17"/>
              </w:rPr>
              <w:t>Raw difference</w:t>
            </w:r>
          </w:p>
        </w:tc>
        <w:tc>
          <w:tcPr>
            <w:tcW w:type="dxa" w:w="3566"/>
          </w:tcPr>
          <w:p>
            <w:pPr>
              <w:spacing w:after="20"/>
            </w:pPr>
            <w:r/>
            <w:r>
              <w:rPr>
                <w:sz w:val="17"/>
              </w:rPr>
              <w:t>Welch's t-test; bootstrap CI for the mean difference</w:t>
            </w:r>
          </w:p>
        </w:tc>
        <w:tc>
          <w:tcPr>
            <w:tcW w:type="dxa" w:w="1065"/>
          </w:tcPr>
          <w:p>
            <w:pPr>
              <w:spacing w:after="20"/>
            </w:pPr>
            <w:r/>
            <w:r>
              <w:rPr>
                <w:sz w:val="17"/>
              </w:rPr>
              <w:t>Independence (violated by surgeon clustering)</w:t>
            </w:r>
          </w:p>
        </w:tc>
        <w:tc>
          <w:tcPr>
            <w:tcW w:type="dxa" w:w="1828"/>
          </w:tcPr>
          <w:p>
            <w:pPr>
              <w:spacing w:after="20"/>
            </w:pPr>
            <w:r/>
            <w:r>
              <w:rPr>
                <w:sz w:val="17"/>
              </w:rPr>
              <w:t>Distribution plots</w:t>
            </w:r>
          </w:p>
        </w:tc>
        <w:tc>
          <w:tcPr>
            <w:tcW w:type="dxa" w:w="2162"/>
          </w:tcPr>
          <w:p>
            <w:pPr>
              <w:spacing w:after="20"/>
            </w:pPr>
            <w:r/>
            <w:r>
              <w:rPr>
                <w:sz w:val="17"/>
              </w:rPr>
              <w:t>Make the surgeon-clustered bootstrap the primary raw CI (Welch shown for reference); Mann–Whitney as a shift-in-distribution complement</w:t>
            </w:r>
          </w:p>
        </w:tc>
      </w:tr>
      <w:tr>
        <w:tc>
          <w:tcPr>
            <w:tcW w:type="dxa" w:w="1017"/>
            <w:shd w:val="clear" w:color="auto" w:fill="F2F5F9"/>
          </w:tcPr>
          <w:p>
            <w:pPr>
              <w:spacing w:after="20"/>
            </w:pPr>
            <w:r/>
            <w:r>
              <w:rPr>
                <w:sz w:val="17"/>
              </w:rPr>
              <w:t>Adjusted difference (primary)</w:t>
            </w:r>
          </w:p>
        </w:tc>
        <w:tc>
          <w:tcPr>
            <w:tcW w:type="dxa" w:w="3566"/>
            <w:shd w:val="clear" w:color="auto" w:fill="F2F5F9"/>
          </w:tcPr>
          <w:p>
            <w:pPr>
              <w:spacing w:after="20"/>
            </w:pPr>
            <w:r/>
            <w:r>
              <w:rPr>
                <w:sz w:val="17"/>
              </w:rPr>
              <w:t xml:space="preserve">Generalised linear mixed model, hospital as fixed effect, surgeon as random intercept (nested in hospital; crossed if Q3 shows surgeons at both sites), log link. </w:t>
            </w:r>
            <w:r>
              <w:rPr>
                <w:b/>
                <w:sz w:val="17"/>
              </w:rPr>
              <w:t>Family selection rule:</w:t>
            </w:r>
            <w:r>
              <w:rPr>
                <w:sz w:val="17"/>
              </w:rPr>
              <w:t xml:space="preserve"> if LOS is whole days with many small values, start with negative binomial; if recorded as continuous or date-time, start with gamma; choose by dispersion, residual checks and AIC, and report the other as a sensitivity</w:t>
            </w:r>
          </w:p>
        </w:tc>
        <w:tc>
          <w:tcPr>
            <w:tcW w:type="dxa" w:w="1065"/>
            <w:shd w:val="clear" w:color="auto" w:fill="F2F5F9"/>
          </w:tcPr>
          <w:p>
            <w:pPr>
              <w:spacing w:after="20"/>
            </w:pPr>
            <w:r/>
            <w:r>
              <w:rPr>
                <w:sz w:val="17"/>
              </w:rPr>
              <w:t>Correct mean–variance structure; random effects approximately normal</w:t>
            </w:r>
          </w:p>
        </w:tc>
        <w:tc>
          <w:tcPr>
            <w:tcW w:type="dxa" w:w="1828"/>
            <w:shd w:val="clear" w:color="auto" w:fill="F2F5F9"/>
          </w:tcPr>
          <w:p>
            <w:pPr>
              <w:spacing w:after="20"/>
            </w:pPr>
            <w:r/>
            <w:r>
              <w:rPr>
                <w:sz w:val="17"/>
              </w:rPr>
              <w:t>Residual and Q-Q plots; dispersion; compare negative binomial and gamma fits (Poisson only as a dispersion check); influence diagnostics</w:t>
            </w:r>
          </w:p>
        </w:tc>
        <w:tc>
          <w:tcPr>
            <w:tcW w:type="dxa" w:w="2162"/>
            <w:shd w:val="clear" w:color="auto" w:fill="F2F5F9"/>
          </w:tcPr>
          <w:p>
            <w:pPr>
              <w:spacing w:after="20"/>
            </w:pPr>
            <w:r/>
            <w:r>
              <w:rPr>
                <w:sz w:val="17"/>
              </w:rPr>
              <w:t>Linear regression on log(LOS) (changes the estimand to a geometric mean ratio); OLS with cluster-robust SEs by surgeon; quantile regression for the median</w:t>
            </w:r>
          </w:p>
        </w:tc>
      </w:tr>
      <w:tr>
        <w:tc>
          <w:tcPr>
            <w:tcW w:type="dxa" w:w="1017"/>
          </w:tcPr>
          <w:p>
            <w:pPr>
              <w:spacing w:after="20"/>
            </w:pPr>
            <w:r/>
            <w:r>
              <w:rPr>
                <w:sz w:val="17"/>
              </w:rPr>
              <w:t>Case-mix balance</w:t>
            </w:r>
          </w:p>
        </w:tc>
        <w:tc>
          <w:tcPr>
            <w:tcW w:type="dxa" w:w="3566"/>
          </w:tcPr>
          <w:p>
            <w:pPr>
              <w:spacing w:after="20"/>
            </w:pPr>
            <w:r/>
            <w:r>
              <w:rPr>
                <w:sz w:val="17"/>
              </w:rPr>
              <w:t>Standardised mean differences between sites on all covariates</w:t>
            </w:r>
          </w:p>
        </w:tc>
        <w:tc>
          <w:tcPr>
            <w:tcW w:type="dxa" w:w="1065"/>
          </w:tcPr>
          <w:p>
            <w:pPr>
              <w:spacing w:after="20"/>
            </w:pPr>
            <w:r/>
            <w:r>
              <w:rPr>
                <w:sz w:val="17"/>
              </w:rPr>
              <w:t>Overlap</w:t>
            </w:r>
          </w:p>
        </w:tc>
        <w:tc>
          <w:tcPr>
            <w:tcW w:type="dxa" w:w="1828"/>
          </w:tcPr>
          <w:p>
            <w:pPr>
              <w:spacing w:after="20"/>
            </w:pPr>
            <w:r/>
            <w:r>
              <w:rPr>
                <w:sz w:val="17"/>
              </w:rPr>
              <w:t>SMD plots; check covariate overlap</w:t>
            </w:r>
          </w:p>
        </w:tc>
        <w:tc>
          <w:tcPr>
            <w:tcW w:type="dxa" w:w="2162"/>
          </w:tcPr>
          <w:p>
            <w:pPr>
              <w:spacing w:after="20"/>
            </w:pPr>
            <w:r/>
            <w:r>
              <w:rPr>
                <w:sz w:val="17"/>
              </w:rPr>
              <w:t>Restrict to the region of overlap; propensity weighting as a sensitivity method</w:t>
            </w:r>
          </w:p>
        </w:tc>
      </w:tr>
      <w:tr>
        <w:tc>
          <w:tcPr>
            <w:tcW w:type="dxa" w:w="1017"/>
            <w:shd w:val="clear" w:color="auto" w:fill="F2F5F9"/>
          </w:tcPr>
          <w:p>
            <w:pPr>
              <w:spacing w:after="20"/>
            </w:pPr>
            <w:r/>
            <w:r>
              <w:rPr>
                <w:sz w:val="17"/>
              </w:rPr>
              <w:t>Where variation sits</w:t>
            </w:r>
          </w:p>
        </w:tc>
        <w:tc>
          <w:tcPr>
            <w:tcW w:type="dxa" w:w="3566"/>
            <w:shd w:val="clear" w:color="auto" w:fill="F2F5F9"/>
          </w:tcPr>
          <w:p>
            <w:pPr>
              <w:spacing w:after="20"/>
            </w:pPr>
            <w:r/>
            <w:r>
              <w:rPr>
                <w:sz w:val="17"/>
              </w:rPr>
              <w:t xml:space="preserve">Between-surgeon variance within the model, and a descriptive per-surgeon table. With only two hospitals, a between-hospital variance component is </w:t>
            </w:r>
            <w:r>
              <w:rPr>
                <w:b/>
                <w:sz w:val="17"/>
              </w:rPr>
              <w:t>not</w:t>
            </w:r>
            <w:r>
              <w:rPr>
                <w:sz w:val="17"/>
              </w:rPr>
              <w:t xml:space="preserve"> estimable; the hospital contrast is a single fixed effect</w:t>
            </w:r>
          </w:p>
        </w:tc>
        <w:tc>
          <w:tcPr>
            <w:tcW w:type="dxa" w:w="1065"/>
            <w:shd w:val="clear" w:color="auto" w:fill="F2F5F9"/>
          </w:tcPr>
          <w:p>
            <w:pPr>
              <w:spacing w:after="20"/>
            </w:pPr>
            <w:r/>
            <w:r>
              <w:rPr>
                <w:sz w:val="17"/>
              </w:rPr>
              <w:t>Enough surgeons</w:t>
            </w:r>
          </w:p>
        </w:tc>
        <w:tc>
          <w:tcPr>
            <w:tcW w:type="dxa" w:w="1828"/>
            <w:shd w:val="clear" w:color="auto" w:fill="F2F5F9"/>
          </w:tcPr>
          <w:p>
            <w:pPr>
              <w:spacing w:after="20"/>
            </w:pPr>
            <w:r/>
            <w:r>
              <w:rPr>
                <w:b/>
                <w:sz w:val="17"/>
              </w:rPr>
              <w:t>Minimum rule:</w:t>
            </w:r>
            <w:r>
              <w:rPr>
                <w:sz w:val="17"/>
              </w:rPr>
              <w:t xml:space="preserve"> if fewer than about 8–10 surgeons per site [Assumed rule of thumb, to confirm with a statistician], drop the random effect and use surgeon-clustered robust SEs plus the descriptive table</w:t>
            </w:r>
          </w:p>
        </w:tc>
        <w:tc>
          <w:tcPr>
            <w:tcW w:type="dxa" w:w="2162"/>
            <w:shd w:val="clear" w:color="auto" w:fill="F2F5F9"/>
          </w:tcPr>
          <w:p>
            <w:pPr>
              <w:spacing w:after="20"/>
            </w:pPr>
            <w:r/>
            <w:r>
              <w:rPr>
                <w:sz w:val="17"/>
              </w:rPr>
              <w:t>Descriptive per-surgeon table with CIs</w:t>
            </w:r>
          </w:p>
        </w:tc>
      </w:tr>
      <w:tr>
        <w:tc>
          <w:tcPr>
            <w:tcW w:type="dxa" w:w="1017"/>
          </w:tcPr>
          <w:p>
            <w:pPr>
              <w:spacing w:after="20"/>
            </w:pPr>
            <w:r/>
            <w:r>
              <w:rPr>
                <w:sz w:val="17"/>
              </w:rPr>
              <w:t>Distribution tail</w:t>
            </w:r>
          </w:p>
        </w:tc>
        <w:tc>
          <w:tcPr>
            <w:tcW w:type="dxa" w:w="3566"/>
          </w:tcPr>
          <w:p>
            <w:pPr>
              <w:spacing w:after="20"/>
            </w:pPr>
            <w:r/>
            <w:r>
              <w:rPr>
                <w:sz w:val="17"/>
              </w:rPr>
              <w:t>Compare share of prolonged stays and quantiles (median, 75th, 90th percentile)</w:t>
            </w:r>
          </w:p>
        </w:tc>
        <w:tc>
          <w:tcPr>
            <w:tcW w:type="dxa" w:w="1065"/>
          </w:tcPr>
          <w:p>
            <w:pPr>
              <w:spacing w:after="20"/>
            </w:pPr>
            <w:r/>
          </w:p>
        </w:tc>
        <w:tc>
          <w:tcPr>
            <w:tcW w:type="dxa" w:w="1828"/>
          </w:tcPr>
          <w:p>
            <w:pPr>
              <w:spacing w:after="20"/>
            </w:pPr>
            <w:r/>
          </w:p>
        </w:tc>
        <w:tc>
          <w:tcPr>
            <w:tcW w:type="dxa" w:w="2162"/>
          </w:tcPr>
          <w:p>
            <w:pPr>
              <w:spacing w:after="20"/>
            </w:pPr>
            <w:r/>
            <w:r>
              <w:rPr>
                <w:sz w:val="17"/>
              </w:rPr>
              <w:t>Quantile regression</w:t>
            </w:r>
          </w:p>
        </w:tc>
      </w:tr>
      <w:tr>
        <w:tc>
          <w:tcPr>
            <w:tcW w:type="dxa" w:w="1017"/>
            <w:shd w:val="clear" w:color="auto" w:fill="F2F5F9"/>
          </w:tcPr>
          <w:p>
            <w:pPr>
              <w:spacing w:after="20"/>
            </w:pPr>
            <w:r/>
            <w:r>
              <w:rPr>
                <w:sz w:val="17"/>
              </w:rPr>
              <w:t>Unmeasured confounding</w:t>
            </w:r>
          </w:p>
        </w:tc>
        <w:tc>
          <w:tcPr>
            <w:tcW w:type="dxa" w:w="3566"/>
            <w:shd w:val="clear" w:color="auto" w:fill="F2F5F9"/>
          </w:tcPr>
          <w:p>
            <w:pPr>
              <w:spacing w:after="20"/>
            </w:pPr>
            <w:r/>
            <w:r>
              <w:rPr>
                <w:sz w:val="17"/>
              </w:rPr>
              <w:t>Bias analysis: E-value applied to the ratio of means (approximate, treating it as a risk-ratio-scale quantity, with the approximation stated), or a simple benchmark against the strongest observed covariate</w:t>
            </w:r>
          </w:p>
        </w:tc>
        <w:tc>
          <w:tcPr>
            <w:tcW w:type="dxa" w:w="1065"/>
            <w:shd w:val="clear" w:color="auto" w:fill="F2F5F9"/>
          </w:tcPr>
          <w:p>
            <w:pPr>
              <w:spacing w:after="20"/>
            </w:pPr>
            <w:r/>
          </w:p>
        </w:tc>
        <w:tc>
          <w:tcPr>
            <w:tcW w:type="dxa" w:w="1828"/>
            <w:shd w:val="clear" w:color="auto" w:fill="F2F5F9"/>
          </w:tcPr>
          <w:p>
            <w:pPr>
              <w:spacing w:after="20"/>
            </w:pPr>
            <w:r/>
          </w:p>
        </w:tc>
        <w:tc>
          <w:tcPr>
            <w:tcW w:type="dxa" w:w="2162"/>
            <w:shd w:val="clear" w:color="auto" w:fill="F2F5F9"/>
          </w:tcPr>
          <w:p>
            <w:pPr>
              <w:spacing w:after="20"/>
            </w:pPr>
            <w:r/>
            <w:r>
              <w:rPr>
                <w:sz w:val="17"/>
              </w:rPr>
              <w:t>State the strength of hidden confounder required to erase the gap</w:t>
            </w:r>
          </w:p>
        </w:tc>
      </w:tr>
    </w:tbl>
    <w:p>
      <w:pPr>
        <w:spacing w:after="40"/>
      </w:pPr>
    </w:p>
    <w:p>
      <w:r>
        <w:rPr>
          <w:b/>
        </w:rPr>
        <w:t>Effect sizes and CIs.</w:t>
      </w:r>
      <w:r>
        <w:rPr/>
        <w:t xml:space="preserve"> Report in days, as a ratio, and as a standardised effect, each with a 95% CI, before any p-value. Convert to bed-days per year associated with the gap at B.</w:t>
      </w:r>
    </w:p>
    <w:p>
      <w:r>
        <w:rPr>
          <w:b/>
        </w:rPr>
        <w:t>Power / MDE.</w:t>
      </w:r>
      <w:r>
        <w:rPr/>
        <w:t xml:space="preserve"> The sample sizes are fixed (n₁ ≈ 1,100 and n₂ ≈ 800, total 1,900). For a two-group comparison of means with α = 0.05 and 80% power, MDE ≈ 2.8·σ·√(1/n₁ + 1/n₂). With the stated sample sizes this evaluates to </w:t>
      </w:r>
      <w:r>
        <w:rPr>
          <w:b/>
        </w:rPr>
        <w:t>about 0.13 standard deviations of LOS</w:t>
      </w:r>
      <w:r>
        <w:rPr/>
        <w:t xml:space="preserve"> (computed with a script from the brief's counts; ignores surgeon clustering and covariate adjustment). Clustering by surgeon enlarges this by the design effect 1 + (m − 1)·ICC, where m is mean cases per surgeon and ICC is the intra-surgeon correlation; neither is known yet. Covariate adjustment reduces it. Convert to days once σ is observed in the data. Because the question is "how large", the analysis is judged by CI width more than by power. Plan a simulation on the real data structure once surgeon counts are known.</w:t>
      </w:r>
    </w:p>
    <w:p>
      <w:r>
        <w:rPr>
          <w:b/>
        </w:rPr>
        <w:t>Multiple testing and pre-registration.</w:t>
      </w:r>
      <w:r>
        <w:rPr/>
        <w:t xml:space="preserve"> One primary hypothesis (adjusted difference, all eligible cases). All subgroup analyses (by ASA grade, age band, sex, surgeon, year) are </w:t>
      </w:r>
      <w:r>
        <w:rPr>
          <w:b/>
        </w:rPr>
        <w:t>exploratory</w:t>
      </w:r>
      <w:r>
        <w:rPr/>
        <w:t>, reported with Benjamini–Hochberg control and labelled as such. Write the analysis plan and covariate list into a dated protocol before outcome data are examined.</w:t>
      </w:r>
    </w:p>
    <w:p>
      <w:r>
        <w:rPr>
          <w:b/>
        </w:rPr>
        <w:t>What this can and cannot show.</w:t>
      </w:r>
    </w:p>
    <w:p>
      <w:pPr>
        <w:pStyle w:val="ListBullet"/>
        <w:spacing w:after="40"/>
        <w:ind w:left="357" w:hanging="357"/>
      </w:pPr>
      <w:r>
        <w:rPr>
          <w:i/>
        </w:rPr>
        <w:t>Can show:</w:t>
      </w:r>
      <w:r>
        <w:rPr/>
        <w:t xml:space="preserve"> whether, after adjustment for recorded patient characteristics and surgeon clustering, B's mean LOS is higher than A's, the size with uncertainty, and how much variation sits at surgeon level vs hospital level.</w:t>
      </w:r>
    </w:p>
    <w:p>
      <w:pPr>
        <w:pStyle w:val="ListBullet"/>
        <w:spacing w:after="40"/>
        <w:ind w:left="357" w:hanging="357"/>
      </w:pPr>
      <w:r>
        <w:rPr>
          <w:i/>
        </w:rPr>
        <w:t>Cannot show:</w:t>
      </w:r>
      <w:r>
        <w:rPr/>
        <w:t xml:space="preserve"> that the hospital's processes </w:t>
      </w:r>
      <w:r>
        <w:rPr>
          <w:i/>
        </w:rPr>
        <w:t>cause</w:t>
      </w:r>
      <w:r>
        <w:rPr/>
        <w:t xml:space="preserve"> the gap (it could be unmeasured patient factors, referral patterns or social circumstances), which processes matter, or that a program would close it. It also cannot generalise beyond these two hospitals and years.</w:t>
      </w:r>
    </w:p>
    <w:p>
      <w:pPr>
        <w:pStyle w:val="ListBullet"/>
        <w:spacing w:after="40"/>
        <w:ind w:left="357" w:hanging="357"/>
      </w:pPr>
      <w:r>
        <w:rPr>
          <w:i/>
        </w:rPr>
        <w:t>Language:</w:t>
      </w:r>
      <w:r>
        <w:rPr/>
        <w:t xml:space="preserve"> use "is associated with", "adjusted difference", never "B causes longer stay".</w:t>
      </w:r>
    </w:p>
    <w:p>
      <w:r>
        <w:rPr>
          <w:b/>
        </w:rPr>
        <w:t>Causal diagram (text), used only to choose adjustment variables:</w:t>
      </w:r>
      <w:r>
        <w:rPr/>
        <w:t xml:space="preserve"> age, sex, comorbidity and ASA → LOS; the same variables are associated with hospital (referral and case-mix); unmeasured home support, insurance and distance → hospital choice and LOS; hospital process/staffing → complications, physiotherapy timing, discharge destination → LOS (mediators, </w:t>
      </w:r>
      <w:r>
        <w:rPr>
          <w:b/>
        </w:rPr>
        <w:t>not</w:t>
      </w:r>
      <w:r>
        <w:rPr/>
        <w:t xml:space="preserve"> adjusted); surgeon → LOS and surgeon ⊂ hospital.</w:t>
      </w:r>
    </w:p>
    <w:p>
      <w:r>
        <w:rPr>
          <w:b/>
        </w:rPr>
        <w:t>Plain-language glossary for management.</w:t>
      </w:r>
      <w:r>
        <w:rPr/>
        <w:t xml:space="preserve"> </w:t>
      </w:r>
      <w:r>
        <w:rPr>
          <w:i/>
        </w:rPr>
        <w:t>Adjusted</w:t>
      </w:r>
      <w:r>
        <w:rPr/>
        <w:t xml:space="preserve"> means comparing like with like (similar age, health and ASA grade). </w:t>
      </w:r>
      <w:r>
        <w:rPr>
          <w:i/>
        </w:rPr>
        <w:t>Confidence interval</w:t>
      </w:r>
      <w:r>
        <w:rPr/>
        <w:t xml:space="preserve"> is the range of gaps consistent with the data. </w:t>
      </w:r>
      <w:r>
        <w:rPr>
          <w:i/>
        </w:rPr>
        <w:t>Mixed model</w:t>
      </w:r>
      <w:r>
        <w:rPr/>
        <w:t xml:space="preserve"> allows each surgeon to have their own typical stay. </w:t>
      </w:r>
      <w:r>
        <w:rPr>
          <w:i/>
        </w:rPr>
        <w:t>E-value</w:t>
      </w:r>
      <w:r>
        <w:rPr/>
        <w:t xml:space="preserve"> says how strong a hidden factor would have to be to explain the gap away. </w:t>
      </w:r>
      <w:r>
        <w:rPr>
          <w:i/>
        </w:rPr>
        <w:t>BH correction</w:t>
      </w:r>
      <w:r>
        <w:rPr/>
        <w:t xml:space="preserve"> guards against finding false patterns when many subgroups are examined.</w:t>
      </w:r>
    </w:p>
    <w:p>
      <w:pPr>
        <w:pStyle w:val="Heading2"/>
      </w:pPr>
      <w:r>
        <w:rPr/>
        <w:t>15. Robustness &amp; Sensitivity Tests</w:t>
      </w:r>
    </w:p>
    <w:tbl>
      <w:tblPr>
        <w:tblStyle w:val="TableGrid"/>
        <w:tblW w:type="auto" w:w="0"/>
        <w:jc w:val="center"/>
        <w:tblLayout w:type="fixed"/>
        <w:tblLook w:firstColumn="1" w:firstRow="1" w:lastColumn="0" w:lastRow="0" w:noHBand="0" w:noVBand="1" w:val="04A0"/>
        <w:tblLayout w:type="fixed"/>
      </w:tblPr>
      <w:tblGrid>
        <w:gridCol w:w="5479"/>
        <w:gridCol w:w="4159"/>
      </w:tblGrid>
      <w:tr>
        <w:trPr>
          <w:tblHeader w:val="true"/>
        </w:trPr>
        <w:tc>
          <w:tcPr>
            <w:tcW w:type="dxa" w:w="5479"/>
            <w:shd w:val="clear" w:color="auto" w:fill="1F3A5F"/>
          </w:tcPr>
          <w:p>
            <w:r/>
            <w:r>
              <w:rPr>
                <w:b/>
                <w:color w:val="FFFFFF"/>
                <w:sz w:val="19"/>
              </w:rPr>
              <w:t>Test</w:t>
            </w:r>
          </w:p>
        </w:tc>
        <w:tc>
          <w:tcPr>
            <w:tcW w:type="dxa" w:w="4159"/>
            <w:shd w:val="clear" w:color="auto" w:fill="1F3A5F"/>
          </w:tcPr>
          <w:p>
            <w:r/>
            <w:r>
              <w:rPr>
                <w:b/>
                <w:color w:val="FFFFFF"/>
                <w:sz w:val="19"/>
              </w:rPr>
              <w:t>Purpose</w:t>
            </w:r>
          </w:p>
        </w:tc>
      </w:tr>
      <w:tr>
        <w:tc>
          <w:tcPr>
            <w:tcW w:type="dxa" w:w="5479"/>
          </w:tcPr>
          <w:p>
            <w:pPr>
              <w:spacing w:after="20"/>
            </w:pPr>
            <w:r/>
            <w:r>
              <w:rPr>
                <w:sz w:val="19"/>
              </w:rPr>
              <w:t>Post-operative LOS instead of admission-to-discharge</w:t>
            </w:r>
          </w:p>
        </w:tc>
        <w:tc>
          <w:tcPr>
            <w:tcW w:type="dxa" w:w="4159"/>
          </w:tcPr>
          <w:p>
            <w:pPr>
              <w:spacing w:after="20"/>
            </w:pPr>
            <w:r/>
            <w:r>
              <w:rPr>
                <w:sz w:val="19"/>
              </w:rPr>
              <w:t>Removes admission-timing practice differences</w:t>
            </w:r>
          </w:p>
        </w:tc>
      </w:tr>
      <w:tr>
        <w:tc>
          <w:tcPr>
            <w:tcW w:type="dxa" w:w="5479"/>
            <w:shd w:val="clear" w:color="auto" w:fill="F2F5F9"/>
          </w:tcPr>
          <w:p>
            <w:pPr>
              <w:spacing w:after="20"/>
            </w:pPr>
            <w:r/>
            <w:r>
              <w:rPr>
                <w:sz w:val="19"/>
              </w:rPr>
              <w:t>Exclude or winsorise the longest stays; also analyse log(LOS)</w:t>
            </w:r>
          </w:p>
        </w:tc>
        <w:tc>
          <w:tcPr>
            <w:tcW w:type="dxa" w:w="4159"/>
            <w:shd w:val="clear" w:color="auto" w:fill="F2F5F9"/>
          </w:tcPr>
          <w:p>
            <w:pPr>
              <w:spacing w:after="20"/>
            </w:pPr>
            <w:r/>
            <w:r>
              <w:rPr>
                <w:sz w:val="19"/>
              </w:rPr>
              <w:t>Check that a few outliers do not drive the mean</w:t>
            </w:r>
          </w:p>
        </w:tc>
      </w:tr>
      <w:tr>
        <w:tc>
          <w:tcPr>
            <w:tcW w:type="dxa" w:w="5479"/>
          </w:tcPr>
          <w:p>
            <w:pPr>
              <w:spacing w:after="20"/>
            </w:pPr>
            <w:r/>
            <w:r>
              <w:rPr>
                <w:sz w:val="19"/>
              </w:rPr>
              <w:t>Complete-case vs multiple-imputation</w:t>
            </w:r>
          </w:p>
        </w:tc>
        <w:tc>
          <w:tcPr>
            <w:tcW w:type="dxa" w:w="4159"/>
          </w:tcPr>
          <w:p>
            <w:pPr>
              <w:spacing w:after="20"/>
            </w:pPr>
            <w:r/>
            <w:r>
              <w:rPr>
                <w:sz w:val="19"/>
              </w:rPr>
              <w:t>Missing-data sensitivity</w:t>
            </w:r>
          </w:p>
        </w:tc>
      </w:tr>
      <w:tr>
        <w:tc>
          <w:tcPr>
            <w:tcW w:type="dxa" w:w="5479"/>
            <w:shd w:val="clear" w:color="auto" w:fill="F2F5F9"/>
          </w:tcPr>
          <w:p>
            <w:pPr>
              <w:spacing w:after="20"/>
            </w:pPr>
            <w:r/>
            <w:r>
              <w:rPr>
                <w:sz w:val="19"/>
              </w:rPr>
              <w:t>Drop comorbidity index; use individual flags</w:t>
            </w:r>
          </w:p>
        </w:tc>
        <w:tc>
          <w:tcPr>
            <w:tcW w:type="dxa" w:w="4159"/>
            <w:shd w:val="clear" w:color="auto" w:fill="F2F5F9"/>
          </w:tcPr>
          <w:p>
            <w:pPr>
              <w:spacing w:after="20"/>
            </w:pPr>
            <w:r/>
            <w:r>
              <w:rPr>
                <w:sz w:val="19"/>
              </w:rPr>
              <w:t>Coding-intensity sensitivity</w:t>
            </w:r>
          </w:p>
        </w:tc>
      </w:tr>
      <w:tr>
        <w:tc>
          <w:tcPr>
            <w:tcW w:type="dxa" w:w="5479"/>
          </w:tcPr>
          <w:p>
            <w:pPr>
              <w:spacing w:after="20"/>
            </w:pPr>
            <w:r/>
            <w:r>
              <w:rPr>
                <w:sz w:val="19"/>
              </w:rPr>
              <w:t>Leave-one-surgeon-out; surgeons present at both sites only (if any)</w:t>
            </w:r>
          </w:p>
        </w:tc>
        <w:tc>
          <w:tcPr>
            <w:tcW w:type="dxa" w:w="4159"/>
          </w:tcPr>
          <w:p>
            <w:pPr>
              <w:spacing w:after="20"/>
            </w:pPr>
            <w:r/>
            <w:r>
              <w:rPr>
                <w:sz w:val="19"/>
              </w:rPr>
              <w:t>Surgeon influence; identification of hospital vs surgeon</w:t>
            </w:r>
          </w:p>
        </w:tc>
      </w:tr>
      <w:tr>
        <w:tc>
          <w:tcPr>
            <w:tcW w:type="dxa" w:w="5479"/>
            <w:shd w:val="clear" w:color="auto" w:fill="F2F5F9"/>
          </w:tcPr>
          <w:p>
            <w:pPr>
              <w:spacing w:after="20"/>
            </w:pPr>
            <w:r/>
            <w:r>
              <w:rPr>
                <w:sz w:val="19"/>
              </w:rPr>
              <w:t>Year 1 vs year 2 estimates</w:t>
            </w:r>
          </w:p>
        </w:tc>
        <w:tc>
          <w:tcPr>
            <w:tcW w:type="dxa" w:w="4159"/>
            <w:shd w:val="clear" w:color="auto" w:fill="F2F5F9"/>
          </w:tcPr>
          <w:p>
            <w:pPr>
              <w:spacing w:after="20"/>
            </w:pPr>
            <w:r/>
            <w:r>
              <w:rPr>
                <w:sz w:val="19"/>
              </w:rPr>
              <w:t>Stability over time</w:t>
            </w:r>
          </w:p>
        </w:tc>
      </w:tr>
      <w:tr>
        <w:tc>
          <w:tcPr>
            <w:tcW w:type="dxa" w:w="5479"/>
          </w:tcPr>
          <w:p>
            <w:pPr>
              <w:spacing w:after="20"/>
            </w:pPr>
            <w:r/>
            <w:r>
              <w:rPr>
                <w:sz w:val="19"/>
              </w:rPr>
              <w:t>Add or remove deaths and transfers</w:t>
            </w:r>
          </w:p>
        </w:tc>
        <w:tc>
          <w:tcPr>
            <w:tcW w:type="dxa" w:w="4159"/>
          </w:tcPr>
          <w:p>
            <w:pPr>
              <w:spacing w:after="20"/>
            </w:pPr>
            <w:r/>
            <w:r>
              <w:rPr>
                <w:sz w:val="19"/>
              </w:rPr>
              <w:t>Informative exclusion</w:t>
            </w:r>
          </w:p>
        </w:tc>
      </w:tr>
      <w:tr>
        <w:tc>
          <w:tcPr>
            <w:tcW w:type="dxa" w:w="5479"/>
            <w:shd w:val="clear" w:color="auto" w:fill="F2F5F9"/>
          </w:tcPr>
          <w:p>
            <w:pPr>
              <w:spacing w:after="20"/>
            </w:pPr>
            <w:r/>
            <w:r>
              <w:rPr>
                <w:sz w:val="19"/>
              </w:rPr>
              <w:t>Propensity-weighted or matched comparison</w:t>
            </w:r>
          </w:p>
        </w:tc>
        <w:tc>
          <w:tcPr>
            <w:tcW w:type="dxa" w:w="4159"/>
            <w:shd w:val="clear" w:color="auto" w:fill="F2F5F9"/>
          </w:tcPr>
          <w:p>
            <w:pPr>
              <w:spacing w:after="20"/>
            </w:pPr>
            <w:r/>
            <w:r>
              <w:rPr>
                <w:sz w:val="19"/>
              </w:rPr>
              <w:t>Alternative adjustment strategy</w:t>
            </w:r>
          </w:p>
        </w:tc>
      </w:tr>
      <w:tr>
        <w:tc>
          <w:tcPr>
            <w:tcW w:type="dxa" w:w="5479"/>
          </w:tcPr>
          <w:p>
            <w:pPr>
              <w:spacing w:after="20"/>
            </w:pPr>
            <w:r/>
            <w:r>
              <w:rPr>
                <w:sz w:val="19"/>
              </w:rPr>
              <w:t>E-value for unmeasured confounding</w:t>
            </w:r>
          </w:p>
        </w:tc>
        <w:tc>
          <w:tcPr>
            <w:tcW w:type="dxa" w:w="4159"/>
          </w:tcPr>
          <w:p>
            <w:pPr>
              <w:spacing w:after="20"/>
            </w:pPr>
            <w:r/>
            <w:r>
              <w:rPr>
                <w:sz w:val="19"/>
              </w:rPr>
              <w:t>How strong a hidden factor would need to be</w:t>
            </w:r>
          </w:p>
        </w:tc>
      </w:tr>
      <w:tr>
        <w:tc>
          <w:tcPr>
            <w:tcW w:type="dxa" w:w="5479"/>
            <w:shd w:val="clear" w:color="auto" w:fill="F2F5F9"/>
          </w:tcPr>
          <w:p>
            <w:pPr>
              <w:spacing w:after="20"/>
            </w:pPr>
            <w:r/>
            <w:r>
              <w:rPr>
                <w:sz w:val="19"/>
              </w:rPr>
              <w:t>Subgroup estimates (age band, sex, ASA grade; payer type and urban/rural residence if available)</w:t>
            </w:r>
          </w:p>
        </w:tc>
        <w:tc>
          <w:tcPr>
            <w:tcW w:type="dxa" w:w="4159"/>
            <w:shd w:val="clear" w:color="auto" w:fill="F2F5F9"/>
          </w:tcPr>
          <w:p>
            <w:pPr>
              <w:spacing w:after="20"/>
            </w:pPr>
            <w:r/>
            <w:r>
              <w:rPr>
                <w:sz w:val="19"/>
              </w:rPr>
              <w:t>Exploratory; check for effect modification and equity patterns, interpreted cautiously</w:t>
            </w:r>
          </w:p>
        </w:tc>
      </w:tr>
    </w:tbl>
    <w:p>
      <w:pPr>
        <w:spacing w:after="40"/>
      </w:pPr>
    </w:p>
    <w:p>
      <w:pPr>
        <w:pStyle w:val="Heading2"/>
      </w:pPr>
      <w:r>
        <w:rPr/>
        <w:t>17. Reporting Handoff (no model deployment)</w:t>
      </w:r>
    </w:p>
    <w:p>
      <w:pPr>
        <w:pStyle w:val="ListBullet"/>
        <w:spacing w:after="40"/>
        <w:ind w:left="357" w:hanging="357"/>
      </w:pPr>
      <w:r>
        <w:rPr/>
        <w:t>Deliverable: a short written report with a one-page management summary, a forest-style chart of raw and adjusted differences, the sensitivity table, and a data and methods appendix.</w:t>
      </w:r>
    </w:p>
    <w:p>
      <w:pPr>
        <w:pStyle w:val="ListBullet"/>
        <w:spacing w:after="40"/>
        <w:ind w:left="357" w:hanging="357"/>
      </w:pPr>
      <w:r>
        <w:rPr/>
        <w:t>Reproducibility: version-controlled analysis code, fixed random seeds for bootstrap, a data dictionary, and a log of exclusions. Run inside the client environment.</w:t>
      </w:r>
    </w:p>
    <w:p>
      <w:pPr>
        <w:pStyle w:val="ListBullet"/>
        <w:spacing w:after="40"/>
        <w:ind w:left="357" w:hanging="357"/>
      </w:pPr>
      <w:r>
        <w:rPr>
          <w:b/>
        </w:rPr>
        <w:t>If a program is launched:</w:t>
      </w:r>
      <w:r>
        <w:rPr/>
        <w:t xml:space="preserve"> the follow-up evaluation should be designed </w:t>
      </w:r>
      <w:r>
        <w:rPr>
          <w:i/>
        </w:rPr>
        <w:t>before</w:t>
      </w:r>
      <w:r>
        <w:rPr/>
        <w:t xml:space="preserve"> launch (see §3 A2). Recommended options are a before/after design with Hospital A as a comparison site (difference-in-differences) or a staged roll-out. This requires a separate causal plan and ethics review.</w:t>
      </w:r>
    </w:p>
    <w:p>
      <w:pPr>
        <w:pStyle w:val="ListBullet"/>
        <w:spacing w:after="40"/>
        <w:ind w:left="357" w:hanging="357"/>
      </w:pPr>
      <w:r>
        <w:rPr/>
        <w:t>Human oversight: the orthopaedic lead and management review the findings together before any decision, and the report states its limits so that results are not used to judge individual surgeons.</w:t>
      </w:r>
    </w:p>
    <w:p>
      <w:pPr>
        <w:pStyle w:val="ListBullet"/>
        <w:spacing w:after="40"/>
        <w:ind w:left="357" w:hanging="357"/>
      </w:pPr>
      <w:r>
        <w:rPr/>
        <w:t>Environment: pin software and package versions (lockfile), and store the dated protocol in the group's version-control repository, locked before outcome analysis.</w:t>
      </w:r>
    </w:p>
    <w:p>
      <w:pPr>
        <w:pStyle w:val="ListBullet"/>
        <w:spacing w:after="40"/>
        <w:ind w:left="357" w:hanging="357"/>
      </w:pPr>
      <w:r>
        <w:rPr/>
        <w:t>Governance: confirm data-protection obligations (India's Digital Personal Data Protection Act 2023 and any institutional ethics requirements) with the client's compliance team; no patient-level data leaves the client environment.</w:t>
      </w:r>
    </w:p>
    <w:p>
      <w:pPr>
        <w:pStyle w:val="Heading2"/>
      </w:pPr>
      <w:r>
        <w:rPr/>
        <w:t>18. Risks, Mitigations, Dependencies &amp; Open Decisions</w:t>
      </w:r>
    </w:p>
    <w:tbl>
      <w:tblPr>
        <w:tblStyle w:val="TableGrid"/>
        <w:tblW w:type="auto" w:w="0"/>
        <w:jc w:val="center"/>
        <w:tblLayout w:type="fixed"/>
        <w:tblLook w:firstColumn="1" w:firstRow="1" w:lastColumn="0" w:lastRow="0" w:noHBand="0" w:noVBand="1" w:val="04A0"/>
        <w:tblLayout w:type="fixed"/>
      </w:tblPr>
      <w:tblGrid>
        <w:gridCol w:w="2599"/>
        <w:gridCol w:w="1676"/>
        <w:gridCol w:w="1019"/>
        <w:gridCol w:w="2668"/>
        <w:gridCol w:w="1676"/>
      </w:tblGrid>
      <w:tr>
        <w:trPr>
          <w:tblHeader w:val="true"/>
        </w:trPr>
        <w:tc>
          <w:tcPr>
            <w:tcW w:type="dxa" w:w="2599"/>
            <w:shd w:val="clear" w:color="auto" w:fill="1F3A5F"/>
          </w:tcPr>
          <w:p>
            <w:r/>
            <w:r>
              <w:rPr>
                <w:b/>
                <w:color w:val="FFFFFF"/>
                <w:sz w:val="17"/>
              </w:rPr>
              <w:t>Risk</w:t>
            </w:r>
          </w:p>
        </w:tc>
        <w:tc>
          <w:tcPr>
            <w:tcW w:type="dxa" w:w="1676"/>
            <w:shd w:val="clear" w:color="auto" w:fill="1F3A5F"/>
          </w:tcPr>
          <w:p>
            <w:r/>
            <w:r>
              <w:rPr>
                <w:b/>
                <w:color w:val="FFFFFF"/>
                <w:sz w:val="17"/>
              </w:rPr>
              <w:t>Likelihood</w:t>
            </w:r>
          </w:p>
        </w:tc>
        <w:tc>
          <w:tcPr>
            <w:tcW w:type="dxa" w:w="1019"/>
            <w:shd w:val="clear" w:color="auto" w:fill="1F3A5F"/>
          </w:tcPr>
          <w:p>
            <w:r/>
            <w:r>
              <w:rPr>
                <w:b/>
                <w:color w:val="FFFFFF"/>
                <w:sz w:val="17"/>
              </w:rPr>
              <w:t>Impact</w:t>
            </w:r>
          </w:p>
        </w:tc>
        <w:tc>
          <w:tcPr>
            <w:tcW w:type="dxa" w:w="2668"/>
            <w:shd w:val="clear" w:color="auto" w:fill="1F3A5F"/>
          </w:tcPr>
          <w:p>
            <w:r/>
            <w:r>
              <w:rPr>
                <w:b/>
                <w:color w:val="FFFFFF"/>
                <w:sz w:val="17"/>
              </w:rPr>
              <w:t>Mitigation</w:t>
            </w:r>
          </w:p>
        </w:tc>
        <w:tc>
          <w:tcPr>
            <w:tcW w:type="dxa" w:w="1676"/>
            <w:shd w:val="clear" w:color="auto" w:fill="1F3A5F"/>
          </w:tcPr>
          <w:p>
            <w:r/>
            <w:r>
              <w:rPr>
                <w:b/>
                <w:color w:val="FFFFFF"/>
                <w:sz w:val="17"/>
              </w:rPr>
              <w:t>Owner</w:t>
            </w:r>
          </w:p>
        </w:tc>
      </w:tr>
      <w:tr>
        <w:tc>
          <w:tcPr>
            <w:tcW w:type="dxa" w:w="2599"/>
          </w:tcPr>
          <w:p>
            <w:pPr>
              <w:spacing w:after="20"/>
            </w:pPr>
            <w:r/>
            <w:r>
              <w:rPr>
                <w:sz w:val="17"/>
              </w:rPr>
              <w:t>LOS defined differently at each site</w:t>
            </w:r>
          </w:p>
        </w:tc>
        <w:tc>
          <w:tcPr>
            <w:tcW w:type="dxa" w:w="1676"/>
          </w:tcPr>
          <w:p>
            <w:pPr>
              <w:spacing w:after="20"/>
            </w:pPr>
            <w:r/>
            <w:r>
              <w:rPr>
                <w:sz w:val="17"/>
              </w:rPr>
              <w:t>Medium</w:t>
            </w:r>
          </w:p>
        </w:tc>
        <w:tc>
          <w:tcPr>
            <w:tcW w:type="dxa" w:w="1019"/>
          </w:tcPr>
          <w:p>
            <w:pPr>
              <w:spacing w:after="20"/>
            </w:pPr>
            <w:r/>
            <w:r>
              <w:rPr>
                <w:sz w:val="17"/>
              </w:rPr>
              <w:t>High</w:t>
            </w:r>
          </w:p>
        </w:tc>
        <w:tc>
          <w:tcPr>
            <w:tcW w:type="dxa" w:w="2668"/>
          </w:tcPr>
          <w:p>
            <w:pPr>
              <w:spacing w:after="20"/>
            </w:pPr>
            <w:r/>
            <w:r>
              <w:rPr>
                <w:sz w:val="17"/>
              </w:rPr>
              <w:t>Resolve in Discovery; use post-operative LOS</w:t>
            </w:r>
          </w:p>
        </w:tc>
        <w:tc>
          <w:tcPr>
            <w:tcW w:type="dxa" w:w="1676"/>
          </w:tcPr>
          <w:p>
            <w:pPr>
              <w:spacing w:after="20"/>
            </w:pPr>
            <w:r/>
            <w:r>
              <w:rPr>
                <w:sz w:val="17"/>
              </w:rPr>
              <w:t>HIS/IT</w:t>
            </w:r>
          </w:p>
        </w:tc>
      </w:tr>
      <w:tr>
        <w:tc>
          <w:tcPr>
            <w:tcW w:type="dxa" w:w="2599"/>
            <w:shd w:val="clear" w:color="auto" w:fill="F2F5F9"/>
          </w:tcPr>
          <w:p>
            <w:pPr>
              <w:spacing w:after="20"/>
            </w:pPr>
            <w:r/>
            <w:r>
              <w:rPr>
                <w:sz w:val="17"/>
              </w:rPr>
              <w:t>Unmeasured case-mix drivers explain the gap</w:t>
            </w:r>
          </w:p>
        </w:tc>
        <w:tc>
          <w:tcPr>
            <w:tcW w:type="dxa" w:w="1676"/>
            <w:shd w:val="clear" w:color="auto" w:fill="F2F5F9"/>
          </w:tcPr>
          <w:p>
            <w:pPr>
              <w:spacing w:after="20"/>
            </w:pPr>
            <w:r/>
            <w:r>
              <w:rPr>
                <w:sz w:val="17"/>
              </w:rPr>
              <w:t>Medium</w:t>
            </w:r>
          </w:p>
        </w:tc>
        <w:tc>
          <w:tcPr>
            <w:tcW w:type="dxa" w:w="1019"/>
            <w:shd w:val="clear" w:color="auto" w:fill="F2F5F9"/>
          </w:tcPr>
          <w:p>
            <w:pPr>
              <w:spacing w:after="20"/>
            </w:pPr>
            <w:r/>
            <w:r>
              <w:rPr>
                <w:sz w:val="17"/>
              </w:rPr>
              <w:t>High</w:t>
            </w:r>
          </w:p>
        </w:tc>
        <w:tc>
          <w:tcPr>
            <w:tcW w:type="dxa" w:w="2668"/>
            <w:shd w:val="clear" w:color="auto" w:fill="F2F5F9"/>
          </w:tcPr>
          <w:p>
            <w:pPr>
              <w:spacing w:after="20"/>
            </w:pPr>
            <w:r/>
            <w:r>
              <w:rPr>
                <w:sz w:val="17"/>
              </w:rPr>
              <w:t>Request additional fields; E-value; wording of conclusions</w:t>
            </w:r>
          </w:p>
        </w:tc>
        <w:tc>
          <w:tcPr>
            <w:tcW w:type="dxa" w:w="1676"/>
            <w:shd w:val="clear" w:color="auto" w:fill="F2F5F9"/>
          </w:tcPr>
          <w:p>
            <w:pPr>
              <w:spacing w:after="20"/>
            </w:pPr>
            <w:r/>
            <w:r>
              <w:rPr>
                <w:sz w:val="17"/>
              </w:rPr>
              <w:t>Analyst</w:t>
            </w:r>
          </w:p>
        </w:tc>
      </w:tr>
      <w:tr>
        <w:tc>
          <w:tcPr>
            <w:tcW w:type="dxa" w:w="2599"/>
          </w:tcPr>
          <w:p>
            <w:pPr>
              <w:spacing w:after="20"/>
            </w:pPr>
            <w:r/>
            <w:r>
              <w:rPr>
                <w:sz w:val="17"/>
              </w:rPr>
              <w:t>Surgeons do not overlap across sites</w:t>
            </w:r>
          </w:p>
        </w:tc>
        <w:tc>
          <w:tcPr>
            <w:tcW w:type="dxa" w:w="1676"/>
          </w:tcPr>
          <w:p>
            <w:pPr>
              <w:spacing w:after="20"/>
            </w:pPr>
            <w:r/>
            <w:r>
              <w:rPr>
                <w:sz w:val="17"/>
              </w:rPr>
              <w:t>Medium</w:t>
            </w:r>
          </w:p>
        </w:tc>
        <w:tc>
          <w:tcPr>
            <w:tcW w:type="dxa" w:w="1019"/>
          </w:tcPr>
          <w:p>
            <w:pPr>
              <w:spacing w:after="20"/>
            </w:pPr>
            <w:r/>
            <w:r>
              <w:rPr>
                <w:sz w:val="17"/>
              </w:rPr>
              <w:t>Medium</w:t>
            </w:r>
          </w:p>
        </w:tc>
        <w:tc>
          <w:tcPr>
            <w:tcW w:type="dxa" w:w="2668"/>
          </w:tcPr>
          <w:p>
            <w:pPr>
              <w:spacing w:after="20"/>
            </w:pPr>
            <w:r/>
            <w:r>
              <w:rPr>
                <w:sz w:val="17"/>
              </w:rPr>
              <w:t>Report as a limitation; do not claim to separate</w:t>
            </w:r>
          </w:p>
        </w:tc>
        <w:tc>
          <w:tcPr>
            <w:tcW w:type="dxa" w:w="1676"/>
          </w:tcPr>
          <w:p>
            <w:pPr>
              <w:spacing w:after="20"/>
            </w:pPr>
            <w:r/>
            <w:r>
              <w:rPr>
                <w:sz w:val="17"/>
              </w:rPr>
              <w:t>Analyst</w:t>
            </w:r>
          </w:p>
        </w:tc>
      </w:tr>
      <w:tr>
        <w:tc>
          <w:tcPr>
            <w:tcW w:type="dxa" w:w="2599"/>
            <w:shd w:val="clear" w:color="auto" w:fill="F2F5F9"/>
          </w:tcPr>
          <w:p>
            <w:pPr>
              <w:spacing w:after="20"/>
            </w:pPr>
            <w:r/>
            <w:r>
              <w:rPr>
                <w:sz w:val="17"/>
              </w:rPr>
              <w:t>Data access delayed by approvals</w:t>
            </w:r>
          </w:p>
        </w:tc>
        <w:tc>
          <w:tcPr>
            <w:tcW w:type="dxa" w:w="1676"/>
            <w:shd w:val="clear" w:color="auto" w:fill="F2F5F9"/>
          </w:tcPr>
          <w:p>
            <w:pPr>
              <w:spacing w:after="20"/>
            </w:pPr>
            <w:r/>
            <w:r>
              <w:rPr>
                <w:sz w:val="17"/>
              </w:rPr>
              <w:t>Medium</w:t>
            </w:r>
          </w:p>
        </w:tc>
        <w:tc>
          <w:tcPr>
            <w:tcW w:type="dxa" w:w="1019"/>
            <w:shd w:val="clear" w:color="auto" w:fill="F2F5F9"/>
          </w:tcPr>
          <w:p>
            <w:pPr>
              <w:spacing w:after="20"/>
            </w:pPr>
            <w:r/>
            <w:r>
              <w:rPr>
                <w:sz w:val="17"/>
              </w:rPr>
              <w:t>Medium</w:t>
            </w:r>
          </w:p>
        </w:tc>
        <w:tc>
          <w:tcPr>
            <w:tcW w:type="dxa" w:w="2668"/>
            <w:shd w:val="clear" w:color="auto" w:fill="F2F5F9"/>
          </w:tcPr>
          <w:p>
            <w:pPr>
              <w:spacing w:after="20"/>
            </w:pPr>
            <w:r/>
            <w:r>
              <w:rPr>
                <w:sz w:val="17"/>
              </w:rPr>
              <w:t>Start Q4 in week 1</w:t>
            </w:r>
          </w:p>
        </w:tc>
        <w:tc>
          <w:tcPr>
            <w:tcW w:type="dxa" w:w="1676"/>
            <w:shd w:val="clear" w:color="auto" w:fill="F2F5F9"/>
          </w:tcPr>
          <w:p>
            <w:pPr>
              <w:spacing w:after="20"/>
            </w:pPr>
            <w:r/>
            <w:r>
              <w:rPr>
                <w:sz w:val="17"/>
              </w:rPr>
              <w:t>Compliance</w:t>
            </w:r>
          </w:p>
        </w:tc>
      </w:tr>
      <w:tr>
        <w:tc>
          <w:tcPr>
            <w:tcW w:type="dxa" w:w="2599"/>
          </w:tcPr>
          <w:p>
            <w:pPr>
              <w:spacing w:after="20"/>
            </w:pPr>
            <w:r/>
            <w:r>
              <w:rPr>
                <w:sz w:val="17"/>
              </w:rPr>
              <w:t>Management reads the result as causal</w:t>
            </w:r>
          </w:p>
        </w:tc>
        <w:tc>
          <w:tcPr>
            <w:tcW w:type="dxa" w:w="1676"/>
          </w:tcPr>
          <w:p>
            <w:pPr>
              <w:spacing w:after="20"/>
            </w:pPr>
            <w:r/>
            <w:r>
              <w:rPr>
                <w:sz w:val="17"/>
              </w:rPr>
              <w:t>Medium</w:t>
            </w:r>
          </w:p>
        </w:tc>
        <w:tc>
          <w:tcPr>
            <w:tcW w:type="dxa" w:w="1019"/>
          </w:tcPr>
          <w:p>
            <w:pPr>
              <w:spacing w:after="20"/>
            </w:pPr>
            <w:r/>
            <w:r>
              <w:rPr>
                <w:sz w:val="17"/>
              </w:rPr>
              <w:t>High</w:t>
            </w:r>
          </w:p>
        </w:tc>
        <w:tc>
          <w:tcPr>
            <w:tcW w:type="dxa" w:w="2668"/>
          </w:tcPr>
          <w:p>
            <w:pPr>
              <w:spacing w:after="20"/>
            </w:pPr>
            <w:r/>
            <w:r>
              <w:rPr>
                <w:sz w:val="17"/>
              </w:rPr>
              <w:t>Explicit "can and cannot show" page</w:t>
            </w:r>
          </w:p>
        </w:tc>
        <w:tc>
          <w:tcPr>
            <w:tcW w:type="dxa" w:w="1676"/>
          </w:tcPr>
          <w:p>
            <w:pPr>
              <w:spacing w:after="20"/>
            </w:pPr>
            <w:r/>
            <w:r>
              <w:rPr>
                <w:sz w:val="17"/>
              </w:rPr>
              <w:t>Lead</w:t>
            </w:r>
          </w:p>
        </w:tc>
      </w:tr>
      <w:tr>
        <w:tc>
          <w:tcPr>
            <w:tcW w:type="dxa" w:w="2599"/>
            <w:shd w:val="clear" w:color="auto" w:fill="F2F5F9"/>
          </w:tcPr>
          <w:p>
            <w:pPr>
              <w:spacing w:after="20"/>
            </w:pPr>
            <w:r/>
            <w:r>
              <w:rPr>
                <w:sz w:val="17"/>
              </w:rPr>
              <w:t>Few surgeons make variance estimates unstable</w:t>
            </w:r>
          </w:p>
        </w:tc>
        <w:tc>
          <w:tcPr>
            <w:tcW w:type="dxa" w:w="1676"/>
            <w:shd w:val="clear" w:color="auto" w:fill="F2F5F9"/>
          </w:tcPr>
          <w:p>
            <w:pPr>
              <w:spacing w:after="20"/>
            </w:pPr>
            <w:r/>
            <w:r>
              <w:rPr>
                <w:sz w:val="17"/>
              </w:rPr>
              <w:t>Medium</w:t>
            </w:r>
          </w:p>
        </w:tc>
        <w:tc>
          <w:tcPr>
            <w:tcW w:type="dxa" w:w="1019"/>
            <w:shd w:val="clear" w:color="auto" w:fill="F2F5F9"/>
          </w:tcPr>
          <w:p>
            <w:pPr>
              <w:spacing w:after="20"/>
            </w:pPr>
            <w:r/>
            <w:r>
              <w:rPr>
                <w:sz w:val="17"/>
              </w:rPr>
              <w:t>Low</w:t>
            </w:r>
          </w:p>
        </w:tc>
        <w:tc>
          <w:tcPr>
            <w:tcW w:type="dxa" w:w="2668"/>
            <w:shd w:val="clear" w:color="auto" w:fill="F2F5F9"/>
          </w:tcPr>
          <w:p>
            <w:pPr>
              <w:spacing w:after="20"/>
            </w:pPr>
            <w:r/>
            <w:r>
              <w:rPr>
                <w:sz w:val="17"/>
              </w:rPr>
              <w:t>Descriptive per-surgeon table</w:t>
            </w:r>
          </w:p>
        </w:tc>
        <w:tc>
          <w:tcPr>
            <w:tcW w:type="dxa" w:w="1676"/>
            <w:shd w:val="clear" w:color="auto" w:fill="F2F5F9"/>
          </w:tcPr>
          <w:p>
            <w:pPr>
              <w:spacing w:after="20"/>
            </w:pPr>
            <w:r/>
            <w:r>
              <w:rPr>
                <w:sz w:val="17"/>
              </w:rPr>
              <w:t>Analyst</w:t>
            </w:r>
          </w:p>
        </w:tc>
      </w:tr>
    </w:tbl>
    <w:p>
      <w:pPr>
        <w:spacing w:after="40"/>
      </w:pPr>
    </w:p>
    <w:p>
      <w:pPr>
        <w:pStyle w:val="Heading2"/>
      </w:pPr>
      <w:r>
        <w:rPr/>
        <w:t>19. Phased Implementation Roadmap</w:t>
      </w:r>
    </w:p>
    <w:p>
      <w:r>
        <w:rPr/>
        <w:t xml:space="preserve">Efforts are </w:t>
      </w:r>
      <w:r>
        <w:rPr>
          <w:b/>
        </w:rPr>
        <w:t>provisional</w:t>
      </w:r>
      <w:r>
        <w:rPr/>
        <w:t>, since team, data readiness and approvals are unknown.</w:t>
      </w:r>
    </w:p>
    <w:tbl>
      <w:tblPr>
        <w:tblStyle w:val="TableGrid"/>
        <w:tblW w:type="auto" w:w="0"/>
        <w:jc w:val="center"/>
        <w:tblLayout w:type="fixed"/>
        <w:tblLook w:firstColumn="1" w:firstRow="1" w:lastColumn="0" w:lastRow="0" w:noHBand="0" w:noVBand="1" w:val="04A0"/>
        <w:tblLayout w:type="fixed"/>
      </w:tblPr>
      <w:tblGrid>
        <w:gridCol w:w="1324"/>
        <w:gridCol w:w="2214"/>
        <w:gridCol w:w="1324"/>
        <w:gridCol w:w="1324"/>
        <w:gridCol w:w="2017"/>
        <w:gridCol w:w="1434"/>
      </w:tblGrid>
      <w:tr>
        <w:trPr>
          <w:tblHeader w:val="true"/>
        </w:trPr>
        <w:tc>
          <w:tcPr>
            <w:tcW w:type="dxa" w:w="1324"/>
            <w:shd w:val="clear" w:color="auto" w:fill="1F3A5F"/>
          </w:tcPr>
          <w:p>
            <w:r/>
            <w:r>
              <w:rPr>
                <w:b/>
                <w:color w:val="FFFFFF"/>
                <w:sz w:val="17"/>
              </w:rPr>
              <w:t>Phase</w:t>
            </w:r>
          </w:p>
        </w:tc>
        <w:tc>
          <w:tcPr>
            <w:tcW w:type="dxa" w:w="2214"/>
            <w:shd w:val="clear" w:color="auto" w:fill="1F3A5F"/>
          </w:tcPr>
          <w:p>
            <w:r/>
            <w:r>
              <w:rPr>
                <w:b/>
                <w:color w:val="FFFFFF"/>
                <w:sz w:val="17"/>
              </w:rPr>
              <w:t>Work package</w:t>
            </w:r>
          </w:p>
        </w:tc>
        <w:tc>
          <w:tcPr>
            <w:tcW w:type="dxa" w:w="1324"/>
            <w:shd w:val="clear" w:color="auto" w:fill="1F3A5F"/>
          </w:tcPr>
          <w:p>
            <w:r/>
            <w:r>
              <w:rPr>
                <w:b/>
                <w:color w:val="FFFFFF"/>
                <w:sz w:val="17"/>
              </w:rPr>
              <w:t>Dependencies</w:t>
            </w:r>
          </w:p>
        </w:tc>
        <w:tc>
          <w:tcPr>
            <w:tcW w:type="dxa" w:w="1324"/>
            <w:shd w:val="clear" w:color="auto" w:fill="1F3A5F"/>
          </w:tcPr>
          <w:p>
            <w:r/>
            <w:r>
              <w:rPr>
                <w:b/>
                <w:color w:val="FFFFFF"/>
                <w:sz w:val="17"/>
              </w:rPr>
              <w:t>Deliverables</w:t>
            </w:r>
          </w:p>
        </w:tc>
        <w:tc>
          <w:tcPr>
            <w:tcW w:type="dxa" w:w="2017"/>
            <w:shd w:val="clear" w:color="auto" w:fill="1F3A5F"/>
          </w:tcPr>
          <w:p>
            <w:r/>
            <w:r>
              <w:rPr>
                <w:b/>
                <w:color w:val="FFFFFF"/>
                <w:sz w:val="17"/>
              </w:rPr>
              <w:t>Acceptance criteria</w:t>
            </w:r>
          </w:p>
        </w:tc>
        <w:tc>
          <w:tcPr>
            <w:tcW w:type="dxa" w:w="1434"/>
            <w:shd w:val="clear" w:color="auto" w:fill="1F3A5F"/>
          </w:tcPr>
          <w:p>
            <w:r/>
            <w:r>
              <w:rPr>
                <w:b/>
                <w:color w:val="FFFFFF"/>
                <w:sz w:val="17"/>
              </w:rPr>
              <w:t>Indicative effort (provisional)</w:t>
            </w:r>
          </w:p>
        </w:tc>
      </w:tr>
      <w:tr>
        <w:tc>
          <w:tcPr>
            <w:tcW w:type="dxa" w:w="1324"/>
          </w:tcPr>
          <w:p>
            <w:pPr>
              <w:spacing w:after="20"/>
            </w:pPr>
            <w:r/>
            <w:r>
              <w:rPr>
                <w:sz w:val="17"/>
              </w:rPr>
              <w:t>Discovery</w:t>
            </w:r>
          </w:p>
        </w:tc>
        <w:tc>
          <w:tcPr>
            <w:tcW w:type="dxa" w:w="2214"/>
          </w:tcPr>
          <w:p>
            <w:pPr>
              <w:spacing w:after="20"/>
            </w:pPr>
            <w:r/>
            <w:r>
              <w:rPr>
                <w:sz w:val="17"/>
              </w:rPr>
              <w:t>Resolve Q1–Q5; confirm data fields; obtain approvals; agree decision rule and threshold</w:t>
            </w:r>
          </w:p>
        </w:tc>
        <w:tc>
          <w:tcPr>
            <w:tcW w:type="dxa" w:w="1324"/>
          </w:tcPr>
          <w:p>
            <w:pPr>
              <w:spacing w:after="20"/>
            </w:pPr>
            <w:r/>
            <w:r>
              <w:rPr>
                <w:sz w:val="17"/>
              </w:rPr>
              <w:t>Client contacts</w:t>
            </w:r>
          </w:p>
        </w:tc>
        <w:tc>
          <w:tcPr>
            <w:tcW w:type="dxa" w:w="1324"/>
          </w:tcPr>
          <w:p>
            <w:pPr>
              <w:spacing w:after="20"/>
            </w:pPr>
            <w:r/>
            <w:r>
              <w:rPr>
                <w:sz w:val="17"/>
              </w:rPr>
              <w:t>Signed-off protocol, data dictionary</w:t>
            </w:r>
          </w:p>
        </w:tc>
        <w:tc>
          <w:tcPr>
            <w:tcW w:type="dxa" w:w="2017"/>
          </w:tcPr>
          <w:p>
            <w:pPr>
              <w:spacing w:after="20"/>
            </w:pPr>
            <w:r/>
            <w:r>
              <w:rPr>
                <w:sz w:val="17"/>
              </w:rPr>
              <w:t>Blocking questions closed; threshold T fixed; protocol dated before outcome analysis</w:t>
            </w:r>
          </w:p>
        </w:tc>
        <w:tc>
          <w:tcPr>
            <w:tcW w:type="dxa" w:w="1434"/>
          </w:tcPr>
          <w:p>
            <w:pPr>
              <w:spacing w:after="20"/>
            </w:pPr>
            <w:r/>
            <w:r>
              <w:rPr>
                <w:sz w:val="17"/>
              </w:rPr>
              <w:t>1–2 weeks of effort; elapsed time depends on approvals [provisional]</w:t>
            </w:r>
          </w:p>
        </w:tc>
      </w:tr>
      <w:tr>
        <w:tc>
          <w:tcPr>
            <w:tcW w:type="dxa" w:w="1324"/>
            <w:shd w:val="clear" w:color="auto" w:fill="F2F5F9"/>
          </w:tcPr>
          <w:p>
            <w:pPr>
              <w:spacing w:after="20"/>
            </w:pPr>
            <w:r/>
            <w:r>
              <w:rPr>
                <w:sz w:val="17"/>
              </w:rPr>
              <w:t>Data engineering</w:t>
            </w:r>
          </w:p>
        </w:tc>
        <w:tc>
          <w:tcPr>
            <w:tcW w:type="dxa" w:w="2214"/>
            <w:shd w:val="clear" w:color="auto" w:fill="F2F5F9"/>
          </w:tcPr>
          <w:p>
            <w:pPr>
              <w:spacing w:after="20"/>
            </w:pPr>
            <w:r/>
            <w:r>
              <w:rPr>
                <w:sz w:val="17"/>
              </w:rPr>
              <w:t>Extract, pseudonymise, harmonise both sites; apply cohort rules</w:t>
            </w:r>
          </w:p>
        </w:tc>
        <w:tc>
          <w:tcPr>
            <w:tcW w:type="dxa" w:w="1324"/>
            <w:shd w:val="clear" w:color="auto" w:fill="F2F5F9"/>
          </w:tcPr>
          <w:p>
            <w:pPr>
              <w:spacing w:after="20"/>
            </w:pPr>
            <w:r/>
            <w:r>
              <w:rPr>
                <w:sz w:val="17"/>
              </w:rPr>
              <w:t>Access approval</w:t>
            </w:r>
          </w:p>
        </w:tc>
        <w:tc>
          <w:tcPr>
            <w:tcW w:type="dxa" w:w="1324"/>
            <w:shd w:val="clear" w:color="auto" w:fill="F2F5F9"/>
          </w:tcPr>
          <w:p>
            <w:pPr>
              <w:spacing w:after="20"/>
            </w:pPr>
            <w:r/>
            <w:r>
              <w:rPr>
                <w:sz w:val="17"/>
              </w:rPr>
              <w:t>Analysis dataset, exclusion log</w:t>
            </w:r>
          </w:p>
        </w:tc>
        <w:tc>
          <w:tcPr>
            <w:tcW w:type="dxa" w:w="2017"/>
            <w:shd w:val="clear" w:color="auto" w:fill="F2F5F9"/>
          </w:tcPr>
          <w:p>
            <w:pPr>
              <w:spacing w:after="20"/>
            </w:pPr>
            <w:r/>
            <w:r>
              <w:rPr>
                <w:sz w:val="17"/>
              </w:rPr>
              <w:t>Counts reconcile with the stated ~1,100 and ~800</w:t>
            </w:r>
          </w:p>
        </w:tc>
        <w:tc>
          <w:tcPr>
            <w:tcW w:type="dxa" w:w="1434"/>
            <w:shd w:val="clear" w:color="auto" w:fill="F2F5F9"/>
          </w:tcPr>
          <w:p>
            <w:pPr>
              <w:spacing w:after="20"/>
            </w:pPr>
            <w:r/>
            <w:r>
              <w:rPr>
                <w:sz w:val="17"/>
              </w:rPr>
              <w:t>1 week</w:t>
            </w:r>
          </w:p>
        </w:tc>
      </w:tr>
      <w:tr>
        <w:tc>
          <w:tcPr>
            <w:tcW w:type="dxa" w:w="1324"/>
          </w:tcPr>
          <w:p>
            <w:pPr>
              <w:spacing w:after="20"/>
            </w:pPr>
            <w:r/>
            <w:r>
              <w:rPr>
                <w:sz w:val="17"/>
              </w:rPr>
              <w:t>Analysis / EDA</w:t>
            </w:r>
          </w:p>
        </w:tc>
        <w:tc>
          <w:tcPr>
            <w:tcW w:type="dxa" w:w="2214"/>
          </w:tcPr>
          <w:p>
            <w:pPr>
              <w:spacing w:after="20"/>
            </w:pPr>
            <w:r/>
            <w:r>
              <w:rPr>
                <w:sz w:val="17"/>
              </w:rPr>
              <w:t>Profile data; raw comparison; balance table; missingness</w:t>
            </w:r>
          </w:p>
        </w:tc>
        <w:tc>
          <w:tcPr>
            <w:tcW w:type="dxa" w:w="1324"/>
          </w:tcPr>
          <w:p>
            <w:pPr>
              <w:spacing w:after="20"/>
            </w:pPr>
            <w:r/>
            <w:r>
              <w:rPr>
                <w:sz w:val="17"/>
              </w:rPr>
              <w:t>Clean dataset</w:t>
            </w:r>
          </w:p>
        </w:tc>
        <w:tc>
          <w:tcPr>
            <w:tcW w:type="dxa" w:w="1324"/>
          </w:tcPr>
          <w:p>
            <w:pPr>
              <w:spacing w:after="20"/>
            </w:pPr>
            <w:r/>
            <w:r>
              <w:rPr>
                <w:sz w:val="17"/>
              </w:rPr>
              <w:t>EDA report</w:t>
            </w:r>
          </w:p>
        </w:tc>
        <w:tc>
          <w:tcPr>
            <w:tcW w:type="dxa" w:w="2017"/>
          </w:tcPr>
          <w:p>
            <w:pPr>
              <w:spacing w:after="20"/>
            </w:pPr>
            <w:r/>
            <w:r>
              <w:rPr>
                <w:sz w:val="17"/>
              </w:rPr>
              <w:t>Covariate balance and distributions reviewed</w:t>
            </w:r>
          </w:p>
        </w:tc>
        <w:tc>
          <w:tcPr>
            <w:tcW w:type="dxa" w:w="1434"/>
          </w:tcPr>
          <w:p>
            <w:pPr>
              <w:spacing w:after="20"/>
            </w:pPr>
            <w:r/>
            <w:r>
              <w:rPr>
                <w:sz w:val="17"/>
              </w:rPr>
              <w:t>1 week</w:t>
            </w:r>
          </w:p>
        </w:tc>
      </w:tr>
      <w:tr>
        <w:tc>
          <w:tcPr>
            <w:tcW w:type="dxa" w:w="1324"/>
            <w:shd w:val="clear" w:color="auto" w:fill="F2F5F9"/>
          </w:tcPr>
          <w:p>
            <w:pPr>
              <w:spacing w:after="20"/>
            </w:pPr>
            <w:r/>
            <w:r>
              <w:rPr>
                <w:sz w:val="17"/>
              </w:rPr>
              <w:t>Modelling (inference)</w:t>
            </w:r>
          </w:p>
        </w:tc>
        <w:tc>
          <w:tcPr>
            <w:tcW w:type="dxa" w:w="2214"/>
            <w:shd w:val="clear" w:color="auto" w:fill="F2F5F9"/>
          </w:tcPr>
          <w:p>
            <w:pPr>
              <w:spacing w:after="20"/>
            </w:pPr>
            <w:r/>
            <w:r>
              <w:rPr>
                <w:sz w:val="17"/>
              </w:rPr>
              <w:t>Primary mixed model; variance decomposition; fallbacks</w:t>
            </w:r>
          </w:p>
        </w:tc>
        <w:tc>
          <w:tcPr>
            <w:tcW w:type="dxa" w:w="1324"/>
            <w:shd w:val="clear" w:color="auto" w:fill="F2F5F9"/>
          </w:tcPr>
          <w:p>
            <w:pPr>
              <w:spacing w:after="20"/>
            </w:pPr>
            <w:r/>
            <w:r>
              <w:rPr>
                <w:sz w:val="17"/>
              </w:rPr>
              <w:t>EDA</w:t>
            </w:r>
          </w:p>
        </w:tc>
        <w:tc>
          <w:tcPr>
            <w:tcW w:type="dxa" w:w="1324"/>
            <w:shd w:val="clear" w:color="auto" w:fill="F2F5F9"/>
          </w:tcPr>
          <w:p>
            <w:pPr>
              <w:spacing w:after="20"/>
            </w:pPr>
            <w:r/>
            <w:r>
              <w:rPr>
                <w:sz w:val="17"/>
              </w:rPr>
              <w:t>Estimates with CIs</w:t>
            </w:r>
          </w:p>
        </w:tc>
        <w:tc>
          <w:tcPr>
            <w:tcW w:type="dxa" w:w="2017"/>
            <w:shd w:val="clear" w:color="auto" w:fill="F2F5F9"/>
          </w:tcPr>
          <w:p>
            <w:pPr>
              <w:spacing w:after="20"/>
            </w:pPr>
            <w:r/>
            <w:r>
              <w:rPr>
                <w:sz w:val="17"/>
              </w:rPr>
              <w:t>Assumption checks passed or fallback applied</w:t>
            </w:r>
          </w:p>
        </w:tc>
        <w:tc>
          <w:tcPr>
            <w:tcW w:type="dxa" w:w="1434"/>
            <w:shd w:val="clear" w:color="auto" w:fill="F2F5F9"/>
          </w:tcPr>
          <w:p>
            <w:pPr>
              <w:spacing w:after="20"/>
            </w:pPr>
            <w:r/>
            <w:r>
              <w:rPr>
                <w:sz w:val="17"/>
              </w:rPr>
              <w:t>1 week</w:t>
            </w:r>
          </w:p>
        </w:tc>
      </w:tr>
      <w:tr>
        <w:tc>
          <w:tcPr>
            <w:tcW w:type="dxa" w:w="1324"/>
          </w:tcPr>
          <w:p>
            <w:pPr>
              <w:spacing w:after="20"/>
            </w:pPr>
            <w:r/>
            <w:r>
              <w:rPr>
                <w:sz w:val="17"/>
              </w:rPr>
              <w:t>Validation (robustness)</w:t>
            </w:r>
          </w:p>
        </w:tc>
        <w:tc>
          <w:tcPr>
            <w:tcW w:type="dxa" w:w="2214"/>
          </w:tcPr>
          <w:p>
            <w:pPr>
              <w:spacing w:after="20"/>
            </w:pPr>
            <w:r/>
            <w:r>
              <w:rPr>
                <w:sz w:val="17"/>
              </w:rPr>
              <w:t>Sensitivity analyses in §15; E-value</w:t>
            </w:r>
          </w:p>
        </w:tc>
        <w:tc>
          <w:tcPr>
            <w:tcW w:type="dxa" w:w="1324"/>
          </w:tcPr>
          <w:p>
            <w:pPr>
              <w:spacing w:after="20"/>
            </w:pPr>
            <w:r/>
            <w:r>
              <w:rPr>
                <w:sz w:val="17"/>
              </w:rPr>
              <w:t>Primary model</w:t>
            </w:r>
          </w:p>
        </w:tc>
        <w:tc>
          <w:tcPr>
            <w:tcW w:type="dxa" w:w="1324"/>
          </w:tcPr>
          <w:p>
            <w:pPr>
              <w:spacing w:after="20"/>
            </w:pPr>
            <w:r/>
            <w:r>
              <w:rPr>
                <w:sz w:val="17"/>
              </w:rPr>
              <w:t>Sensitivity table</w:t>
            </w:r>
          </w:p>
        </w:tc>
        <w:tc>
          <w:tcPr>
            <w:tcW w:type="dxa" w:w="2017"/>
          </w:tcPr>
          <w:p>
            <w:pPr>
              <w:spacing w:after="20"/>
            </w:pPr>
            <w:r/>
            <w:r>
              <w:rPr>
                <w:sz w:val="17"/>
              </w:rPr>
              <w:t>Conclusion stated as stable or fragile</w:t>
            </w:r>
          </w:p>
        </w:tc>
        <w:tc>
          <w:tcPr>
            <w:tcW w:type="dxa" w:w="1434"/>
          </w:tcPr>
          <w:p>
            <w:pPr>
              <w:spacing w:after="20"/>
            </w:pPr>
            <w:r/>
            <w:r>
              <w:rPr>
                <w:sz w:val="17"/>
              </w:rPr>
              <w:t>1 week</w:t>
            </w:r>
          </w:p>
        </w:tc>
      </w:tr>
      <w:tr>
        <w:tc>
          <w:tcPr>
            <w:tcW w:type="dxa" w:w="1324"/>
            <w:shd w:val="clear" w:color="auto" w:fill="F2F5F9"/>
          </w:tcPr>
          <w:p>
            <w:pPr>
              <w:spacing w:after="20"/>
            </w:pPr>
            <w:r/>
            <w:r>
              <w:rPr>
                <w:sz w:val="17"/>
              </w:rPr>
              <w:t>Reporting</w:t>
            </w:r>
          </w:p>
        </w:tc>
        <w:tc>
          <w:tcPr>
            <w:tcW w:type="dxa" w:w="2214"/>
            <w:shd w:val="clear" w:color="auto" w:fill="F2F5F9"/>
          </w:tcPr>
          <w:p>
            <w:pPr>
              <w:spacing w:after="20"/>
            </w:pPr>
            <w:r/>
            <w:r>
              <w:rPr>
                <w:sz w:val="17"/>
              </w:rPr>
              <w:t>Management report and read-out</w:t>
            </w:r>
          </w:p>
        </w:tc>
        <w:tc>
          <w:tcPr>
            <w:tcW w:type="dxa" w:w="1324"/>
            <w:shd w:val="clear" w:color="auto" w:fill="F2F5F9"/>
          </w:tcPr>
          <w:p>
            <w:pPr>
              <w:spacing w:after="20"/>
            </w:pPr>
            <w:r/>
            <w:r>
              <w:rPr>
                <w:sz w:val="17"/>
              </w:rPr>
              <w:t>All above</w:t>
            </w:r>
          </w:p>
        </w:tc>
        <w:tc>
          <w:tcPr>
            <w:tcW w:type="dxa" w:w="1324"/>
            <w:shd w:val="clear" w:color="auto" w:fill="F2F5F9"/>
          </w:tcPr>
          <w:p>
            <w:pPr>
              <w:spacing w:after="20"/>
            </w:pPr>
            <w:r/>
            <w:r>
              <w:rPr>
                <w:sz w:val="17"/>
              </w:rPr>
              <w:t>Report and presentation</w:t>
            </w:r>
          </w:p>
        </w:tc>
        <w:tc>
          <w:tcPr>
            <w:tcW w:type="dxa" w:w="2017"/>
            <w:shd w:val="clear" w:color="auto" w:fill="F2F5F9"/>
          </w:tcPr>
          <w:p>
            <w:pPr>
              <w:spacing w:after="20"/>
            </w:pPr>
            <w:r/>
            <w:r>
              <w:rPr>
                <w:sz w:val="17"/>
              </w:rPr>
              <w:t>Reviewed by clinical lead and management</w:t>
            </w:r>
          </w:p>
        </w:tc>
        <w:tc>
          <w:tcPr>
            <w:tcW w:type="dxa" w:w="1434"/>
            <w:shd w:val="clear" w:color="auto" w:fill="F2F5F9"/>
          </w:tcPr>
          <w:p>
            <w:pPr>
              <w:spacing w:after="20"/>
            </w:pPr>
            <w:r/>
            <w:r>
              <w:rPr>
                <w:sz w:val="17"/>
              </w:rPr>
              <w:t>1 week</w:t>
            </w:r>
          </w:p>
        </w:tc>
      </w:tr>
      <w:tr>
        <w:tc>
          <w:tcPr>
            <w:tcW w:type="dxa" w:w="1324"/>
          </w:tcPr>
          <w:p>
            <w:pPr>
              <w:spacing w:after="20"/>
            </w:pPr>
            <w:r/>
            <w:r>
              <w:rPr>
                <w:sz w:val="17"/>
              </w:rPr>
              <w:t>Monitoring</w:t>
            </w:r>
          </w:p>
        </w:tc>
        <w:tc>
          <w:tcPr>
            <w:tcW w:type="dxa" w:w="2214"/>
          </w:tcPr>
          <w:p>
            <w:pPr>
              <w:spacing w:after="20"/>
            </w:pPr>
            <w:r/>
            <w:r>
              <w:rPr>
                <w:sz w:val="17"/>
              </w:rPr>
              <w:t>Optional: define post-program evaluation design</w:t>
            </w:r>
          </w:p>
        </w:tc>
        <w:tc>
          <w:tcPr>
            <w:tcW w:type="dxa" w:w="1324"/>
          </w:tcPr>
          <w:p>
            <w:pPr>
              <w:spacing w:after="20"/>
            </w:pPr>
            <w:r/>
            <w:r>
              <w:rPr>
                <w:sz w:val="17"/>
              </w:rPr>
              <w:t>Management decision</w:t>
            </w:r>
          </w:p>
        </w:tc>
        <w:tc>
          <w:tcPr>
            <w:tcW w:type="dxa" w:w="1324"/>
          </w:tcPr>
          <w:p>
            <w:pPr>
              <w:spacing w:after="20"/>
            </w:pPr>
            <w:r/>
            <w:r>
              <w:rPr>
                <w:sz w:val="17"/>
              </w:rPr>
              <w:t>Causal design note</w:t>
            </w:r>
          </w:p>
        </w:tc>
        <w:tc>
          <w:tcPr>
            <w:tcW w:type="dxa" w:w="2017"/>
          </w:tcPr>
          <w:p>
            <w:pPr>
              <w:spacing w:after="20"/>
            </w:pPr>
            <w:r/>
            <w:r>
              <w:rPr>
                <w:sz w:val="17"/>
              </w:rPr>
              <w:t>Agreed before launch</w:t>
            </w:r>
          </w:p>
        </w:tc>
        <w:tc>
          <w:tcPr>
            <w:tcW w:type="dxa" w:w="1434"/>
          </w:tcPr>
          <w:p>
            <w:pPr>
              <w:spacing w:after="20"/>
            </w:pPr>
            <w:r/>
            <w:r>
              <w:rPr>
                <w:sz w:val="17"/>
              </w:rPr>
              <w:t>Separate scope</w:t>
            </w:r>
          </w:p>
        </w:tc>
      </w:tr>
    </w:tbl>
    <w:p>
      <w:pPr>
        <w:spacing w:after="40"/>
      </w:pPr>
    </w:p>
    <w:p>
      <w:pPr>
        <w:pStyle w:val="Heading2"/>
      </w:pPr>
      <w:r>
        <w:rPr/>
        <w:t>20. Decision Log</w:t>
      </w:r>
    </w:p>
    <w:tbl>
      <w:tblPr>
        <w:tblStyle w:val="TableGrid"/>
        <w:tblW w:type="auto" w:w="0"/>
        <w:jc w:val="center"/>
        <w:tblLayout w:type="fixed"/>
        <w:tblLook w:firstColumn="1" w:firstRow="1" w:lastColumn="0" w:lastRow="0" w:noHBand="0" w:noVBand="1" w:val="04A0"/>
        <w:tblLayout w:type="fixed"/>
      </w:tblPr>
      <w:tblGrid>
        <w:gridCol w:w="762"/>
        <w:gridCol w:w="1866"/>
        <w:gridCol w:w="1505"/>
        <w:gridCol w:w="1213"/>
        <w:gridCol w:w="1493"/>
        <w:gridCol w:w="1586"/>
        <w:gridCol w:w="1213"/>
      </w:tblGrid>
      <w:tr>
        <w:trPr>
          <w:tblHeader w:val="true"/>
        </w:trPr>
        <w:tc>
          <w:tcPr>
            <w:tcW w:type="dxa" w:w="762"/>
            <w:shd w:val="clear" w:color="auto" w:fill="1F3A5F"/>
          </w:tcPr>
          <w:p>
            <w:r/>
            <w:r>
              <w:rPr>
                <w:b/>
                <w:color w:val="FFFFFF"/>
                <w:sz w:val="15"/>
              </w:rPr>
              <w:t>#</w:t>
            </w:r>
          </w:p>
        </w:tc>
        <w:tc>
          <w:tcPr>
            <w:tcW w:type="dxa" w:w="1866"/>
            <w:shd w:val="clear" w:color="auto" w:fill="1F3A5F"/>
          </w:tcPr>
          <w:p>
            <w:r/>
            <w:r>
              <w:rPr>
                <w:b/>
                <w:color w:val="FFFFFF"/>
                <w:sz w:val="15"/>
              </w:rPr>
              <w:t>Decision</w:t>
            </w:r>
          </w:p>
        </w:tc>
        <w:tc>
          <w:tcPr>
            <w:tcW w:type="dxa" w:w="1505"/>
            <w:shd w:val="clear" w:color="auto" w:fill="1F3A5F"/>
          </w:tcPr>
          <w:p>
            <w:r/>
            <w:r>
              <w:rPr>
                <w:b/>
                <w:color w:val="FFFFFF"/>
                <w:sz w:val="15"/>
              </w:rPr>
              <w:t>Rationale</w:t>
            </w:r>
          </w:p>
        </w:tc>
        <w:tc>
          <w:tcPr>
            <w:tcW w:type="dxa" w:w="1213"/>
            <w:shd w:val="clear" w:color="auto" w:fill="1F3A5F"/>
          </w:tcPr>
          <w:p>
            <w:r/>
            <w:r>
              <w:rPr>
                <w:b/>
                <w:color w:val="FFFFFF"/>
                <w:sz w:val="15"/>
              </w:rPr>
              <w:t>Alternatives</w:t>
            </w:r>
          </w:p>
        </w:tc>
        <w:tc>
          <w:tcPr>
            <w:tcW w:type="dxa" w:w="1493"/>
            <w:shd w:val="clear" w:color="auto" w:fill="1F3A5F"/>
          </w:tcPr>
          <w:p>
            <w:r/>
            <w:r>
              <w:rPr>
                <w:b/>
                <w:color w:val="FFFFFF"/>
                <w:sz w:val="15"/>
              </w:rPr>
              <w:t>Key assumptions</w:t>
            </w:r>
          </w:p>
        </w:tc>
        <w:tc>
          <w:tcPr>
            <w:tcW w:type="dxa" w:w="1586"/>
            <w:shd w:val="clear" w:color="auto" w:fill="1F3A5F"/>
          </w:tcPr>
          <w:p>
            <w:r/>
            <w:r>
              <w:rPr>
                <w:b/>
                <w:color w:val="FFFFFF"/>
                <w:sz w:val="15"/>
              </w:rPr>
              <w:t>Risk</w:t>
            </w:r>
          </w:p>
        </w:tc>
        <w:tc>
          <w:tcPr>
            <w:tcW w:type="dxa" w:w="1213"/>
            <w:shd w:val="clear" w:color="auto" w:fill="1F3A5F"/>
          </w:tcPr>
          <w:p>
            <w:r/>
            <w:r>
              <w:rPr>
                <w:b/>
                <w:color w:val="FFFFFF"/>
                <w:sz w:val="15"/>
              </w:rPr>
              <w:t>Validation method</w:t>
            </w:r>
          </w:p>
        </w:tc>
      </w:tr>
      <w:tr>
        <w:tc>
          <w:tcPr>
            <w:tcW w:type="dxa" w:w="762"/>
          </w:tcPr>
          <w:p>
            <w:pPr>
              <w:spacing w:after="20"/>
            </w:pPr>
            <w:r/>
            <w:r>
              <w:rPr>
                <w:sz w:val="15"/>
              </w:rPr>
              <w:t>1</w:t>
            </w:r>
          </w:p>
        </w:tc>
        <w:tc>
          <w:tcPr>
            <w:tcW w:type="dxa" w:w="1866"/>
          </w:tcPr>
          <w:p>
            <w:pPr>
              <w:spacing w:after="20"/>
            </w:pPr>
            <w:r/>
            <w:r>
              <w:rPr>
                <w:sz w:val="15"/>
              </w:rPr>
              <w:t>Treat as inferential, not predictive</w:t>
            </w:r>
          </w:p>
        </w:tc>
        <w:tc>
          <w:tcPr>
            <w:tcW w:type="dxa" w:w="1505"/>
          </w:tcPr>
          <w:p>
            <w:pPr>
              <w:spacing w:after="20"/>
            </w:pPr>
            <w:r/>
            <w:r>
              <w:rPr>
                <w:sz w:val="15"/>
              </w:rPr>
              <w:t>The question is whether a difference is real and how large</w:t>
            </w:r>
          </w:p>
        </w:tc>
        <w:tc>
          <w:tcPr>
            <w:tcW w:type="dxa" w:w="1213"/>
          </w:tcPr>
          <w:p>
            <w:pPr>
              <w:spacing w:after="20"/>
            </w:pPr>
            <w:r/>
            <w:r>
              <w:rPr>
                <w:sz w:val="15"/>
              </w:rPr>
              <w:t>LOS prediction model</w:t>
            </w:r>
          </w:p>
        </w:tc>
        <w:tc>
          <w:tcPr>
            <w:tcW w:type="dxa" w:w="1493"/>
          </w:tcPr>
          <w:p>
            <w:pPr>
              <w:spacing w:after="20"/>
            </w:pPr>
            <w:r/>
            <w:r>
              <w:rPr>
                <w:sz w:val="15"/>
              </w:rPr>
              <w:t>Management wants a population-level answer</w:t>
            </w:r>
          </w:p>
        </w:tc>
        <w:tc>
          <w:tcPr>
            <w:tcW w:type="dxa" w:w="1586"/>
          </w:tcPr>
          <w:p>
            <w:pPr>
              <w:spacing w:after="20"/>
            </w:pPr>
            <w:r/>
            <w:r>
              <w:rPr>
                <w:sz w:val="15"/>
              </w:rPr>
              <w:t>None material</w:t>
            </w:r>
          </w:p>
        </w:tc>
        <w:tc>
          <w:tcPr>
            <w:tcW w:type="dxa" w:w="1213"/>
          </w:tcPr>
          <w:p>
            <w:pPr>
              <w:spacing w:after="20"/>
            </w:pPr>
            <w:r/>
            <w:r>
              <w:rPr>
                <w:sz w:val="15"/>
              </w:rPr>
              <w:t>Client confirms</w:t>
            </w:r>
          </w:p>
        </w:tc>
      </w:tr>
      <w:tr>
        <w:tc>
          <w:tcPr>
            <w:tcW w:type="dxa" w:w="762"/>
            <w:shd w:val="clear" w:color="auto" w:fill="F2F5F9"/>
          </w:tcPr>
          <w:p>
            <w:pPr>
              <w:spacing w:after="20"/>
            </w:pPr>
            <w:r/>
            <w:r>
              <w:rPr>
                <w:sz w:val="15"/>
              </w:rPr>
              <w:t>2</w:t>
            </w:r>
          </w:p>
        </w:tc>
        <w:tc>
          <w:tcPr>
            <w:tcW w:type="dxa" w:w="1866"/>
            <w:shd w:val="clear" w:color="auto" w:fill="F2F5F9"/>
          </w:tcPr>
          <w:p>
            <w:pPr>
              <w:spacing w:after="20"/>
            </w:pPr>
            <w:r/>
            <w:r>
              <w:rPr>
                <w:sz w:val="15"/>
              </w:rPr>
              <w:t>Primary estimator: mixed GLM with surgeon random effect</w:t>
            </w:r>
          </w:p>
        </w:tc>
        <w:tc>
          <w:tcPr>
            <w:tcW w:type="dxa" w:w="1505"/>
            <w:shd w:val="clear" w:color="auto" w:fill="F2F5F9"/>
          </w:tcPr>
          <w:p>
            <w:pPr>
              <w:spacing w:after="20"/>
            </w:pPr>
            <w:r/>
            <w:r>
              <w:rPr>
                <w:sz w:val="15"/>
              </w:rPr>
              <w:t>Handles skew, count outcome, clustering, case-mix</w:t>
            </w:r>
          </w:p>
        </w:tc>
        <w:tc>
          <w:tcPr>
            <w:tcW w:type="dxa" w:w="1213"/>
            <w:shd w:val="clear" w:color="auto" w:fill="F2F5F9"/>
          </w:tcPr>
          <w:p>
            <w:pPr>
              <w:spacing w:after="20"/>
            </w:pPr>
            <w:r/>
            <w:r>
              <w:rPr>
                <w:sz w:val="15"/>
              </w:rPr>
              <w:t>OLS on log LOS; Welch alone</w:t>
            </w:r>
          </w:p>
        </w:tc>
        <w:tc>
          <w:tcPr>
            <w:tcW w:type="dxa" w:w="1493"/>
            <w:shd w:val="clear" w:color="auto" w:fill="F2F5F9"/>
          </w:tcPr>
          <w:p>
            <w:pPr>
              <w:spacing w:after="20"/>
            </w:pPr>
            <w:r/>
            <w:r>
              <w:rPr>
                <w:sz w:val="15"/>
              </w:rPr>
              <w:t>Adequate surgeon count</w:t>
            </w:r>
          </w:p>
        </w:tc>
        <w:tc>
          <w:tcPr>
            <w:tcW w:type="dxa" w:w="1586"/>
            <w:shd w:val="clear" w:color="auto" w:fill="F2F5F9"/>
          </w:tcPr>
          <w:p>
            <w:pPr>
              <w:spacing w:after="20"/>
            </w:pPr>
            <w:r/>
            <w:r>
              <w:rPr>
                <w:sz w:val="15"/>
              </w:rPr>
              <w:t>Model misfit</w:t>
            </w:r>
          </w:p>
        </w:tc>
        <w:tc>
          <w:tcPr>
            <w:tcW w:type="dxa" w:w="1213"/>
            <w:shd w:val="clear" w:color="auto" w:fill="F2F5F9"/>
          </w:tcPr>
          <w:p>
            <w:pPr>
              <w:spacing w:after="20"/>
            </w:pPr>
            <w:r/>
            <w:r>
              <w:rPr>
                <w:sz w:val="15"/>
              </w:rPr>
              <w:t>Residual checks; compare fallbacks</w:t>
            </w:r>
          </w:p>
        </w:tc>
      </w:tr>
      <w:tr>
        <w:tc>
          <w:tcPr>
            <w:tcW w:type="dxa" w:w="762"/>
          </w:tcPr>
          <w:p>
            <w:pPr>
              <w:spacing w:after="20"/>
            </w:pPr>
            <w:r/>
            <w:r>
              <w:rPr>
                <w:sz w:val="15"/>
              </w:rPr>
              <w:t>3</w:t>
            </w:r>
          </w:p>
        </w:tc>
        <w:tc>
          <w:tcPr>
            <w:tcW w:type="dxa" w:w="1866"/>
          </w:tcPr>
          <w:p>
            <w:pPr>
              <w:spacing w:after="20"/>
            </w:pPr>
            <w:r/>
            <w:r>
              <w:rPr>
                <w:sz w:val="15"/>
              </w:rPr>
              <w:t>Report raw and adjusted estimates side by side</w:t>
            </w:r>
          </w:p>
        </w:tc>
        <w:tc>
          <w:tcPr>
            <w:tcW w:type="dxa" w:w="1505"/>
          </w:tcPr>
          <w:p>
            <w:pPr>
              <w:spacing w:after="20"/>
            </w:pPr>
            <w:r/>
            <w:r>
              <w:rPr>
                <w:sz w:val="15"/>
              </w:rPr>
              <w:t>Shows how much case-mix explains</w:t>
            </w:r>
          </w:p>
        </w:tc>
        <w:tc>
          <w:tcPr>
            <w:tcW w:type="dxa" w:w="1213"/>
          </w:tcPr>
          <w:p>
            <w:pPr>
              <w:spacing w:after="20"/>
            </w:pPr>
            <w:r/>
            <w:r>
              <w:rPr>
                <w:sz w:val="15"/>
              </w:rPr>
              <w:t>Adjusted only</w:t>
            </w:r>
          </w:p>
        </w:tc>
        <w:tc>
          <w:tcPr>
            <w:tcW w:type="dxa" w:w="1493"/>
          </w:tcPr>
          <w:p>
            <w:pPr>
              <w:spacing w:after="20"/>
            </w:pPr>
            <w:r/>
          </w:p>
        </w:tc>
        <w:tc>
          <w:tcPr>
            <w:tcW w:type="dxa" w:w="1586"/>
          </w:tcPr>
          <w:p>
            <w:pPr>
              <w:spacing w:after="20"/>
            </w:pPr>
            <w:r/>
            <w:r>
              <w:rPr>
                <w:sz w:val="15"/>
              </w:rPr>
              <w:t>None</w:t>
            </w:r>
          </w:p>
        </w:tc>
        <w:tc>
          <w:tcPr>
            <w:tcW w:type="dxa" w:w="1213"/>
          </w:tcPr>
          <w:p>
            <w:pPr>
              <w:spacing w:after="20"/>
            </w:pPr>
            <w:r/>
            <w:r>
              <w:rPr>
                <w:sz w:val="15"/>
              </w:rPr>
              <w:t>Balance table</w:t>
            </w:r>
          </w:p>
        </w:tc>
      </w:tr>
      <w:tr>
        <w:tc>
          <w:tcPr>
            <w:tcW w:type="dxa" w:w="762"/>
            <w:shd w:val="clear" w:color="auto" w:fill="F2F5F9"/>
          </w:tcPr>
          <w:p>
            <w:pPr>
              <w:spacing w:after="20"/>
            </w:pPr>
            <w:r/>
            <w:r>
              <w:rPr>
                <w:sz w:val="15"/>
              </w:rPr>
              <w:t>4</w:t>
            </w:r>
          </w:p>
        </w:tc>
        <w:tc>
          <w:tcPr>
            <w:tcW w:type="dxa" w:w="1866"/>
            <w:shd w:val="clear" w:color="auto" w:fill="F2F5F9"/>
          </w:tcPr>
          <w:p>
            <w:pPr>
              <w:spacing w:after="20"/>
            </w:pPr>
            <w:r/>
            <w:r>
              <w:rPr>
                <w:sz w:val="15"/>
              </w:rPr>
              <w:t>Two-sided α = 0.05</w:t>
            </w:r>
          </w:p>
        </w:tc>
        <w:tc>
          <w:tcPr>
            <w:tcW w:type="dxa" w:w="1505"/>
            <w:shd w:val="clear" w:color="auto" w:fill="F2F5F9"/>
          </w:tcPr>
          <w:p>
            <w:pPr>
              <w:spacing w:after="20"/>
            </w:pPr>
            <w:r/>
            <w:r>
              <w:rPr>
                <w:sz w:val="15"/>
              </w:rPr>
              <w:t>Conservative; allows B to be shorter</w:t>
            </w:r>
          </w:p>
        </w:tc>
        <w:tc>
          <w:tcPr>
            <w:tcW w:type="dxa" w:w="1213"/>
            <w:shd w:val="clear" w:color="auto" w:fill="F2F5F9"/>
          </w:tcPr>
          <w:p>
            <w:pPr>
              <w:spacing w:after="20"/>
            </w:pPr>
            <w:r/>
            <w:r>
              <w:rPr>
                <w:sz w:val="15"/>
              </w:rPr>
              <w:t>One-sided</w:t>
            </w:r>
          </w:p>
        </w:tc>
        <w:tc>
          <w:tcPr>
            <w:tcW w:type="dxa" w:w="1493"/>
            <w:shd w:val="clear" w:color="auto" w:fill="F2F5F9"/>
          </w:tcPr>
          <w:p>
            <w:pPr>
              <w:spacing w:after="20"/>
            </w:pPr>
            <w:r/>
          </w:p>
        </w:tc>
        <w:tc>
          <w:tcPr>
            <w:tcW w:type="dxa" w:w="1586"/>
            <w:shd w:val="clear" w:color="auto" w:fill="F2F5F9"/>
          </w:tcPr>
          <w:p>
            <w:pPr>
              <w:spacing w:after="20"/>
            </w:pPr>
            <w:r/>
            <w:r>
              <w:rPr>
                <w:sz w:val="15"/>
              </w:rPr>
              <w:t>None</w:t>
            </w:r>
          </w:p>
        </w:tc>
        <w:tc>
          <w:tcPr>
            <w:tcW w:type="dxa" w:w="1213"/>
            <w:shd w:val="clear" w:color="auto" w:fill="F2F5F9"/>
          </w:tcPr>
          <w:p>
            <w:pPr>
              <w:spacing w:after="20"/>
            </w:pPr>
            <w:r/>
            <w:r>
              <w:rPr>
                <w:sz w:val="15"/>
              </w:rPr>
              <w:t>Pre-specified in protocol</w:t>
            </w:r>
          </w:p>
        </w:tc>
      </w:tr>
      <w:tr>
        <w:tc>
          <w:tcPr>
            <w:tcW w:type="dxa" w:w="762"/>
          </w:tcPr>
          <w:p>
            <w:pPr>
              <w:spacing w:after="20"/>
            </w:pPr>
            <w:r/>
            <w:r>
              <w:rPr>
                <w:sz w:val="15"/>
              </w:rPr>
              <w:t>5</w:t>
            </w:r>
          </w:p>
        </w:tc>
        <w:tc>
          <w:tcPr>
            <w:tcW w:type="dxa" w:w="1866"/>
          </w:tcPr>
          <w:p>
            <w:pPr>
              <w:spacing w:after="20"/>
            </w:pPr>
            <w:r/>
            <w:r>
              <w:rPr>
                <w:sz w:val="15"/>
              </w:rPr>
              <w:t>Subgroups exploratory with BH control</w:t>
            </w:r>
          </w:p>
        </w:tc>
        <w:tc>
          <w:tcPr>
            <w:tcW w:type="dxa" w:w="1505"/>
          </w:tcPr>
          <w:p>
            <w:pPr>
              <w:spacing w:after="20"/>
            </w:pPr>
            <w:r/>
            <w:r>
              <w:rPr>
                <w:sz w:val="15"/>
              </w:rPr>
              <w:t>Avoid false discoveries</w:t>
            </w:r>
          </w:p>
        </w:tc>
        <w:tc>
          <w:tcPr>
            <w:tcW w:type="dxa" w:w="1213"/>
          </w:tcPr>
          <w:p>
            <w:pPr>
              <w:spacing w:after="20"/>
            </w:pPr>
            <w:r/>
            <w:r>
              <w:rPr>
                <w:sz w:val="15"/>
              </w:rPr>
              <w:t>Confirmatory subgroups</w:t>
            </w:r>
          </w:p>
        </w:tc>
        <w:tc>
          <w:tcPr>
            <w:tcW w:type="dxa" w:w="1493"/>
          </w:tcPr>
          <w:p>
            <w:pPr>
              <w:spacing w:after="20"/>
            </w:pPr>
            <w:r/>
          </w:p>
        </w:tc>
        <w:tc>
          <w:tcPr>
            <w:tcW w:type="dxa" w:w="1586"/>
          </w:tcPr>
          <w:p>
            <w:pPr>
              <w:spacing w:after="20"/>
            </w:pPr>
            <w:r/>
            <w:r>
              <w:rPr>
                <w:sz w:val="15"/>
              </w:rPr>
              <w:t>Low power</w:t>
            </w:r>
          </w:p>
        </w:tc>
        <w:tc>
          <w:tcPr>
            <w:tcW w:type="dxa" w:w="1213"/>
          </w:tcPr>
          <w:p>
            <w:pPr>
              <w:spacing w:after="20"/>
            </w:pPr>
            <w:r/>
            <w:r>
              <w:rPr>
                <w:sz w:val="15"/>
              </w:rPr>
              <w:t>Labelling</w:t>
            </w:r>
          </w:p>
        </w:tc>
      </w:tr>
      <w:tr>
        <w:tc>
          <w:tcPr>
            <w:tcW w:type="dxa" w:w="762"/>
            <w:shd w:val="clear" w:color="auto" w:fill="F2F5F9"/>
          </w:tcPr>
          <w:p>
            <w:pPr>
              <w:spacing w:after="20"/>
            </w:pPr>
            <w:r/>
            <w:r>
              <w:rPr>
                <w:sz w:val="15"/>
              </w:rPr>
              <w:t>6</w:t>
            </w:r>
          </w:p>
        </w:tc>
        <w:tc>
          <w:tcPr>
            <w:tcW w:type="dxa" w:w="1866"/>
            <w:shd w:val="clear" w:color="auto" w:fill="F2F5F9"/>
          </w:tcPr>
          <w:p>
            <w:pPr>
              <w:spacing w:after="20"/>
            </w:pPr>
            <w:r/>
            <w:r>
              <w:rPr>
                <w:sz w:val="15"/>
              </w:rPr>
              <w:t>Do not adjust for post-admission variables</w:t>
            </w:r>
          </w:p>
        </w:tc>
        <w:tc>
          <w:tcPr>
            <w:tcW w:type="dxa" w:w="1505"/>
            <w:shd w:val="clear" w:color="auto" w:fill="F2F5F9"/>
          </w:tcPr>
          <w:p>
            <w:pPr>
              <w:spacing w:after="20"/>
            </w:pPr>
            <w:r/>
            <w:r>
              <w:rPr>
                <w:sz w:val="15"/>
              </w:rPr>
              <w:t>Avoid adjusting away the effect</w:t>
            </w:r>
          </w:p>
        </w:tc>
        <w:tc>
          <w:tcPr>
            <w:tcW w:type="dxa" w:w="1213"/>
            <w:shd w:val="clear" w:color="auto" w:fill="F2F5F9"/>
          </w:tcPr>
          <w:p>
            <w:pPr>
              <w:spacing w:after="20"/>
            </w:pPr>
            <w:r/>
            <w:r>
              <w:rPr>
                <w:sz w:val="15"/>
              </w:rPr>
              <w:t>Adjust for complications</w:t>
            </w:r>
          </w:p>
        </w:tc>
        <w:tc>
          <w:tcPr>
            <w:tcW w:type="dxa" w:w="1493"/>
            <w:shd w:val="clear" w:color="auto" w:fill="F2F5F9"/>
          </w:tcPr>
          <w:p>
            <w:pPr>
              <w:spacing w:after="20"/>
            </w:pPr>
            <w:r/>
          </w:p>
        </w:tc>
        <w:tc>
          <w:tcPr>
            <w:tcW w:type="dxa" w:w="1586"/>
            <w:shd w:val="clear" w:color="auto" w:fill="F2F5F9"/>
          </w:tcPr>
          <w:p>
            <w:pPr>
              <w:spacing w:after="20"/>
            </w:pPr>
            <w:r/>
            <w:r>
              <w:rPr>
                <w:sz w:val="15"/>
              </w:rPr>
              <w:t>Residual confounding</w:t>
            </w:r>
          </w:p>
        </w:tc>
        <w:tc>
          <w:tcPr>
            <w:tcW w:type="dxa" w:w="1213"/>
            <w:shd w:val="clear" w:color="auto" w:fill="F2F5F9"/>
          </w:tcPr>
          <w:p>
            <w:pPr>
              <w:spacing w:after="20"/>
            </w:pPr>
            <w:r/>
            <w:r>
              <w:rPr>
                <w:sz w:val="15"/>
              </w:rPr>
              <w:t>DAG review</w:t>
            </w:r>
          </w:p>
        </w:tc>
      </w:tr>
      <w:tr>
        <w:tc>
          <w:tcPr>
            <w:tcW w:type="dxa" w:w="762"/>
          </w:tcPr>
          <w:p>
            <w:pPr>
              <w:spacing w:after="20"/>
            </w:pPr>
            <w:r/>
            <w:r>
              <w:rPr>
                <w:sz w:val="15"/>
              </w:rPr>
              <w:t>7</w:t>
            </w:r>
          </w:p>
        </w:tc>
        <w:tc>
          <w:tcPr>
            <w:tcW w:type="dxa" w:w="1866"/>
          </w:tcPr>
          <w:p>
            <w:pPr>
              <w:spacing w:after="20"/>
            </w:pPr>
            <w:r/>
            <w:r>
              <w:rPr>
                <w:sz w:val="15"/>
              </w:rPr>
              <w:t>Causal question separated and deferred</w:t>
            </w:r>
          </w:p>
        </w:tc>
        <w:tc>
          <w:tcPr>
            <w:tcW w:type="dxa" w:w="1505"/>
          </w:tcPr>
          <w:p>
            <w:pPr>
              <w:spacing w:after="20"/>
            </w:pPr>
            <w:r/>
            <w:r>
              <w:rPr>
                <w:sz w:val="15"/>
              </w:rPr>
              <w:t>Cross-site comparison cannot identify program effect</w:t>
            </w:r>
          </w:p>
        </w:tc>
        <w:tc>
          <w:tcPr>
            <w:tcW w:type="dxa" w:w="1213"/>
          </w:tcPr>
          <w:p>
            <w:pPr>
              <w:spacing w:after="20"/>
            </w:pPr>
            <w:r/>
            <w:r>
              <w:rPr>
                <w:sz w:val="15"/>
              </w:rPr>
              <w:t>Fold into this analysis</w:t>
            </w:r>
          </w:p>
        </w:tc>
        <w:tc>
          <w:tcPr>
            <w:tcW w:type="dxa" w:w="1493"/>
          </w:tcPr>
          <w:p>
            <w:pPr>
              <w:spacing w:after="20"/>
            </w:pPr>
            <w:r/>
          </w:p>
        </w:tc>
        <w:tc>
          <w:tcPr>
            <w:tcW w:type="dxa" w:w="1586"/>
          </w:tcPr>
          <w:p>
            <w:pPr>
              <w:spacing w:after="20"/>
            </w:pPr>
            <w:r/>
            <w:r>
              <w:rPr>
                <w:sz w:val="15"/>
              </w:rPr>
              <w:t>Misinterpretation</w:t>
            </w:r>
          </w:p>
        </w:tc>
        <w:tc>
          <w:tcPr>
            <w:tcW w:type="dxa" w:w="1213"/>
          </w:tcPr>
          <w:p>
            <w:pPr>
              <w:spacing w:after="20"/>
            </w:pPr>
            <w:r/>
            <w:r>
              <w:rPr>
                <w:sz w:val="15"/>
              </w:rPr>
              <w:t>"Can and cannot show" section</w:t>
            </w:r>
          </w:p>
        </w:tc>
      </w:tr>
      <w:tr>
        <w:tc>
          <w:tcPr>
            <w:tcW w:type="dxa" w:w="762"/>
            <w:shd w:val="clear" w:color="auto" w:fill="F2F5F9"/>
          </w:tcPr>
          <w:p>
            <w:pPr>
              <w:spacing w:after="20"/>
            </w:pPr>
            <w:r/>
            <w:r>
              <w:rPr>
                <w:sz w:val="15"/>
              </w:rPr>
              <w:t>8</w:t>
            </w:r>
          </w:p>
        </w:tc>
        <w:tc>
          <w:tcPr>
            <w:tcW w:type="dxa" w:w="1866"/>
            <w:shd w:val="clear" w:color="auto" w:fill="F2F5F9"/>
          </w:tcPr>
          <w:p>
            <w:pPr>
              <w:spacing w:after="20"/>
            </w:pPr>
            <w:r/>
            <w:r>
              <w:rPr>
                <w:sz w:val="15"/>
              </w:rPr>
              <w:t>Practical-importance threshold set by management before results</w:t>
            </w:r>
          </w:p>
        </w:tc>
        <w:tc>
          <w:tcPr>
            <w:tcW w:type="dxa" w:w="1505"/>
            <w:shd w:val="clear" w:color="auto" w:fill="F2F5F9"/>
          </w:tcPr>
          <w:p>
            <w:pPr>
              <w:spacing w:after="20"/>
            </w:pPr>
            <w:r/>
            <w:r>
              <w:rPr>
                <w:sz w:val="15"/>
              </w:rPr>
              <w:t>Prevents post-hoc judgement</w:t>
            </w:r>
          </w:p>
        </w:tc>
        <w:tc>
          <w:tcPr>
            <w:tcW w:type="dxa" w:w="1213"/>
            <w:shd w:val="clear" w:color="auto" w:fill="F2F5F9"/>
          </w:tcPr>
          <w:p>
            <w:pPr>
              <w:spacing w:after="20"/>
            </w:pPr>
            <w:r/>
            <w:r>
              <w:rPr>
                <w:sz w:val="15"/>
              </w:rPr>
              <w:t>Decide after seeing results</w:t>
            </w:r>
          </w:p>
        </w:tc>
        <w:tc>
          <w:tcPr>
            <w:tcW w:type="dxa" w:w="1493"/>
            <w:shd w:val="clear" w:color="auto" w:fill="F2F5F9"/>
          </w:tcPr>
          <w:p>
            <w:pPr>
              <w:spacing w:after="20"/>
            </w:pPr>
            <w:r/>
            <w:r>
              <w:rPr>
                <w:sz w:val="15"/>
              </w:rPr>
              <w:t>Management will commit</w:t>
            </w:r>
          </w:p>
        </w:tc>
        <w:tc>
          <w:tcPr>
            <w:tcW w:type="dxa" w:w="1586"/>
            <w:shd w:val="clear" w:color="auto" w:fill="F2F5F9"/>
          </w:tcPr>
          <w:p>
            <w:pPr>
              <w:spacing w:after="20"/>
            </w:pPr>
            <w:r/>
            <w:r>
              <w:rPr>
                <w:sz w:val="15"/>
              </w:rPr>
              <w:t>Delay</w:t>
            </w:r>
          </w:p>
        </w:tc>
        <w:tc>
          <w:tcPr>
            <w:tcW w:type="dxa" w:w="1213"/>
            <w:shd w:val="clear" w:color="auto" w:fill="F2F5F9"/>
          </w:tcPr>
          <w:p>
            <w:pPr>
              <w:spacing w:after="20"/>
            </w:pPr>
            <w:r/>
            <w:r>
              <w:rPr>
                <w:sz w:val="15"/>
              </w:rPr>
              <w:t>Q5</w:t>
            </w:r>
          </w:p>
        </w:tc>
      </w:tr>
    </w:tbl>
    <w:p>
      <w:pPr>
        <w:spacing w:after="40"/>
      </w:pPr>
    </w:p>
    <w:p>
      <w:pPr>
        <w:pStyle w:val="Heading2"/>
      </w:pPr>
      <w:r>
        <w:rPr/>
        <w:t>21. References</w:t>
      </w:r>
    </w:p>
    <w:p>
      <w:r>
        <w:rPr/>
        <w:t>None consulted. Regulatory references (for example the Digital Personal Data Protection Act 2023 and applicable ICMR ethical guidelines) are to be verified with the client's compliance team.</w:t>
      </w: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fldChar w:fldCharType="begin"/>
      <w:instrText xml:space="preserve">PAGE</w:instrText>
      <w:fldChar w:fldCharType="separate"/>
      <w:t>1</w:t>
      <w:fldChar w:fldCharType="end"/>
    </w:r>
    <w:r>
      <w:rPr>
        <w:color w:val="595959"/>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Knee-Replacement Length of Stay, Hospital A vs Hospital B — Analysis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