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2E75B6"/>
          <w:sz w:val="22"/>
        </w:rPr>
        <w:t>DATA SCIENCE SOLUTION PLAN</w:t>
      </w:r>
    </w:p>
    <w:p>
      <w:pPr>
        <w:spacing w:after="360"/>
        <w:pBdr>
          <w:left w:val="single" w:sz="18" w:space="8" w:color="1F3A5F"/>
        </w:pBdr>
      </w:pPr>
      <w:r>
        <w:rPr>
          <w:b/>
          <w:color w:val="1F3A5F"/>
          <w:sz w:val="52"/>
        </w:rPr>
        <w:t>Personalised Offers Feature — Causal Impact &amp; Rollout Decision — Data Science Solution Plan</w:t>
      </w:r>
    </w:p>
    <w:tbl>
      <w:tblPr>
        <w:tblW w:type="auto" w:w="0"/>
        <w:jc w:val="left"/>
        <w:tblLook w:firstColumn="1" w:firstRow="1" w:lastColumn="0" w:lastRow="0" w:noHBand="0" w:noVBand="1" w:val="04A0"/>
      </w:tblPr>
      <w:tblGrid>
        <w:gridCol w:w="4819"/>
        <w:gridCol w:w="4819"/>
      </w:tblGrid>
      <w:tr>
        <w:tc>
          <w:tcPr>
            <w:tcW w:type="dxa" w:w="2268"/>
          </w:tcPr>
          <w:p>
            <w:r/>
            <w:r>
              <w:rPr>
                <w:b/>
                <w:color w:val="595959"/>
              </w:rPr>
              <w:t>Client</w:t>
            </w:r>
          </w:p>
        </w:tc>
        <w:tc>
          <w:tcPr>
            <w:tcW w:type="dxa" w:w="6236"/>
          </w:tcPr>
          <w:p>
            <w:r/>
            <w:r>
              <w:rPr/>
              <w:t>National apparel retailer (name TBD)</w:t>
            </w:r>
          </w:p>
        </w:tc>
      </w:tr>
      <w:tr>
        <w:tc>
          <w:tcPr>
            <w:tcW w:type="dxa" w:w="2268"/>
          </w:tcPr>
          <w:p>
            <w:r/>
            <w:r>
              <w:rPr>
                <w:b/>
                <w:color w:val="595959"/>
              </w:rPr>
              <w:t>Industry</w:t>
            </w:r>
          </w:p>
        </w:tc>
        <w:tc>
          <w:tcPr>
            <w:tcW w:type="dxa" w:w="6236"/>
          </w:tcPr>
          <w:p>
            <w:r/>
            <w:r>
              <w:rPr/>
              <w:t>Retail</w:t>
            </w:r>
          </w:p>
        </w:tc>
      </w:tr>
      <w:tr>
        <w:tc>
          <w:tcPr>
            <w:tcW w:type="dxa" w:w="2268"/>
          </w:tcPr>
          <w:p>
            <w:r/>
            <w:r>
              <w:rPr>
                <w:b/>
                <w:color w:val="595959"/>
              </w:rPr>
              <w:t>Prepared by</w:t>
            </w:r>
          </w:p>
        </w:tc>
        <w:tc>
          <w:tcPr>
            <w:tcW w:type="dxa" w:w="6236"/>
          </w:tcPr>
          <w:p>
            <w:r/>
            <w:r>
              <w:rPr/>
              <w:t>Data science solution architecture team</w:t>
            </w:r>
          </w:p>
        </w:tc>
      </w:tr>
      <w:tr>
        <w:tc>
          <w:tcPr>
            <w:tcW w:type="dxa" w:w="2268"/>
          </w:tcPr>
          <w:p>
            <w:r/>
            <w:r>
              <w:rPr>
                <w:b/>
                <w:color w:val="595959"/>
              </w:rPr>
              <w:t>Date</w:t>
            </w:r>
          </w:p>
        </w:tc>
        <w:tc>
          <w:tcPr>
            <w:tcW w:type="dxa" w:w="6236"/>
          </w:tcPr>
          <w:p>
            <w:r/>
            <w:r>
              <w:rPr/>
              <w:t>2026-10-14</w:t>
            </w:r>
          </w:p>
        </w:tc>
      </w:tr>
      <w:tr>
        <w:tc>
          <w:tcPr>
            <w:tcW w:type="dxa" w:w="2268"/>
          </w:tcPr>
          <w:p>
            <w:r/>
            <w:r>
              <w:rPr>
                <w:b/>
                <w:color w:val="595959"/>
              </w:rPr>
              <w:t>Version</w:t>
            </w:r>
          </w:p>
        </w:tc>
        <w:tc>
          <w:tcPr>
            <w:tcW w:type="dxa" w:w="6236"/>
          </w:tcPr>
          <w:p>
            <w:r/>
            <w:r>
              <w:rPr/>
              <w:t>0.1 (draft)</w:t>
            </w:r>
          </w:p>
        </w:tc>
      </w:tr>
      <w:tr>
        <w:tc>
          <w:tcPr>
            <w:tcW w:type="dxa" w:w="2268"/>
          </w:tcPr>
          <w:p>
            <w:r/>
            <w:r>
              <w:rPr>
                <w:b/>
                <w:color w:val="595959"/>
              </w:rPr>
              <w:t>Plan depth</w:t>
            </w:r>
          </w:p>
        </w:tc>
        <w:tc>
          <w:tcPr>
            <w:tcW w:type="dxa" w:w="6236"/>
          </w:tcPr>
          <w:p>
            <w:r/>
            <w:r>
              <w:rPr/>
              <w:t>Standard</w:t>
            </w:r>
          </w:p>
        </w:tc>
      </w:tr>
      <w:tr>
        <w:tc>
          <w:tcPr>
            <w:tcW w:type="dxa" w:w="2268"/>
          </w:tcPr>
          <w:p>
            <w:r/>
            <w:r>
              <w:rPr>
                <w:b/>
                <w:color w:val="595959"/>
              </w:rPr>
              <w:t>Classification</w:t>
            </w:r>
          </w:p>
        </w:tc>
        <w:tc>
          <w:tcPr>
            <w:tcW w:type="dxa" w:w="6236"/>
          </w:tcPr>
          <w:p>
            <w:r/>
            <w:r>
              <w:rPr/>
              <w:t>Confidential</w:t>
            </w:r>
          </w:p>
        </w:tc>
      </w:tr>
    </w:tbl>
    <w:p/>
    <w:p>
      <w:r>
        <w:rPr>
          <w:i/>
          <w:color w:val="595959"/>
          <w:sz w:val="18"/>
        </w:rPr>
        <w:t>Status tags used throughout:</w:t>
      </w:r>
      <w:r>
        <w:rPr>
          <w:color w:val="595959"/>
          <w:sz w:val="18"/>
        </w:rPr>
        <w:t xml:space="preserve"> </w:t>
      </w:r>
      <w:r>
        <w:rPr>
          <w:b/>
          <w:color w:val="1E7B34"/>
          <w:sz w:val="18"/>
        </w:rPr>
        <w:t>[Confirmed]</w:t>
      </w:r>
      <w:r>
        <w:rPr>
          <w:color w:val="595959"/>
          <w:sz w:val="18"/>
        </w:rPr>
        <w:t xml:space="preserve"> stated by client or verified in data · </w:t>
      </w:r>
      <w:r>
        <w:rPr>
          <w:b/>
          <w:color w:val="B36B00"/>
          <w:sz w:val="18"/>
        </w:rPr>
        <w:t>[Assumed]</w:t>
      </w:r>
      <w:r>
        <w:rPr>
          <w:color w:val="595959"/>
          <w:sz w:val="18"/>
        </w:rPr>
        <w:t xml:space="preserve"> working assumption to validate · </w:t>
      </w:r>
      <w:r>
        <w:rPr>
          <w:b/>
          <w:color w:val="C0392B"/>
          <w:sz w:val="18"/>
        </w:rPr>
        <w:t>[To investigate]</w:t>
      </w:r>
      <w:r>
        <w:rPr>
          <w:color w:val="595959"/>
          <w:sz w:val="18"/>
        </w:rPr>
        <w:t xml:space="preserve"> existence or usability unknown.</w:t>
      </w:r>
    </w:p>
    <w:p>
      <w:r>
        <w:br w:type="page"/>
      </w:r>
    </w:p>
    <w:p>
      <w:r>
        <w:rPr>
          <w:b/>
          <w:color w:val="1F3A5F"/>
          <w:sz w:val="30"/>
        </w:rPr>
        <w:t>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2"/>
      </w:pPr>
      <w:r>
        <w:rPr/>
        <w:t>1. Executive Summary</w:t>
      </w:r>
    </w:p>
    <w:p>
      <w:pPr>
        <w:pStyle w:val="ListBullet"/>
        <w:spacing w:after="40"/>
        <w:ind w:left="357" w:hanging="357"/>
      </w:pPr>
      <w:r>
        <w:rPr>
          <w:b/>
        </w:rPr>
        <w:t>Decision:</w:t>
      </w:r>
      <w:r>
        <w:rPr/>
        <w:t xml:space="preserve"> Should the loyalty-app "personalised offers" feature be rolled out to all 220 stores, and can the CMO claim the feature "caused a 7-point lift"?</w:t>
      </w:r>
    </w:p>
    <w:p>
      <w:pPr>
        <w:pStyle w:val="ListBullet"/>
        <w:spacing w:after="40"/>
        <w:ind w:left="357" w:hanging="357"/>
      </w:pPr>
      <w:r>
        <w:rPr>
          <w:b/>
        </w:rPr>
        <w:t>Plain-language problem:</w:t>
      </w:r>
      <w:r>
        <w:rPr/>
        <w:t xml:space="preserve"> Stores with the feature grew 12% year-on-year and stores without it grew 5%. The 7-point gap (12 − 5) is a </w:t>
      </w:r>
      <w:r>
        <w:rPr>
          <w:i/>
        </w:rPr>
        <w:t>comparison</w:t>
      </w:r>
      <w:r>
        <w:rPr/>
        <w:t xml:space="preserve">, not yet a </w:t>
      </w:r>
      <w:r>
        <w:rPr>
          <w:i/>
        </w:rPr>
        <w:t>causal effect</w:t>
      </w:r>
      <w:r>
        <w:rPr/>
        <w:t xml:space="preserve">. The 40 treated stores were chosen by regional managers and are mostly larger metro stores, so they may have been growing faster anyway. The gap mixes the feature's effect with the effect of </w:t>
      </w:r>
      <w:r>
        <w:rPr>
          <w:i/>
        </w:rPr>
        <w:t>which stores were picked</w:t>
      </w:r>
      <w:r>
        <w:rPr/>
        <w:t>.</w:t>
      </w:r>
    </w:p>
    <w:p>
      <w:pPr>
        <w:pStyle w:val="ListBullet"/>
        <w:spacing w:after="40"/>
        <w:ind w:left="357" w:hanging="357"/>
      </w:pPr>
      <w:r>
        <w:rPr>
          <w:b/>
        </w:rPr>
        <w:t>Lens:</w:t>
      </w:r>
      <w:r>
        <w:rPr/>
        <w:t xml:space="preserve"> Causal (primary), with an Inferential component (uncertainty, practical significance). A predictive model is </w:t>
      </w:r>
      <w:r>
        <w:rPr>
          <w:b/>
        </w:rPr>
        <w:t>not</w:t>
      </w:r>
      <w:r>
        <w:rPr/>
        <w:t xml:space="preserve"> the right tool for the causal question; a predictive/uplift component is optional later for targeting.</w:t>
      </w:r>
    </w:p>
    <w:p>
      <w:pPr>
        <w:pStyle w:val="ListBullet"/>
        <w:spacing w:after="40"/>
        <w:ind w:left="357" w:hanging="357"/>
      </w:pPr>
      <w:r>
        <w:rPr>
          <w:b/>
        </w:rPr>
        <w:t>Recommended approach:</w:t>
      </w:r>
    </w:p>
    <w:p>
      <w:pPr>
        <w:tabs>
          <w:tab w:pos="714" w:val="left"/>
        </w:tabs>
        <w:spacing w:after="40"/>
        <w:ind w:left="714" w:hanging="357"/>
      </w:pPr>
      <w:r>
        <w:rPr/>
        <w:t>1.</w:t>
        <w:tab/>
      </w:r>
      <w:r>
        <w:rPr>
          <w:b/>
        </w:rPr>
        <w:t>Do not publish "caused a 7-point lift" now.</w:t>
      </w:r>
      <w:r>
        <w:rPr/>
        <w:t xml:space="preserve"> The defensible current statement is "treated stores grew 7 points faster than untreated stores; the share due to the feature is not yet established."</w:t>
      </w:r>
    </w:p>
    <w:p>
      <w:pPr>
        <w:tabs>
          <w:tab w:pos="714" w:val="left"/>
        </w:tabs>
        <w:spacing w:after="40"/>
        <w:ind w:left="714" w:hanging="357"/>
      </w:pPr>
      <w:r>
        <w:rPr/>
        <w:t>2.</w:t>
        <w:tab/>
      </w:r>
      <w:r>
        <w:rPr>
          <w:b/>
        </w:rPr>
        <w:t>A1, retrospective analysis:</w:t>
      </w:r>
      <w:r>
        <w:rPr/>
        <w:t xml:space="preserve"> estimate the effect with a difference-in-differences / synthetic-control style design on weekly store-level data, using the pre-launch period to test whether treated and comparison stores were on parallel trends. Report an effect with confidence interval and sensitivity analysis, and state plainly if the data cannot support a causal claim.</w:t>
      </w:r>
    </w:p>
    <w:p>
      <w:pPr>
        <w:tabs>
          <w:tab w:pos="714" w:val="left"/>
        </w:tabs>
        <w:spacing w:after="40"/>
        <w:ind w:left="714" w:hanging="357"/>
      </w:pPr>
      <w:r>
        <w:rPr/>
        <w:t>3.</w:t>
        <w:tab/>
      </w:r>
      <w:r>
        <w:rPr>
          <w:b/>
        </w:rPr>
        <w:t>A2, forward experiment (planned 26–52 weeks, about 36–66 weeks end to end):</w:t>
      </w:r>
      <w:r>
        <w:rPr/>
        <w:t xml:space="preserve"> because 180 stores are still untreated, run a randomised store-level rollout (cluster-randomised or stepped-wedge) so the rollout decision rests on randomised evidence. This is the only design that fully removes the selection problem.</w:t>
      </w:r>
    </w:p>
    <w:p>
      <w:pPr>
        <w:tabs>
          <w:tab w:pos="714" w:val="left"/>
        </w:tabs>
        <w:spacing w:after="40"/>
        <w:ind w:left="714" w:hanging="357"/>
      </w:pPr>
      <w:r>
        <w:rPr/>
        <w:t>4.</w:t>
        <w:tab/>
      </w:r>
      <w:r>
        <w:rPr>
          <w:b/>
        </w:rPr>
        <w:t>Decision rule agreed in advance:</w:t>
      </w:r>
      <w:r>
        <w:rPr/>
        <w:t xml:space="preserve"> roll out if the lower confidence bound of net incremental margin per store-week (offer and running cost already deducted) is above zero and above the minimum worthwhile effect (</w:t>
      </w:r>
      <w:r>
        <w:rPr>
          <w:b/>
          <w:color w:val="C0392B"/>
        </w:rPr>
        <w:t>[TBD with client]</w:t>
      </w:r>
      <w:r>
        <w:rPr/>
        <w:t>); the randomised pilot (A2) governs if it disagrees with the retrospective estimate.</w:t>
      </w:r>
    </w:p>
    <w:p>
      <w:pPr>
        <w:pStyle w:val="ListBullet"/>
        <w:spacing w:after="40"/>
        <w:ind w:left="357" w:hanging="357"/>
      </w:pPr>
      <w:r>
        <w:rPr>
          <w:b/>
        </w:rPr>
        <w:t>What must be true:</w:t>
      </w:r>
      <w:r>
        <w:rPr/>
        <w:t xml:space="preserve"> weekly store-level sales (and ideally margin) for at least 2 years before launch are available; the launch dates and the store-selection process are documented; no other major initiative hit the treated stores at the same time; the client can randomise some of the 180 untreated stores.</w:t>
      </w:r>
    </w:p>
    <w:p>
      <w:pPr>
        <w:pStyle w:val="ListBullet"/>
        <w:spacing w:after="40"/>
        <w:ind w:left="357" w:hanging="357"/>
      </w:pPr>
      <w:r>
        <w:rPr>
          <w:b/>
        </w:rPr>
        <w:t>Top risks:</w:t>
      </w:r>
      <w:r>
        <w:rPr/>
        <w:t xml:space="preserve"> selection bias (larger metro stores); co-occurring changes (regional campaigns, new store formats, price changes); spillover between stores sharing customers; novelty effect at six months; sales vs margin (offers may buy revenue with discounts).</w:t>
      </w:r>
    </w:p>
    <w:p>
      <w:pPr>
        <w:pStyle w:val="ListBullet"/>
        <w:spacing w:after="40"/>
        <w:ind w:left="357" w:hanging="357"/>
      </w:pPr>
      <w:r>
        <w:rPr>
          <w:b/>
        </w:rPr>
        <w:t>Next steps:</w:t>
      </w:r>
      <w:r>
        <w:rPr/>
        <w:t xml:space="preserve"> see "Needed from the client next".</w:t>
      </w:r>
    </w:p>
    <w:p>
      <w:pPr>
        <w:shd w:val="clear" w:color="auto" w:fill="F2F2F2"/>
        <w:pBdr>
          <w:left w:val="single" w:sz="18" w:space="8" w:color="2E75B6"/>
        </w:pBdr>
        <w:spacing w:before="80" w:after="120"/>
        <w:ind w:left="170"/>
      </w:pPr>
      <w:r>
        <w:rPr>
          <w:b/>
        </w:rPr>
        <w:t>Needed from the client next:</w:t>
      </w:r>
      <w:r>
        <w:rPr/>
        <w:t xml:space="preserve"> 1. Weekly store × category sales, margin and discount data for ≥ 24 months pre-launch to now, plus the store master (size, format, metro/non-metro, region, opening date). </w:t>
      </w:r>
      <w:r>
        <w:rPr>
          <w:i/>
        </w:rPr>
        <w:t>(Owner: BI / Finance.)</w:t>
      </w:r>
      <w:r>
        <w:rPr/>
        <w:t xml:space="preserve"> 2. Exactly how the 40 stores were chosen and the launch date per store (single date or staggered?). </w:t>
      </w:r>
      <w:r>
        <w:rPr>
          <w:i/>
        </w:rPr>
        <w:t>(Owner: regional managers / CMO office.)</w:t>
      </w:r>
      <w:r>
        <w:rPr/>
        <w:t xml:space="preserve"> 3. A list of other initiatives, price changes, refits, openings or closures across the whole pre-period and since launch, for all 220 stores. </w:t>
      </w:r>
      <w:r>
        <w:rPr>
          <w:i/>
        </w:rPr>
        <w:t>(Owner: Marketing &amp; Operations.)</w:t>
      </w:r>
      <w:r>
        <w:rPr/>
        <w:t xml:space="preserve"> 4. Whether loyalty sales can be tracked separately from non-loyalty sales and whether app users existed before the feature. </w:t>
      </w:r>
      <w:r>
        <w:rPr>
          <w:i/>
        </w:rPr>
        <w:t>(Owner: CRM / Loyalty product.)</w:t>
      </w:r>
      <w:r>
        <w:rPr/>
        <w:t xml:space="preserve"> 5. Whether randomising the next stores is acceptable, the earliest start date, and the cost per store of enabling the feature. </w:t>
      </w:r>
      <w:r>
        <w:rPr>
          <w:i/>
        </w:rPr>
        <w:t>(Owner: CMO / COO.)</w:t>
      </w:r>
    </w:p>
    <w:p>
      <w:pPr>
        <w:pStyle w:val="Heading3"/>
      </w:pPr>
      <w:r>
        <w:rPr/>
        <w:t>Scope of this plan</w:t>
      </w:r>
    </w:p>
    <w:p>
      <w:r>
        <w:rPr/>
        <w:t>This plan covers two analyses: A1 (retrospective effect estimate for the 40 treated stores) and A2 (forward randomised rollout). The full causal and statistical design is in scope. Data needs are covered only to the extent the causal designs require. There is no deployed model, so model serving is limited to the decision rule and post-launch evaluation (§17). Validation is described as design windows (§12).</w:t>
      </w:r>
    </w:p>
    <w:tbl>
      <w:tblPr>
        <w:tblStyle w:val="TableGrid"/>
        <w:tblW w:type="auto" w:w="0"/>
        <w:jc w:val="center"/>
        <w:tblLayout w:type="fixed"/>
        <w:tblLook w:firstColumn="1" w:firstRow="1" w:lastColumn="0" w:lastRow="0" w:noHBand="0" w:noVBand="1" w:val="04A0"/>
        <w:tblLayout w:type="fixed"/>
      </w:tblPr>
      <w:tblGrid>
        <w:gridCol w:w="4368"/>
        <w:gridCol w:w="5269"/>
      </w:tblGrid>
      <w:tr>
        <w:trPr>
          <w:tblHeader w:val="true"/>
        </w:trPr>
        <w:tc>
          <w:tcPr>
            <w:tcW w:type="dxa" w:w="4368"/>
            <w:shd w:val="clear" w:color="auto" w:fill="1F3A5F"/>
          </w:tcPr>
          <w:p>
            <w:r/>
            <w:r>
              <w:rPr>
                <w:b/>
                <w:color w:val="FFFFFF"/>
                <w:sz w:val="19"/>
              </w:rPr>
              <w:t>Section</w:t>
            </w:r>
          </w:p>
        </w:tc>
        <w:tc>
          <w:tcPr>
            <w:tcW w:type="dxa" w:w="5269"/>
            <w:shd w:val="clear" w:color="auto" w:fill="1F3A5F"/>
          </w:tcPr>
          <w:p>
            <w:r/>
            <w:r>
              <w:rPr>
                <w:b/>
                <w:color w:val="FFFFFF"/>
                <w:sz w:val="19"/>
              </w:rPr>
              <w:t>Status</w:t>
            </w:r>
          </w:p>
        </w:tc>
      </w:tr>
      <w:tr>
        <w:tc>
          <w:tcPr>
            <w:tcW w:type="dxa" w:w="4368"/>
          </w:tcPr>
          <w:p>
            <w:pPr>
              <w:spacing w:after="20"/>
            </w:pPr>
            <w:r/>
            <w:r>
              <w:rPr>
                <w:sz w:val="19"/>
              </w:rPr>
              <w:t>§1–5</w:t>
            </w:r>
          </w:p>
        </w:tc>
        <w:tc>
          <w:tcPr>
            <w:tcW w:type="dxa" w:w="5269"/>
          </w:tcPr>
          <w:p>
            <w:pPr>
              <w:spacing w:after="20"/>
            </w:pPr>
            <w:r/>
            <w:r>
              <w:rPr>
                <w:sz w:val="19"/>
              </w:rPr>
              <w:t>Included</w:t>
            </w:r>
          </w:p>
        </w:tc>
      </w:tr>
      <w:tr>
        <w:tc>
          <w:tcPr>
            <w:tcW w:type="dxa" w:w="4368"/>
            <w:shd w:val="clear" w:color="auto" w:fill="F2F5F9"/>
          </w:tcPr>
          <w:p>
            <w:pPr>
              <w:spacing w:after="20"/>
            </w:pPr>
            <w:r/>
            <w:r>
              <w:rPr>
                <w:sz w:val="19"/>
              </w:rPr>
              <w:t>§6 Preprocessing</w:t>
            </w:r>
          </w:p>
        </w:tc>
        <w:tc>
          <w:tcPr>
            <w:tcW w:type="dxa" w:w="5269"/>
            <w:shd w:val="clear" w:color="auto" w:fill="F2F5F9"/>
          </w:tcPr>
          <w:p>
            <w:pPr>
              <w:spacing w:after="20"/>
            </w:pPr>
            <w:r/>
            <w:r>
              <w:rPr>
                <w:sz w:val="19"/>
              </w:rPr>
              <w:t>Included, short (causal panel preparation only)</w:t>
            </w:r>
          </w:p>
        </w:tc>
      </w:tr>
      <w:tr>
        <w:tc>
          <w:tcPr>
            <w:tcW w:type="dxa" w:w="4368"/>
          </w:tcPr>
          <w:p>
            <w:pPr>
              <w:spacing w:after="20"/>
            </w:pPr>
            <w:r/>
            <w:r>
              <w:rPr>
                <w:sz w:val="19"/>
              </w:rPr>
              <w:t>§7 Feature &amp; target design</w:t>
            </w:r>
          </w:p>
        </w:tc>
        <w:tc>
          <w:tcPr>
            <w:tcW w:type="dxa" w:w="5269"/>
          </w:tcPr>
          <w:p>
            <w:pPr>
              <w:spacing w:after="20"/>
            </w:pPr>
            <w:r/>
            <w:r>
              <w:rPr>
                <w:sz w:val="19"/>
              </w:rPr>
              <w:t>Included, short (outcome and covariate definition)</w:t>
            </w:r>
          </w:p>
        </w:tc>
      </w:tr>
      <w:tr>
        <w:tc>
          <w:tcPr>
            <w:tcW w:type="dxa" w:w="4368"/>
            <w:shd w:val="clear" w:color="auto" w:fill="F2F5F9"/>
          </w:tcPr>
          <w:p>
            <w:pPr>
              <w:spacing w:after="20"/>
            </w:pPr>
            <w:r/>
            <w:r>
              <w:rPr>
                <w:sz w:val="19"/>
              </w:rPr>
              <w:t>§8–9 Baselines, algorithms</w:t>
            </w:r>
          </w:p>
        </w:tc>
        <w:tc>
          <w:tcPr>
            <w:tcW w:type="dxa" w:w="5269"/>
            <w:shd w:val="clear" w:color="auto" w:fill="F2F5F9"/>
          </w:tcPr>
          <w:p>
            <w:pPr>
              <w:spacing w:after="20"/>
            </w:pPr>
            <w:r/>
            <w:r>
              <w:rPr>
                <w:sz w:val="19"/>
              </w:rPr>
              <w:t>Omitted: no predictive model is the objective. A predictive/uplift model is deferred to a later phase (§20, D9). The comparators A1 must beat are in §10</w:t>
            </w:r>
          </w:p>
        </w:tc>
      </w:tr>
      <w:tr>
        <w:tc>
          <w:tcPr>
            <w:tcW w:type="dxa" w:w="4368"/>
          </w:tcPr>
          <w:p>
            <w:pPr>
              <w:spacing w:after="20"/>
            </w:pPr>
            <w:r/>
            <w:r>
              <w:rPr>
                <w:sz w:val="19"/>
              </w:rPr>
              <w:t>§11 Analysis cards</w:t>
            </w:r>
          </w:p>
        </w:tc>
        <w:tc>
          <w:tcPr>
            <w:tcW w:type="dxa" w:w="5269"/>
          </w:tcPr>
          <w:p>
            <w:pPr>
              <w:spacing w:after="20"/>
            </w:pPr>
            <w:r/>
            <w:r>
              <w:rPr>
                <w:sz w:val="19"/>
              </w:rPr>
              <w:t>Included in place of an experiment matrix and tuning plan</w:t>
            </w:r>
          </w:p>
        </w:tc>
      </w:tr>
      <w:tr>
        <w:tc>
          <w:tcPr>
            <w:tcW w:type="dxa" w:w="4368"/>
            <w:shd w:val="clear" w:color="auto" w:fill="F2F5F9"/>
          </w:tcPr>
          <w:p>
            <w:pPr>
              <w:spacing w:after="20"/>
            </w:pPr>
            <w:r/>
            <w:r>
              <w:rPr>
                <w:sz w:val="19"/>
              </w:rPr>
              <w:t>§10 Metrics</w:t>
            </w:r>
          </w:p>
        </w:tc>
        <w:tc>
          <w:tcPr>
            <w:tcW w:type="dxa" w:w="5269"/>
            <w:shd w:val="clear" w:color="auto" w:fill="F2F5F9"/>
          </w:tcPr>
          <w:p>
            <w:pPr>
              <w:spacing w:after="20"/>
            </w:pPr>
            <w:r/>
            <w:r>
              <w:rPr>
                <w:sz w:val="19"/>
              </w:rPr>
              <w:t>Included (outcome metrics rather than model metrics)</w:t>
            </w:r>
          </w:p>
        </w:tc>
      </w:tr>
      <w:tr>
        <w:tc>
          <w:tcPr>
            <w:tcW w:type="dxa" w:w="4368"/>
          </w:tcPr>
          <w:p>
            <w:pPr>
              <w:spacing w:after="20"/>
            </w:pPr>
            <w:r/>
            <w:r>
              <w:rPr>
                <w:sz w:val="19"/>
              </w:rPr>
              <w:t>§12 Validation</w:t>
            </w:r>
          </w:p>
        </w:tc>
        <w:tc>
          <w:tcPr>
            <w:tcW w:type="dxa" w:w="5269"/>
          </w:tcPr>
          <w:p>
            <w:pPr>
              <w:spacing w:after="20"/>
            </w:pPr>
            <w:r/>
            <w:r>
              <w:rPr>
                <w:sz w:val="19"/>
              </w:rPr>
              <w:t>Included (design windows, not model splits)</w:t>
            </w:r>
          </w:p>
        </w:tc>
      </w:tr>
      <w:tr>
        <w:tc>
          <w:tcPr>
            <w:tcW w:type="dxa" w:w="4368"/>
            <w:shd w:val="clear" w:color="auto" w:fill="F2F5F9"/>
          </w:tcPr>
          <w:p>
            <w:pPr>
              <w:spacing w:after="20"/>
            </w:pPr>
            <w:r/>
            <w:r>
              <w:rPr>
                <w:sz w:val="19"/>
              </w:rPr>
              <w:t>§13 Leakage audit</w:t>
            </w:r>
          </w:p>
        </w:tc>
        <w:tc>
          <w:tcPr>
            <w:tcW w:type="dxa" w:w="5269"/>
            <w:shd w:val="clear" w:color="auto" w:fill="F2F5F9"/>
          </w:tcPr>
          <w:p>
            <w:pPr>
              <w:spacing w:after="20"/>
            </w:pPr>
            <w:r/>
            <w:r>
              <w:rPr>
                <w:sz w:val="19"/>
              </w:rPr>
              <w:t>Included, as bias/contamination audit</w:t>
            </w:r>
          </w:p>
        </w:tc>
      </w:tr>
      <w:tr>
        <w:tc>
          <w:tcPr>
            <w:tcW w:type="dxa" w:w="4368"/>
          </w:tcPr>
          <w:p>
            <w:pPr>
              <w:spacing w:after="20"/>
            </w:pPr>
            <w:r/>
            <w:r>
              <w:rPr>
                <w:sz w:val="19"/>
              </w:rPr>
              <w:t>§14–15</w:t>
            </w:r>
          </w:p>
        </w:tc>
        <w:tc>
          <w:tcPr>
            <w:tcW w:type="dxa" w:w="5269"/>
          </w:tcPr>
          <w:p>
            <w:pPr>
              <w:spacing w:after="20"/>
            </w:pPr>
            <w:r/>
            <w:r>
              <w:rPr>
                <w:sz w:val="19"/>
              </w:rPr>
              <w:t>Included (core of this plan)</w:t>
            </w:r>
          </w:p>
        </w:tc>
      </w:tr>
      <w:tr>
        <w:tc>
          <w:tcPr>
            <w:tcW w:type="dxa" w:w="4368"/>
            <w:shd w:val="clear" w:color="auto" w:fill="F2F5F9"/>
          </w:tcPr>
          <w:p>
            <w:pPr>
              <w:spacing w:after="20"/>
            </w:pPr>
            <w:r/>
            <w:r>
              <w:rPr>
                <w:sz w:val="19"/>
              </w:rPr>
              <w:t>§16 Interpretability</w:t>
            </w:r>
          </w:p>
        </w:tc>
        <w:tc>
          <w:tcPr>
            <w:tcW w:type="dxa" w:w="5269"/>
            <w:shd w:val="clear" w:color="auto" w:fill="F2F5F9"/>
          </w:tcPr>
          <w:p>
            <w:pPr>
              <w:spacing w:after="20"/>
            </w:pPr>
            <w:r/>
            <w:r>
              <w:rPr>
                <w:sz w:val="19"/>
              </w:rPr>
              <w:t>Omitted: no model; uncertainty reporting is covered in §14</w:t>
            </w:r>
          </w:p>
        </w:tc>
      </w:tr>
      <w:tr>
        <w:tc>
          <w:tcPr>
            <w:tcW w:type="dxa" w:w="4368"/>
          </w:tcPr>
          <w:p>
            <w:pPr>
              <w:spacing w:after="20"/>
            </w:pPr>
            <w:r/>
            <w:r>
              <w:rPr>
                <w:sz w:val="19"/>
              </w:rPr>
              <w:t>§17–21</w:t>
            </w:r>
          </w:p>
        </w:tc>
        <w:tc>
          <w:tcPr>
            <w:tcW w:type="dxa" w:w="5269"/>
          </w:tcPr>
          <w:p>
            <w:pPr>
              <w:spacing w:after="20"/>
            </w:pPr>
            <w:r/>
            <w:r>
              <w:rPr>
                <w:sz w:val="19"/>
              </w:rPr>
              <w:t>Included</w:t>
            </w:r>
          </w:p>
        </w:tc>
      </w:tr>
    </w:tbl>
    <w:p>
      <w:pPr>
        <w:spacing w:after="40"/>
      </w:pPr>
    </w:p>
    <w:p>
      <w:pPr>
        <w:pStyle w:val="Heading2"/>
      </w:pPr>
      <w:r>
        <w:rPr/>
        <w:t>2. Business Problem &amp; Decision Framing</w:t>
      </w:r>
    </w:p>
    <w:tbl>
      <w:tblPr>
        <w:tblStyle w:val="TableGrid"/>
        <w:tblW w:type="auto" w:w="0"/>
        <w:jc w:val="center"/>
        <w:tblLayout w:type="fixed"/>
        <w:tblLook w:firstColumn="1" w:firstRow="1" w:lastColumn="0" w:lastRow="0" w:noHBand="0" w:noVBand="1" w:val="04A0"/>
        <w:tblLayout w:type="fixed"/>
      </w:tblPr>
      <w:tblGrid>
        <w:gridCol w:w="2085"/>
        <w:gridCol w:w="5278"/>
        <w:gridCol w:w="2275"/>
      </w:tblGrid>
      <w:tr>
        <w:trPr>
          <w:tblHeader w:val="true"/>
        </w:trPr>
        <w:tc>
          <w:tcPr>
            <w:tcW w:type="dxa" w:w="2085"/>
            <w:shd w:val="clear" w:color="auto" w:fill="1F3A5F"/>
          </w:tcPr>
          <w:p>
            <w:r/>
            <w:r>
              <w:rPr>
                <w:b/>
                <w:color w:val="FFFFFF"/>
                <w:sz w:val="19"/>
              </w:rPr>
              <w:t>Element</w:t>
            </w:r>
          </w:p>
        </w:tc>
        <w:tc>
          <w:tcPr>
            <w:tcW w:type="dxa" w:w="5278"/>
            <w:shd w:val="clear" w:color="auto" w:fill="1F3A5F"/>
          </w:tcPr>
          <w:p>
            <w:r/>
            <w:r>
              <w:rPr>
                <w:b/>
                <w:color w:val="FFFFFF"/>
                <w:sz w:val="19"/>
              </w:rPr>
              <w:t>Definition for this case</w:t>
            </w:r>
          </w:p>
        </w:tc>
        <w:tc>
          <w:tcPr>
            <w:tcW w:type="dxa" w:w="2275"/>
            <w:shd w:val="clear" w:color="auto" w:fill="1F3A5F"/>
          </w:tcPr>
          <w:p>
            <w:r/>
            <w:r>
              <w:rPr>
                <w:b/>
                <w:color w:val="FFFFFF"/>
                <w:sz w:val="19"/>
              </w:rPr>
              <w:t>Status</w:t>
            </w:r>
          </w:p>
        </w:tc>
      </w:tr>
      <w:tr>
        <w:tc>
          <w:tcPr>
            <w:tcW w:type="dxa" w:w="2085"/>
          </w:tcPr>
          <w:p>
            <w:pPr>
              <w:spacing w:after="20"/>
            </w:pPr>
            <w:r/>
            <w:r>
              <w:rPr>
                <w:sz w:val="19"/>
              </w:rPr>
              <w:t>Decision</w:t>
            </w:r>
          </w:p>
        </w:tc>
        <w:tc>
          <w:tcPr>
            <w:tcW w:type="dxa" w:w="5278"/>
          </w:tcPr>
          <w:p>
            <w:pPr>
              <w:spacing w:after="20"/>
            </w:pPr>
            <w:r/>
            <w:r>
              <w:rPr>
                <w:sz w:val="19"/>
              </w:rPr>
              <w:t>(a) What can be publicly/internally claimed about the feature's impact; (b) roll out to all 220 stores or not (or in what order)</w:t>
            </w:r>
          </w:p>
        </w:tc>
        <w:tc>
          <w:tcPr>
            <w:tcW w:type="dxa" w:w="2275"/>
          </w:tcPr>
          <w:p>
            <w:pPr>
              <w:spacing w:after="20"/>
            </w:pPr>
            <w:r/>
            <w:r>
              <w:rPr>
                <w:b/>
                <w:color w:val="1E7B34"/>
                <w:sz w:val="19"/>
              </w:rPr>
              <w:t>[Confirmed]</w:t>
            </w:r>
          </w:p>
        </w:tc>
      </w:tr>
      <w:tr>
        <w:tc>
          <w:tcPr>
            <w:tcW w:type="dxa" w:w="2085"/>
            <w:shd w:val="clear" w:color="auto" w:fill="F2F5F9"/>
          </w:tcPr>
          <w:p>
            <w:pPr>
              <w:spacing w:after="20"/>
            </w:pPr>
            <w:r/>
            <w:r>
              <w:rPr>
                <w:sz w:val="19"/>
              </w:rPr>
              <w:t>Decision owner</w:t>
            </w:r>
          </w:p>
        </w:tc>
        <w:tc>
          <w:tcPr>
            <w:tcW w:type="dxa" w:w="5278"/>
            <w:shd w:val="clear" w:color="auto" w:fill="F2F5F9"/>
          </w:tcPr>
          <w:p>
            <w:pPr>
              <w:spacing w:after="20"/>
            </w:pPr>
            <w:r/>
            <w:r>
              <w:rPr>
                <w:sz w:val="19"/>
              </w:rPr>
              <w:t>CMO</w:t>
            </w:r>
          </w:p>
        </w:tc>
        <w:tc>
          <w:tcPr>
            <w:tcW w:type="dxa" w:w="2275"/>
            <w:shd w:val="clear" w:color="auto" w:fill="F2F5F9"/>
          </w:tcPr>
          <w:p>
            <w:pPr>
              <w:spacing w:after="20"/>
            </w:pPr>
            <w:r/>
            <w:r>
              <w:rPr>
                <w:b/>
                <w:color w:val="1E7B34"/>
                <w:sz w:val="19"/>
              </w:rPr>
              <w:t>[Confirmed]</w:t>
            </w:r>
          </w:p>
        </w:tc>
      </w:tr>
      <w:tr>
        <w:tc>
          <w:tcPr>
            <w:tcW w:type="dxa" w:w="2085"/>
          </w:tcPr>
          <w:p>
            <w:pPr>
              <w:spacing w:after="20"/>
            </w:pPr>
            <w:r/>
            <w:r>
              <w:rPr>
                <w:sz w:val="19"/>
              </w:rPr>
              <w:t>Timing</w:t>
            </w:r>
          </w:p>
        </w:tc>
        <w:tc>
          <w:tcPr>
            <w:tcW w:type="dxa" w:w="5278"/>
          </w:tcPr>
          <w:p>
            <w:pPr>
              <w:spacing w:after="20"/>
            </w:pPr>
            <w:r/>
            <w:r>
              <w:rPr>
                <w:sz w:val="19"/>
              </w:rPr>
              <w:t>Rollout decision pending; launch was about 6 months ago</w:t>
            </w:r>
          </w:p>
        </w:tc>
        <w:tc>
          <w:tcPr>
            <w:tcW w:type="dxa" w:w="2275"/>
          </w:tcPr>
          <w:p>
            <w:pPr>
              <w:spacing w:after="20"/>
            </w:pPr>
            <w:r/>
            <w:r>
              <w:rPr>
                <w:b/>
                <w:color w:val="1E7B34"/>
                <w:sz w:val="19"/>
              </w:rPr>
              <w:t>[Confirmed]</w:t>
            </w:r>
          </w:p>
        </w:tc>
      </w:tr>
      <w:tr>
        <w:tc>
          <w:tcPr>
            <w:tcW w:type="dxa" w:w="2085"/>
            <w:shd w:val="clear" w:color="auto" w:fill="F2F5F9"/>
          </w:tcPr>
          <w:p>
            <w:pPr>
              <w:spacing w:after="20"/>
            </w:pPr>
            <w:r/>
            <w:r>
              <w:rPr>
                <w:sz w:val="19"/>
              </w:rPr>
              <w:t>Action space</w:t>
            </w:r>
          </w:p>
        </w:tc>
        <w:tc>
          <w:tcPr>
            <w:tcW w:type="dxa" w:w="5278"/>
            <w:shd w:val="clear" w:color="auto" w:fill="F2F5F9"/>
          </w:tcPr>
          <w:p>
            <w:pPr>
              <w:spacing w:after="20"/>
            </w:pPr>
            <w:r/>
            <w:r>
              <w:rPr>
                <w:sz w:val="19"/>
              </w:rPr>
              <w:t>Roll out to all / roll out in waves / stop / continue current 40 only / redesign</w:t>
            </w:r>
          </w:p>
        </w:tc>
        <w:tc>
          <w:tcPr>
            <w:tcW w:type="dxa" w:w="2275"/>
            <w:shd w:val="clear" w:color="auto" w:fill="F2F5F9"/>
          </w:tcPr>
          <w:p>
            <w:pPr>
              <w:spacing w:after="20"/>
            </w:pPr>
            <w:r/>
            <w:r>
              <w:rPr>
                <w:b/>
                <w:color w:val="B36B00"/>
                <w:sz w:val="19"/>
              </w:rPr>
              <w:t>[Assumed]</w:t>
            </w:r>
          </w:p>
        </w:tc>
      </w:tr>
      <w:tr>
        <w:tc>
          <w:tcPr>
            <w:tcW w:type="dxa" w:w="2085"/>
          </w:tcPr>
          <w:p>
            <w:pPr>
              <w:spacing w:after="20"/>
            </w:pPr>
            <w:r/>
            <w:r>
              <w:rPr>
                <w:sz w:val="19"/>
              </w:rPr>
              <w:t>Capacity</w:t>
            </w:r>
          </w:p>
        </w:tc>
        <w:tc>
          <w:tcPr>
            <w:tcW w:type="dxa" w:w="5278"/>
          </w:tcPr>
          <w:p>
            <w:pPr>
              <w:spacing w:after="20"/>
            </w:pPr>
            <w:r/>
            <w:r>
              <w:rPr>
                <w:sz w:val="19"/>
              </w:rPr>
              <w:t>Cost and effort of enabling a store, and number of stores per wave</w:t>
            </w:r>
          </w:p>
        </w:tc>
        <w:tc>
          <w:tcPr>
            <w:tcW w:type="dxa" w:w="2275"/>
          </w:tcPr>
          <w:p>
            <w:pPr>
              <w:spacing w:after="20"/>
            </w:pPr>
            <w:r/>
            <w:r>
              <w:rPr>
                <w:b/>
                <w:color w:val="C0392B"/>
                <w:sz w:val="19"/>
              </w:rPr>
              <w:t>[TBD with client]</w:t>
            </w:r>
          </w:p>
        </w:tc>
      </w:tr>
      <w:tr>
        <w:tc>
          <w:tcPr>
            <w:tcW w:type="dxa" w:w="2085"/>
            <w:shd w:val="clear" w:color="auto" w:fill="F2F5F9"/>
          </w:tcPr>
          <w:p>
            <w:pPr>
              <w:spacing w:after="20"/>
            </w:pPr>
            <w:r/>
            <w:r>
              <w:rPr>
                <w:sz w:val="19"/>
              </w:rPr>
              <w:t>Unit of analysis</w:t>
            </w:r>
          </w:p>
        </w:tc>
        <w:tc>
          <w:tcPr>
            <w:tcW w:type="dxa" w:w="5278"/>
            <w:shd w:val="clear" w:color="auto" w:fill="F2F5F9"/>
          </w:tcPr>
          <w:p>
            <w:pPr>
              <w:spacing w:after="20"/>
            </w:pPr>
            <w:r/>
            <w:r>
              <w:rPr>
                <w:sz w:val="19"/>
              </w:rPr>
              <w:t>Store × week (panel)</w:t>
            </w:r>
          </w:p>
        </w:tc>
        <w:tc>
          <w:tcPr>
            <w:tcW w:type="dxa" w:w="2275"/>
            <w:shd w:val="clear" w:color="auto" w:fill="F2F5F9"/>
          </w:tcPr>
          <w:p>
            <w:pPr>
              <w:spacing w:after="20"/>
            </w:pPr>
            <w:r/>
            <w:r>
              <w:rPr>
                <w:b/>
                <w:color w:val="B36B00"/>
                <w:sz w:val="19"/>
              </w:rPr>
              <w:t>[Assumed]</w:t>
            </w:r>
          </w:p>
        </w:tc>
      </w:tr>
      <w:tr>
        <w:tc>
          <w:tcPr>
            <w:tcW w:type="dxa" w:w="2085"/>
          </w:tcPr>
          <w:p>
            <w:pPr>
              <w:spacing w:after="20"/>
            </w:pPr>
            <w:r/>
            <w:r>
              <w:rPr>
                <w:sz w:val="19"/>
              </w:rPr>
              <w:t>Population</w:t>
            </w:r>
          </w:p>
        </w:tc>
        <w:tc>
          <w:tcPr>
            <w:tcW w:type="dxa" w:w="5278"/>
          </w:tcPr>
          <w:p>
            <w:pPr>
              <w:spacing w:after="20"/>
            </w:pPr>
            <w:r/>
            <w:r>
              <w:rPr>
                <w:sz w:val="19"/>
              </w:rPr>
              <w:t>220 stores: 40 treated, 180 untreated</w:t>
            </w:r>
          </w:p>
        </w:tc>
        <w:tc>
          <w:tcPr>
            <w:tcW w:type="dxa" w:w="2275"/>
          </w:tcPr>
          <w:p>
            <w:pPr>
              <w:spacing w:after="20"/>
            </w:pPr>
            <w:r/>
            <w:r>
              <w:rPr>
                <w:b/>
                <w:color w:val="1E7B34"/>
                <w:sz w:val="19"/>
              </w:rPr>
              <w:t>[Confirmed]</w:t>
            </w:r>
          </w:p>
        </w:tc>
      </w:tr>
      <w:tr>
        <w:tc>
          <w:tcPr>
            <w:tcW w:type="dxa" w:w="2085"/>
            <w:shd w:val="clear" w:color="auto" w:fill="F2F5F9"/>
          </w:tcPr>
          <w:p>
            <w:pPr>
              <w:spacing w:after="20"/>
            </w:pPr>
            <w:r/>
            <w:r>
              <w:rPr>
                <w:sz w:val="19"/>
              </w:rPr>
              <w:t>Outcome (primary)</w:t>
            </w:r>
          </w:p>
        </w:tc>
        <w:tc>
          <w:tcPr>
            <w:tcW w:type="dxa" w:w="5278"/>
            <w:shd w:val="clear" w:color="auto" w:fill="F2F5F9"/>
          </w:tcPr>
          <w:p>
            <w:pPr>
              <w:spacing w:after="20"/>
            </w:pPr>
            <w:r/>
            <w:r>
              <w:rPr>
                <w:sz w:val="19"/>
              </w:rPr>
              <w:t xml:space="preserve">Weekly sales; </w:t>
            </w:r>
            <w:r>
              <w:rPr>
                <w:b/>
                <w:sz w:val="19"/>
              </w:rPr>
              <w:t>incremental gross margin after offer cost</w:t>
            </w:r>
            <w:r>
              <w:rPr>
                <w:sz w:val="19"/>
              </w:rPr>
              <w:t xml:space="preserve"> is preferred for the decision</w:t>
            </w:r>
          </w:p>
        </w:tc>
        <w:tc>
          <w:tcPr>
            <w:tcW w:type="dxa" w:w="2275"/>
            <w:shd w:val="clear" w:color="auto" w:fill="F2F5F9"/>
          </w:tcPr>
          <w:p>
            <w:pPr>
              <w:spacing w:after="20"/>
            </w:pPr>
            <w:r/>
            <w:r>
              <w:rPr>
                <w:sz w:val="19"/>
              </w:rPr>
              <w:t xml:space="preserve">Sales </w:t>
            </w:r>
            <w:r>
              <w:rPr>
                <w:b/>
                <w:color w:val="1E7B34"/>
                <w:sz w:val="19"/>
              </w:rPr>
              <w:t>[Confirmed]</w:t>
            </w:r>
            <w:r>
              <w:rPr>
                <w:sz w:val="19"/>
              </w:rPr>
              <w:t xml:space="preserve">; margin </w:t>
            </w:r>
            <w:r>
              <w:rPr>
                <w:b/>
                <w:color w:val="C0392B"/>
                <w:sz w:val="19"/>
              </w:rPr>
              <w:t>[To investigate]</w:t>
            </w:r>
          </w:p>
        </w:tc>
      </w:tr>
      <w:tr>
        <w:tc>
          <w:tcPr>
            <w:tcW w:type="dxa" w:w="2085"/>
          </w:tcPr>
          <w:p>
            <w:pPr>
              <w:spacing w:after="20"/>
            </w:pPr>
            <w:r/>
            <w:r>
              <w:rPr>
                <w:sz w:val="19"/>
              </w:rPr>
              <w:t>Observation window</w:t>
            </w:r>
          </w:p>
        </w:tc>
        <w:tc>
          <w:tcPr>
            <w:tcW w:type="dxa" w:w="5278"/>
          </w:tcPr>
          <w:p>
            <w:pPr>
              <w:spacing w:after="20"/>
            </w:pPr>
            <w:r/>
            <w:r>
              <w:rPr>
                <w:sz w:val="19"/>
              </w:rPr>
              <w:t>Pre-launch ≥ 24 months, post-launch about 26 weeks</w:t>
            </w:r>
          </w:p>
        </w:tc>
        <w:tc>
          <w:tcPr>
            <w:tcW w:type="dxa" w:w="2275"/>
          </w:tcPr>
          <w:p>
            <w:pPr>
              <w:spacing w:after="20"/>
            </w:pPr>
            <w:r/>
            <w:r>
              <w:rPr>
                <w:b/>
                <w:color w:val="B36B00"/>
                <w:sz w:val="19"/>
              </w:rPr>
              <w:t>[Assumed]</w:t>
            </w:r>
          </w:p>
        </w:tc>
      </w:tr>
      <w:tr>
        <w:tc>
          <w:tcPr>
            <w:tcW w:type="dxa" w:w="2085"/>
            <w:shd w:val="clear" w:color="auto" w:fill="F2F5F9"/>
          </w:tcPr>
          <w:p>
            <w:pPr>
              <w:spacing w:after="20"/>
            </w:pPr>
            <w:r/>
            <w:r>
              <w:rPr>
                <w:sz w:val="19"/>
              </w:rPr>
              <w:t>Estimand (A1)</w:t>
            </w:r>
          </w:p>
        </w:tc>
        <w:tc>
          <w:tcPr>
            <w:tcW w:type="dxa" w:w="5278"/>
            <w:shd w:val="clear" w:color="auto" w:fill="F2F5F9"/>
          </w:tcPr>
          <w:p>
            <w:pPr>
              <w:spacing w:after="20"/>
            </w:pPr>
            <w:r/>
            <w:r>
              <w:rPr>
                <w:sz w:val="19"/>
              </w:rPr>
              <w:t>ATT: average effect of the feature on weekly net margin (and secondarily sales) in the 40 treated stores over the post period</w:t>
            </w:r>
          </w:p>
        </w:tc>
        <w:tc>
          <w:tcPr>
            <w:tcW w:type="dxa" w:w="2275"/>
            <w:shd w:val="clear" w:color="auto" w:fill="F2F5F9"/>
          </w:tcPr>
          <w:p>
            <w:pPr>
              <w:spacing w:after="20"/>
            </w:pPr>
            <w:r/>
            <w:r>
              <w:rPr>
                <w:b/>
                <w:color w:val="B36B00"/>
                <w:sz w:val="19"/>
              </w:rPr>
              <w:t>[Assumed]</w:t>
            </w:r>
          </w:p>
        </w:tc>
      </w:tr>
      <w:tr>
        <w:tc>
          <w:tcPr>
            <w:tcW w:type="dxa" w:w="2085"/>
          </w:tcPr>
          <w:p>
            <w:pPr>
              <w:spacing w:after="20"/>
            </w:pPr>
            <w:r/>
            <w:r>
              <w:rPr>
                <w:sz w:val="19"/>
              </w:rPr>
              <w:t>Estimand (A2)</w:t>
            </w:r>
          </w:p>
        </w:tc>
        <w:tc>
          <w:tcPr>
            <w:tcW w:type="dxa" w:w="5278"/>
          </w:tcPr>
          <w:p>
            <w:pPr>
              <w:spacing w:after="20"/>
            </w:pPr>
            <w:r/>
            <w:r>
              <w:rPr>
                <w:sz w:val="19"/>
              </w:rPr>
              <w:t>ATE: average effect of enabling the feature in a typical store among the 180 not yet treated</w:t>
            </w:r>
          </w:p>
        </w:tc>
        <w:tc>
          <w:tcPr>
            <w:tcW w:type="dxa" w:w="2275"/>
          </w:tcPr>
          <w:p>
            <w:pPr>
              <w:spacing w:after="20"/>
            </w:pPr>
            <w:r/>
            <w:r>
              <w:rPr>
                <w:b/>
                <w:color w:val="B36B00"/>
                <w:sz w:val="19"/>
              </w:rPr>
              <w:t>[Assumed]</w:t>
            </w:r>
          </w:p>
        </w:tc>
      </w:tr>
      <w:tr>
        <w:tc>
          <w:tcPr>
            <w:tcW w:type="dxa" w:w="2085"/>
            <w:shd w:val="clear" w:color="auto" w:fill="F2F5F9"/>
          </w:tcPr>
          <w:p>
            <w:pPr>
              <w:spacing w:after="20"/>
            </w:pPr>
            <w:r/>
            <w:r>
              <w:rPr>
                <w:sz w:val="19"/>
              </w:rPr>
              <w:t>Cost of errors</w:t>
            </w:r>
          </w:p>
        </w:tc>
        <w:tc>
          <w:tcPr>
            <w:tcW w:type="dxa" w:w="5278"/>
            <w:shd w:val="clear" w:color="auto" w:fill="F2F5F9"/>
          </w:tcPr>
          <w:p>
            <w:pPr>
              <w:spacing w:after="20"/>
            </w:pPr>
            <w:r/>
            <w:r>
              <w:rPr>
                <w:sz w:val="19"/>
              </w:rPr>
              <w:t>False "yes" → rolling out a feature that costs money/discounts with no real lift and public claim that cannot be defended. False "no" → forgoing a real gain</w:t>
            </w:r>
          </w:p>
        </w:tc>
        <w:tc>
          <w:tcPr>
            <w:tcW w:type="dxa" w:w="2275"/>
            <w:shd w:val="clear" w:color="auto" w:fill="F2F5F9"/>
          </w:tcPr>
          <w:p>
            <w:pPr>
              <w:spacing w:after="20"/>
            </w:pPr>
            <w:r/>
            <w:r>
              <w:rPr>
                <w:b/>
                <w:color w:val="B36B00"/>
                <w:sz w:val="19"/>
              </w:rPr>
              <w:t>[Assumed]</w:t>
            </w:r>
          </w:p>
        </w:tc>
      </w:tr>
      <w:tr>
        <w:tc>
          <w:tcPr>
            <w:tcW w:type="dxa" w:w="2085"/>
          </w:tcPr>
          <w:p>
            <w:pPr>
              <w:spacing w:after="20"/>
            </w:pPr>
            <w:r/>
            <w:r>
              <w:rPr>
                <w:sz w:val="19"/>
              </w:rPr>
              <w:t>Success criteria</w:t>
            </w:r>
          </w:p>
        </w:tc>
        <w:tc>
          <w:tcPr>
            <w:tcW w:type="dxa" w:w="5278"/>
          </w:tcPr>
          <w:p>
            <w:pPr>
              <w:spacing w:after="20"/>
            </w:pPr>
            <w:r/>
            <w:r>
              <w:rPr>
                <w:sz w:val="19"/>
              </w:rPr>
              <w:t xml:space="preserve">Net margin effect CI lower bound above zero </w:t>
            </w:r>
            <w:r>
              <w:rPr>
                <w:b/>
                <w:sz w:val="19"/>
              </w:rPr>
              <w:t>and</w:t>
            </w:r>
            <w:r>
              <w:rPr>
                <w:sz w:val="19"/>
              </w:rPr>
              <w:t xml:space="preserve"> above the minimum worthwhile effect </w:t>
            </w:r>
            <w:r>
              <w:rPr>
                <w:b/>
                <w:color w:val="C0392B"/>
                <w:sz w:val="19"/>
              </w:rPr>
              <w:t>[TBD with client]</w:t>
            </w:r>
          </w:p>
        </w:tc>
        <w:tc>
          <w:tcPr>
            <w:tcW w:type="dxa" w:w="2275"/>
          </w:tcPr>
          <w:p>
            <w:pPr>
              <w:spacing w:after="20"/>
            </w:pPr>
            <w:r/>
            <w:r>
              <w:rPr>
                <w:b/>
                <w:color w:val="C0392B"/>
                <w:sz w:val="19"/>
              </w:rPr>
              <w:t>[TBD with client]</w:t>
            </w:r>
          </w:p>
        </w:tc>
      </w:tr>
      <w:tr>
        <w:tc>
          <w:tcPr>
            <w:tcW w:type="dxa" w:w="2085"/>
            <w:shd w:val="clear" w:color="auto" w:fill="F2F5F9"/>
          </w:tcPr>
          <w:p>
            <w:pPr>
              <w:spacing w:after="20"/>
            </w:pPr>
            <w:r/>
            <w:r>
              <w:rPr>
                <w:sz w:val="19"/>
              </w:rPr>
              <w:t>Constraints</w:t>
            </w:r>
          </w:p>
        </w:tc>
        <w:tc>
          <w:tcPr>
            <w:tcW w:type="dxa" w:w="5278"/>
            <w:shd w:val="clear" w:color="auto" w:fill="F2F5F9"/>
          </w:tcPr>
          <w:p>
            <w:pPr>
              <w:spacing w:after="20"/>
            </w:pPr>
            <w:r/>
            <w:r>
              <w:rPr>
                <w:sz w:val="19"/>
              </w:rPr>
              <w:t>Consumer-data and marketing-consent rules (DPDP Act 2023 and Rules, if India; confirm jurisdiction); fairness of personalised offers</w:t>
            </w:r>
          </w:p>
        </w:tc>
        <w:tc>
          <w:tcPr>
            <w:tcW w:type="dxa" w:w="2275"/>
            <w:shd w:val="clear" w:color="auto" w:fill="F2F5F9"/>
          </w:tcPr>
          <w:p>
            <w:pPr>
              <w:spacing w:after="20"/>
            </w:pPr>
            <w:r/>
            <w:r>
              <w:rPr>
                <w:b/>
                <w:color w:val="C0392B"/>
                <w:sz w:val="19"/>
              </w:rPr>
              <w:t>[To investigate]</w:t>
            </w:r>
          </w:p>
        </w:tc>
      </w:tr>
    </w:tbl>
    <w:p>
      <w:pPr>
        <w:spacing w:after="40"/>
      </w:pPr>
    </w:p>
    <w:p>
      <w:pPr>
        <w:pStyle w:val="Heading2"/>
      </w:pPr>
      <w:r>
        <w:rPr/>
        <w:t>3. Analytical Problem Classification</w:t>
      </w:r>
    </w:p>
    <w:p>
      <w:pPr>
        <w:pStyle w:val="ListBullet"/>
        <w:spacing w:after="40"/>
        <w:ind w:left="357" w:hanging="357"/>
      </w:pPr>
      <w:r>
        <w:rPr>
          <w:b/>
        </w:rPr>
        <w:t>A1, retrospective causal effect on the 40 treated stores.</w:t>
      </w:r>
      <w:r>
        <w:rPr/>
        <w:t xml:space="preserve"> Causal lens, observational data with non-random assignment. Formulation: difference-in-differences (DiD), with synthetic control / matched comparison as cross-checks.</w:t>
      </w:r>
    </w:p>
    <w:p>
      <w:pPr>
        <w:pStyle w:val="ListBullet"/>
        <w:spacing w:after="40"/>
        <w:ind w:left="357" w:hanging="357"/>
      </w:pPr>
      <w:r>
        <w:rPr>
          <w:b/>
        </w:rPr>
        <w:t>A2, forward rollout decision.</w:t>
      </w:r>
      <w:r>
        <w:rPr/>
        <w:t xml:space="preserve"> Causal lens, experimental. Formulation: store-level cluster-randomised trial or stepped-wedge rollout among the 180 untreated stores.</w:t>
      </w:r>
    </w:p>
    <w:p>
      <w:pPr>
        <w:pStyle w:val="ListBullet"/>
        <w:spacing w:after="40"/>
        <w:ind w:left="357" w:hanging="357"/>
      </w:pPr>
      <w:r>
        <w:rPr>
          <w:b/>
        </w:rPr>
        <w:t>A3 (optional, deferred), who benefits.</w:t>
      </w:r>
      <w:r>
        <w:rPr/>
        <w:t xml:space="preserve"> Heterogeneous effect / uplift analysis, run only on randomised data from A2.</w:t>
      </w:r>
    </w:p>
    <w:p>
      <w:pPr>
        <w:pStyle w:val="ListBullet"/>
        <w:spacing w:after="40"/>
        <w:ind w:left="357" w:hanging="357"/>
      </w:pPr>
      <w:r>
        <w:rPr>
          <w:b/>
        </w:rPr>
        <w:t>Alternatives considered:</w:t>
      </w:r>
      <w:r>
        <w:rPr/>
        <w:t xml:space="preserve"> (i) the raw 12% vs 5% comparison (rejected: ignores selection); (ii) regression adjusting for store size and region (kept only as a secondary estimate: it relies on no unmeasured confounding); (iii) a predictive model of sales with "treated" as a feature (rejected: feature importance is not a causal effect); (iv) customer-level randomisation inside stores (better statistical power, but app-level randomisation may be possible and is worth checking, see Q8 below, because store-level randomisation has few units).</w:t>
      </w:r>
    </w:p>
    <w:p>
      <w:pPr>
        <w:shd w:val="clear" w:color="auto" w:fill="F2F2F2"/>
        <w:pBdr>
          <w:left w:val="single" w:sz="18" w:space="8" w:color="2E75B6"/>
        </w:pBdr>
        <w:spacing w:before="80" w:after="120"/>
        <w:ind w:left="170"/>
      </w:pPr>
      <w:r>
        <w:rPr>
          <w:b/>
        </w:rPr>
        <w:t>Note:</w:t>
      </w:r>
      <w:r>
        <w:rPr/>
        <w:t xml:space="preserve"> "7-point lift" arithmetic: 12 − 5 = 7 percentage points. This is derived only from the brief and is the </w:t>
      </w:r>
      <w:r>
        <w:rPr>
          <w:i/>
        </w:rPr>
        <w:t>naive difference</w:t>
      </w:r>
      <w:r>
        <w:rPr/>
        <w:t>; relative growth ratio 1.12 / 1.05 − 1 ≈ 6.7%. Neither is a causal estimate.</w:t>
      </w:r>
    </w:p>
    <w:p>
      <w:pPr>
        <w:pStyle w:val="Heading2"/>
      </w:pPr>
      <w:r>
        <w:rPr/>
        <w:t>4. Assumptions, Unknowns &amp; Client Clarification Questions</w:t>
      </w:r>
    </w:p>
    <w:tbl>
      <w:tblPr>
        <w:tblStyle w:val="TableGrid"/>
        <w:tblW w:type="auto" w:w="0"/>
        <w:jc w:val="center"/>
        <w:tblLayout w:type="fixed"/>
        <w:tblLook w:firstColumn="1" w:firstRow="1" w:lastColumn="0" w:lastRow="0" w:noHBand="0" w:noVBand="1" w:val="04A0"/>
        <w:tblLayout w:type="fixed"/>
      </w:tblPr>
      <w:tblGrid>
        <w:gridCol w:w="945"/>
        <w:gridCol w:w="3261"/>
        <w:gridCol w:w="1181"/>
        <w:gridCol w:w="2125"/>
        <w:gridCol w:w="1181"/>
        <w:gridCol w:w="945"/>
      </w:tblGrid>
      <w:tr>
        <w:trPr>
          <w:tblHeader w:val="true"/>
        </w:trPr>
        <w:tc>
          <w:tcPr>
            <w:tcW w:type="dxa" w:w="945"/>
            <w:shd w:val="clear" w:color="auto" w:fill="1F3A5F"/>
          </w:tcPr>
          <w:p>
            <w:r/>
            <w:r>
              <w:rPr>
                <w:b/>
                <w:color w:val="FFFFFF"/>
                <w:sz w:val="17"/>
              </w:rPr>
              <w:t>ID</w:t>
            </w:r>
          </w:p>
        </w:tc>
        <w:tc>
          <w:tcPr>
            <w:tcW w:type="dxa" w:w="3261"/>
            <w:shd w:val="clear" w:color="auto" w:fill="1F3A5F"/>
          </w:tcPr>
          <w:p>
            <w:r/>
            <w:r>
              <w:rPr>
                <w:b/>
                <w:color w:val="FFFFFF"/>
                <w:sz w:val="17"/>
              </w:rPr>
              <w:t>Statement</w:t>
            </w:r>
          </w:p>
        </w:tc>
        <w:tc>
          <w:tcPr>
            <w:tcW w:type="dxa" w:w="1181"/>
            <w:shd w:val="clear" w:color="auto" w:fill="1F3A5F"/>
          </w:tcPr>
          <w:p>
            <w:r/>
            <w:r>
              <w:rPr>
                <w:b/>
                <w:color w:val="FFFFFF"/>
                <w:sz w:val="17"/>
              </w:rPr>
              <w:t>Type</w:t>
            </w:r>
          </w:p>
        </w:tc>
        <w:tc>
          <w:tcPr>
            <w:tcW w:type="dxa" w:w="2125"/>
            <w:shd w:val="clear" w:color="auto" w:fill="1F3A5F"/>
          </w:tcPr>
          <w:p>
            <w:r/>
            <w:r>
              <w:rPr>
                <w:b/>
                <w:color w:val="FFFFFF"/>
                <w:sz w:val="17"/>
              </w:rPr>
              <w:t>Impact if wrong</w:t>
            </w:r>
          </w:p>
        </w:tc>
        <w:tc>
          <w:tcPr>
            <w:tcW w:type="dxa" w:w="1181"/>
            <w:shd w:val="clear" w:color="auto" w:fill="1F3A5F"/>
          </w:tcPr>
          <w:p>
            <w:r/>
            <w:r>
              <w:rPr>
                <w:b/>
                <w:color w:val="FFFFFF"/>
                <w:sz w:val="17"/>
              </w:rPr>
              <w:t>Owner</w:t>
            </w:r>
          </w:p>
        </w:tc>
        <w:tc>
          <w:tcPr>
            <w:tcW w:type="dxa" w:w="945"/>
            <w:shd w:val="clear" w:color="auto" w:fill="1F3A5F"/>
          </w:tcPr>
          <w:p>
            <w:r/>
            <w:r>
              <w:rPr>
                <w:b/>
                <w:color w:val="FFFFFF"/>
                <w:sz w:val="17"/>
              </w:rPr>
              <w:t>Needed by</w:t>
            </w:r>
          </w:p>
        </w:tc>
      </w:tr>
      <w:tr>
        <w:tc>
          <w:tcPr>
            <w:tcW w:type="dxa" w:w="945"/>
          </w:tcPr>
          <w:p>
            <w:pPr>
              <w:spacing w:after="20"/>
            </w:pPr>
            <w:r/>
            <w:r>
              <w:rPr>
                <w:sz w:val="17"/>
              </w:rPr>
              <w:t>F1</w:t>
            </w:r>
          </w:p>
        </w:tc>
        <w:tc>
          <w:tcPr>
            <w:tcW w:type="dxa" w:w="3261"/>
          </w:tcPr>
          <w:p>
            <w:pPr>
              <w:spacing w:after="20"/>
            </w:pPr>
            <w:r/>
            <w:r>
              <w:rPr>
                <w:sz w:val="17"/>
              </w:rPr>
              <w:t>40 of 220 stores have the feature; ~6 months live</w:t>
            </w:r>
          </w:p>
        </w:tc>
        <w:tc>
          <w:tcPr>
            <w:tcW w:type="dxa" w:w="1181"/>
          </w:tcPr>
          <w:p>
            <w:pPr>
              <w:spacing w:after="20"/>
            </w:pPr>
            <w:r/>
            <w:r>
              <w:rPr>
                <w:sz w:val="17"/>
              </w:rPr>
              <w:t>Fact</w:t>
            </w:r>
          </w:p>
        </w:tc>
        <w:tc>
          <w:tcPr>
            <w:tcW w:type="dxa" w:w="2125"/>
          </w:tcPr>
          <w:p>
            <w:pPr>
              <w:spacing w:after="20"/>
            </w:pPr>
            <w:r/>
            <w:r>
              <w:rPr>
                <w:sz w:val="17"/>
              </w:rPr>
              <w:t>—</w:t>
            </w:r>
          </w:p>
        </w:tc>
        <w:tc>
          <w:tcPr>
            <w:tcW w:type="dxa" w:w="1181"/>
          </w:tcPr>
          <w:p>
            <w:pPr>
              <w:spacing w:after="20"/>
            </w:pPr>
            <w:r/>
            <w:r>
              <w:rPr>
                <w:sz w:val="17"/>
              </w:rPr>
              <w:t>CMO office</w:t>
            </w:r>
          </w:p>
        </w:tc>
        <w:tc>
          <w:tcPr>
            <w:tcW w:type="dxa" w:w="945"/>
          </w:tcPr>
          <w:p>
            <w:pPr>
              <w:spacing w:after="20"/>
            </w:pPr>
            <w:r/>
            <w:r>
              <w:rPr>
                <w:sz w:val="17"/>
              </w:rPr>
              <w:t>—</w:t>
            </w:r>
          </w:p>
        </w:tc>
      </w:tr>
      <w:tr>
        <w:tc>
          <w:tcPr>
            <w:tcW w:type="dxa" w:w="945"/>
            <w:shd w:val="clear" w:color="auto" w:fill="F2F5F9"/>
          </w:tcPr>
          <w:p>
            <w:pPr>
              <w:spacing w:after="20"/>
            </w:pPr>
            <w:r/>
            <w:r>
              <w:rPr>
                <w:sz w:val="17"/>
              </w:rPr>
              <w:t>F2</w:t>
            </w:r>
          </w:p>
        </w:tc>
        <w:tc>
          <w:tcPr>
            <w:tcW w:type="dxa" w:w="3261"/>
            <w:shd w:val="clear" w:color="auto" w:fill="F2F5F9"/>
          </w:tcPr>
          <w:p>
            <w:pPr>
              <w:spacing w:after="20"/>
            </w:pPr>
            <w:r/>
            <w:r>
              <w:rPr>
                <w:sz w:val="17"/>
              </w:rPr>
              <w:t>Treated stores were chosen by regional managers, mostly larger metro stores</w:t>
            </w:r>
          </w:p>
        </w:tc>
        <w:tc>
          <w:tcPr>
            <w:tcW w:type="dxa" w:w="1181"/>
            <w:shd w:val="clear" w:color="auto" w:fill="F2F5F9"/>
          </w:tcPr>
          <w:p>
            <w:pPr>
              <w:spacing w:after="20"/>
            </w:pPr>
            <w:r/>
            <w:r>
              <w:rPr>
                <w:sz w:val="17"/>
              </w:rPr>
              <w:t>Fact</w:t>
            </w:r>
          </w:p>
        </w:tc>
        <w:tc>
          <w:tcPr>
            <w:tcW w:type="dxa" w:w="2125"/>
            <w:shd w:val="clear" w:color="auto" w:fill="F2F5F9"/>
          </w:tcPr>
          <w:p>
            <w:pPr>
              <w:spacing w:after="20"/>
            </w:pPr>
            <w:r/>
            <w:r>
              <w:rPr>
                <w:sz w:val="17"/>
              </w:rPr>
              <w:t>Selection bias is the central threat</w:t>
            </w:r>
          </w:p>
        </w:tc>
        <w:tc>
          <w:tcPr>
            <w:tcW w:type="dxa" w:w="1181"/>
            <w:shd w:val="clear" w:color="auto" w:fill="F2F5F9"/>
          </w:tcPr>
          <w:p>
            <w:pPr>
              <w:spacing w:after="20"/>
            </w:pPr>
            <w:r/>
            <w:r>
              <w:rPr>
                <w:sz w:val="17"/>
              </w:rPr>
              <w:t>CMO office</w:t>
            </w:r>
          </w:p>
        </w:tc>
        <w:tc>
          <w:tcPr>
            <w:tcW w:type="dxa" w:w="945"/>
            <w:shd w:val="clear" w:color="auto" w:fill="F2F5F9"/>
          </w:tcPr>
          <w:p>
            <w:pPr>
              <w:spacing w:after="20"/>
            </w:pPr>
            <w:r/>
            <w:r>
              <w:rPr>
                <w:sz w:val="17"/>
              </w:rPr>
              <w:t>—</w:t>
            </w:r>
          </w:p>
        </w:tc>
      </w:tr>
      <w:tr>
        <w:tc>
          <w:tcPr>
            <w:tcW w:type="dxa" w:w="945"/>
          </w:tcPr>
          <w:p>
            <w:pPr>
              <w:spacing w:after="20"/>
            </w:pPr>
            <w:r/>
            <w:r>
              <w:rPr>
                <w:sz w:val="17"/>
              </w:rPr>
              <w:t>F3</w:t>
            </w:r>
          </w:p>
        </w:tc>
        <w:tc>
          <w:tcPr>
            <w:tcW w:type="dxa" w:w="3261"/>
          </w:tcPr>
          <w:p>
            <w:pPr>
              <w:spacing w:after="20"/>
            </w:pPr>
            <w:r/>
            <w:r>
              <w:rPr>
                <w:sz w:val="17"/>
              </w:rPr>
              <w:t>Treated +12% YoY vs untreated +5% YoY</w:t>
            </w:r>
          </w:p>
        </w:tc>
        <w:tc>
          <w:tcPr>
            <w:tcW w:type="dxa" w:w="1181"/>
          </w:tcPr>
          <w:p>
            <w:pPr>
              <w:spacing w:after="20"/>
            </w:pPr>
            <w:r/>
            <w:r>
              <w:rPr>
                <w:sz w:val="17"/>
              </w:rPr>
              <w:t>Fact (as reported)</w:t>
            </w:r>
          </w:p>
        </w:tc>
        <w:tc>
          <w:tcPr>
            <w:tcW w:type="dxa" w:w="2125"/>
          </w:tcPr>
          <w:p>
            <w:pPr>
              <w:spacing w:after="20"/>
            </w:pPr>
            <w:r/>
            <w:r>
              <w:rPr>
                <w:sz w:val="17"/>
              </w:rPr>
              <w:t>Definition of "sales" (like-for-like? gross? net of returns?) changes the number</w:t>
            </w:r>
          </w:p>
        </w:tc>
        <w:tc>
          <w:tcPr>
            <w:tcW w:type="dxa" w:w="1181"/>
          </w:tcPr>
          <w:p>
            <w:pPr>
              <w:spacing w:after="20"/>
            </w:pPr>
            <w:r/>
            <w:r>
              <w:rPr>
                <w:sz w:val="17"/>
              </w:rPr>
              <w:t>BI</w:t>
            </w:r>
          </w:p>
        </w:tc>
        <w:tc>
          <w:tcPr>
            <w:tcW w:type="dxa" w:w="945"/>
          </w:tcPr>
          <w:p>
            <w:pPr>
              <w:spacing w:after="20"/>
            </w:pPr>
            <w:r/>
            <w:r>
              <w:rPr>
                <w:sz w:val="17"/>
              </w:rPr>
              <w:t>Week 1</w:t>
            </w:r>
          </w:p>
        </w:tc>
      </w:tr>
      <w:tr>
        <w:tc>
          <w:tcPr>
            <w:tcW w:type="dxa" w:w="945"/>
            <w:shd w:val="clear" w:color="auto" w:fill="F2F5F9"/>
          </w:tcPr>
          <w:p>
            <w:pPr>
              <w:spacing w:after="20"/>
            </w:pPr>
            <w:r/>
            <w:r>
              <w:rPr>
                <w:sz w:val="17"/>
              </w:rPr>
              <w:t>AS1</w:t>
            </w:r>
          </w:p>
        </w:tc>
        <w:tc>
          <w:tcPr>
            <w:tcW w:type="dxa" w:w="3261"/>
            <w:shd w:val="clear" w:color="auto" w:fill="F2F5F9"/>
          </w:tcPr>
          <w:p>
            <w:pPr>
              <w:spacing w:after="20"/>
            </w:pPr>
            <w:r/>
            <w:r>
              <w:rPr>
                <w:sz w:val="17"/>
              </w:rPr>
              <w:t>Sales means net sales of comparable (like-for-like) stores</w:t>
            </w:r>
          </w:p>
        </w:tc>
        <w:tc>
          <w:tcPr>
            <w:tcW w:type="dxa" w:w="1181"/>
            <w:shd w:val="clear" w:color="auto" w:fill="F2F5F9"/>
          </w:tcPr>
          <w:p>
            <w:pPr>
              <w:spacing w:after="20"/>
            </w:pPr>
            <w:r/>
            <w:r>
              <w:rPr>
                <w:sz w:val="17"/>
              </w:rPr>
              <w:t>Assumption</w:t>
            </w:r>
          </w:p>
        </w:tc>
        <w:tc>
          <w:tcPr>
            <w:tcW w:type="dxa" w:w="2125"/>
            <w:shd w:val="clear" w:color="auto" w:fill="F2F5F9"/>
          </w:tcPr>
          <w:p>
            <w:pPr>
              <w:spacing w:after="20"/>
            </w:pPr>
            <w:r/>
            <w:r>
              <w:rPr>
                <w:sz w:val="17"/>
              </w:rPr>
              <w:t>If new/closed stores are included, growth rates are distorted</w:t>
            </w:r>
          </w:p>
        </w:tc>
        <w:tc>
          <w:tcPr>
            <w:tcW w:type="dxa" w:w="1181"/>
            <w:shd w:val="clear" w:color="auto" w:fill="F2F5F9"/>
          </w:tcPr>
          <w:p>
            <w:pPr>
              <w:spacing w:after="20"/>
            </w:pPr>
            <w:r/>
            <w:r>
              <w:rPr>
                <w:sz w:val="17"/>
              </w:rPr>
              <w:t>BI</w:t>
            </w:r>
          </w:p>
        </w:tc>
        <w:tc>
          <w:tcPr>
            <w:tcW w:type="dxa" w:w="945"/>
            <w:shd w:val="clear" w:color="auto" w:fill="F2F5F9"/>
          </w:tcPr>
          <w:p>
            <w:pPr>
              <w:spacing w:after="20"/>
            </w:pPr>
            <w:r/>
            <w:r>
              <w:rPr>
                <w:sz w:val="17"/>
              </w:rPr>
              <w:t>Week 1</w:t>
            </w:r>
          </w:p>
        </w:tc>
      </w:tr>
      <w:tr>
        <w:tc>
          <w:tcPr>
            <w:tcW w:type="dxa" w:w="945"/>
          </w:tcPr>
          <w:p>
            <w:pPr>
              <w:spacing w:after="20"/>
            </w:pPr>
            <w:r/>
            <w:r>
              <w:rPr>
                <w:sz w:val="17"/>
              </w:rPr>
              <w:t>AS2</w:t>
            </w:r>
          </w:p>
        </w:tc>
        <w:tc>
          <w:tcPr>
            <w:tcW w:type="dxa" w:w="3261"/>
          </w:tcPr>
          <w:p>
            <w:pPr>
              <w:spacing w:after="20"/>
            </w:pPr>
            <w:r/>
            <w:r>
              <w:rPr>
                <w:sz w:val="17"/>
              </w:rPr>
              <w:t>The feature launched on one date in all 40 stores</w:t>
            </w:r>
          </w:p>
        </w:tc>
        <w:tc>
          <w:tcPr>
            <w:tcW w:type="dxa" w:w="1181"/>
          </w:tcPr>
          <w:p>
            <w:pPr>
              <w:spacing w:after="20"/>
            </w:pPr>
            <w:r/>
            <w:r>
              <w:rPr>
                <w:sz w:val="17"/>
              </w:rPr>
              <w:t>Assumption</w:t>
            </w:r>
          </w:p>
        </w:tc>
        <w:tc>
          <w:tcPr>
            <w:tcW w:type="dxa" w:w="2125"/>
          </w:tcPr>
          <w:p>
            <w:pPr>
              <w:spacing w:after="20"/>
            </w:pPr>
            <w:r/>
            <w:r>
              <w:rPr>
                <w:sz w:val="17"/>
              </w:rPr>
              <w:t>Staggered launch requires staggered-DiD estimators</w:t>
            </w:r>
          </w:p>
        </w:tc>
        <w:tc>
          <w:tcPr>
            <w:tcW w:type="dxa" w:w="1181"/>
          </w:tcPr>
          <w:p>
            <w:pPr>
              <w:spacing w:after="20"/>
            </w:pPr>
            <w:r/>
            <w:r>
              <w:rPr>
                <w:sz w:val="17"/>
              </w:rPr>
              <w:t>Loyalty product</w:t>
            </w:r>
          </w:p>
        </w:tc>
        <w:tc>
          <w:tcPr>
            <w:tcW w:type="dxa" w:w="945"/>
          </w:tcPr>
          <w:p>
            <w:pPr>
              <w:spacing w:after="20"/>
            </w:pPr>
            <w:r/>
            <w:r>
              <w:rPr>
                <w:sz w:val="17"/>
              </w:rPr>
              <w:t>Week 1</w:t>
            </w:r>
          </w:p>
        </w:tc>
      </w:tr>
      <w:tr>
        <w:tc>
          <w:tcPr>
            <w:tcW w:type="dxa" w:w="945"/>
            <w:shd w:val="clear" w:color="auto" w:fill="F2F5F9"/>
          </w:tcPr>
          <w:p>
            <w:pPr>
              <w:spacing w:after="20"/>
            </w:pPr>
            <w:r/>
            <w:r>
              <w:rPr>
                <w:sz w:val="17"/>
              </w:rPr>
              <w:t>AS3</w:t>
            </w:r>
          </w:p>
        </w:tc>
        <w:tc>
          <w:tcPr>
            <w:tcW w:type="dxa" w:w="3261"/>
            <w:shd w:val="clear" w:color="auto" w:fill="F2F5F9"/>
          </w:tcPr>
          <w:p>
            <w:pPr>
              <w:spacing w:after="20"/>
            </w:pPr>
            <w:r/>
            <w:r>
              <w:rPr>
                <w:sz w:val="17"/>
              </w:rPr>
              <w:t>Weekly store-level data with ≥ 24 months pre-launch exist</w:t>
            </w:r>
          </w:p>
        </w:tc>
        <w:tc>
          <w:tcPr>
            <w:tcW w:type="dxa" w:w="1181"/>
            <w:shd w:val="clear" w:color="auto" w:fill="F2F5F9"/>
          </w:tcPr>
          <w:p>
            <w:pPr>
              <w:spacing w:after="20"/>
            </w:pPr>
            <w:r/>
            <w:r>
              <w:rPr>
                <w:sz w:val="17"/>
              </w:rPr>
              <w:t>Assumption</w:t>
            </w:r>
          </w:p>
        </w:tc>
        <w:tc>
          <w:tcPr>
            <w:tcW w:type="dxa" w:w="2125"/>
            <w:shd w:val="clear" w:color="auto" w:fill="F2F5F9"/>
          </w:tcPr>
          <w:p>
            <w:pPr>
              <w:spacing w:after="20"/>
            </w:pPr>
            <w:r/>
            <w:r>
              <w:rPr>
                <w:sz w:val="17"/>
              </w:rPr>
              <w:t>Fewer pre-periods weaken the parallel-trends test</w:t>
            </w:r>
          </w:p>
        </w:tc>
        <w:tc>
          <w:tcPr>
            <w:tcW w:type="dxa" w:w="1181"/>
            <w:shd w:val="clear" w:color="auto" w:fill="F2F5F9"/>
          </w:tcPr>
          <w:p>
            <w:pPr>
              <w:spacing w:after="20"/>
            </w:pPr>
            <w:r/>
            <w:r>
              <w:rPr>
                <w:sz w:val="17"/>
              </w:rPr>
              <w:t>BI</w:t>
            </w:r>
          </w:p>
        </w:tc>
        <w:tc>
          <w:tcPr>
            <w:tcW w:type="dxa" w:w="945"/>
            <w:shd w:val="clear" w:color="auto" w:fill="F2F5F9"/>
          </w:tcPr>
          <w:p>
            <w:pPr>
              <w:spacing w:after="20"/>
            </w:pPr>
            <w:r/>
            <w:r>
              <w:rPr>
                <w:sz w:val="17"/>
              </w:rPr>
              <w:t>Week 2</w:t>
            </w:r>
          </w:p>
        </w:tc>
      </w:tr>
      <w:tr>
        <w:tc>
          <w:tcPr>
            <w:tcW w:type="dxa" w:w="945"/>
          </w:tcPr>
          <w:p>
            <w:pPr>
              <w:spacing w:after="20"/>
            </w:pPr>
            <w:r/>
            <w:r>
              <w:rPr>
                <w:sz w:val="17"/>
              </w:rPr>
              <w:t>AS4</w:t>
            </w:r>
          </w:p>
        </w:tc>
        <w:tc>
          <w:tcPr>
            <w:tcW w:type="dxa" w:w="3261"/>
          </w:tcPr>
          <w:p>
            <w:pPr>
              <w:spacing w:after="20"/>
            </w:pPr>
            <w:r/>
            <w:r>
              <w:rPr>
                <w:sz w:val="17"/>
              </w:rPr>
              <w:t>No other store-specific initiative coincided with the launch</w:t>
            </w:r>
          </w:p>
        </w:tc>
        <w:tc>
          <w:tcPr>
            <w:tcW w:type="dxa" w:w="1181"/>
          </w:tcPr>
          <w:p>
            <w:pPr>
              <w:spacing w:after="20"/>
            </w:pPr>
            <w:r/>
            <w:r>
              <w:rPr>
                <w:sz w:val="17"/>
              </w:rPr>
              <w:t>Assumption</w:t>
            </w:r>
          </w:p>
        </w:tc>
        <w:tc>
          <w:tcPr>
            <w:tcW w:type="dxa" w:w="2125"/>
          </w:tcPr>
          <w:p>
            <w:pPr>
              <w:spacing w:after="20"/>
            </w:pPr>
            <w:r/>
            <w:r>
              <w:rPr>
                <w:sz w:val="17"/>
              </w:rPr>
              <w:t>Effect would be mis-attributed</w:t>
            </w:r>
          </w:p>
        </w:tc>
        <w:tc>
          <w:tcPr>
            <w:tcW w:type="dxa" w:w="1181"/>
          </w:tcPr>
          <w:p>
            <w:pPr>
              <w:spacing w:after="20"/>
            </w:pPr>
            <w:r/>
            <w:r>
              <w:rPr>
                <w:sz w:val="17"/>
              </w:rPr>
              <w:t>Marketing / Ops</w:t>
            </w:r>
          </w:p>
        </w:tc>
        <w:tc>
          <w:tcPr>
            <w:tcW w:type="dxa" w:w="945"/>
          </w:tcPr>
          <w:p>
            <w:pPr>
              <w:spacing w:after="20"/>
            </w:pPr>
            <w:r/>
            <w:r>
              <w:rPr>
                <w:sz w:val="17"/>
              </w:rPr>
              <w:t>Week 2</w:t>
            </w:r>
          </w:p>
        </w:tc>
      </w:tr>
      <w:tr>
        <w:tc>
          <w:tcPr>
            <w:tcW w:type="dxa" w:w="945"/>
            <w:shd w:val="clear" w:color="auto" w:fill="F2F5F9"/>
          </w:tcPr>
          <w:p>
            <w:pPr>
              <w:spacing w:after="20"/>
            </w:pPr>
            <w:r/>
            <w:r>
              <w:rPr>
                <w:sz w:val="17"/>
              </w:rPr>
              <w:t>AS5</w:t>
            </w:r>
          </w:p>
        </w:tc>
        <w:tc>
          <w:tcPr>
            <w:tcW w:type="dxa" w:w="3261"/>
            <w:shd w:val="clear" w:color="auto" w:fill="F2F5F9"/>
          </w:tcPr>
          <w:p>
            <w:pPr>
              <w:spacing w:after="20"/>
            </w:pPr>
            <w:r/>
            <w:r>
              <w:rPr>
                <w:sz w:val="17"/>
              </w:rPr>
              <w:t>Untreated stores did not receive the offers (no contamination)</w:t>
            </w:r>
          </w:p>
        </w:tc>
        <w:tc>
          <w:tcPr>
            <w:tcW w:type="dxa" w:w="1181"/>
            <w:shd w:val="clear" w:color="auto" w:fill="F2F5F9"/>
          </w:tcPr>
          <w:p>
            <w:pPr>
              <w:spacing w:after="20"/>
            </w:pPr>
            <w:r/>
            <w:r>
              <w:rPr>
                <w:sz w:val="17"/>
              </w:rPr>
              <w:t>Assumption</w:t>
            </w:r>
          </w:p>
        </w:tc>
        <w:tc>
          <w:tcPr>
            <w:tcW w:type="dxa" w:w="2125"/>
            <w:shd w:val="clear" w:color="auto" w:fill="F2F5F9"/>
          </w:tcPr>
          <w:p>
            <w:pPr>
              <w:spacing w:after="20"/>
            </w:pPr>
            <w:r/>
            <w:r>
              <w:rPr>
                <w:sz w:val="17"/>
              </w:rPr>
              <w:t>Bias toward zero</w:t>
            </w:r>
          </w:p>
        </w:tc>
        <w:tc>
          <w:tcPr>
            <w:tcW w:type="dxa" w:w="1181"/>
            <w:shd w:val="clear" w:color="auto" w:fill="F2F5F9"/>
          </w:tcPr>
          <w:p>
            <w:pPr>
              <w:spacing w:after="20"/>
            </w:pPr>
            <w:r/>
            <w:r>
              <w:rPr>
                <w:sz w:val="17"/>
              </w:rPr>
              <w:t>Loyalty product</w:t>
            </w:r>
          </w:p>
        </w:tc>
        <w:tc>
          <w:tcPr>
            <w:tcW w:type="dxa" w:w="945"/>
            <w:shd w:val="clear" w:color="auto" w:fill="F2F5F9"/>
          </w:tcPr>
          <w:p>
            <w:pPr>
              <w:spacing w:after="20"/>
            </w:pPr>
            <w:r/>
            <w:r>
              <w:rPr>
                <w:sz w:val="17"/>
              </w:rPr>
              <w:t>Week 2</w:t>
            </w:r>
          </w:p>
        </w:tc>
      </w:tr>
      <w:tr>
        <w:tc>
          <w:tcPr>
            <w:tcW w:type="dxa" w:w="945"/>
          </w:tcPr>
          <w:p>
            <w:pPr>
              <w:spacing w:after="20"/>
            </w:pPr>
            <w:r/>
            <w:r>
              <w:rPr>
                <w:sz w:val="17"/>
              </w:rPr>
              <w:t>AS6</w:t>
            </w:r>
          </w:p>
        </w:tc>
        <w:tc>
          <w:tcPr>
            <w:tcW w:type="dxa" w:w="3261"/>
          </w:tcPr>
          <w:p>
            <w:pPr>
              <w:spacing w:after="20"/>
            </w:pPr>
            <w:r/>
            <w:r>
              <w:rPr>
                <w:sz w:val="17"/>
              </w:rPr>
              <w:t>Randomising some of the 180 untreated stores is operationally acceptable</w:t>
            </w:r>
          </w:p>
        </w:tc>
        <w:tc>
          <w:tcPr>
            <w:tcW w:type="dxa" w:w="1181"/>
          </w:tcPr>
          <w:p>
            <w:pPr>
              <w:spacing w:after="20"/>
            </w:pPr>
            <w:r/>
            <w:r>
              <w:rPr>
                <w:sz w:val="17"/>
              </w:rPr>
              <w:t>Assumption</w:t>
            </w:r>
          </w:p>
        </w:tc>
        <w:tc>
          <w:tcPr>
            <w:tcW w:type="dxa" w:w="2125"/>
          </w:tcPr>
          <w:p>
            <w:pPr>
              <w:spacing w:after="20"/>
            </w:pPr>
            <w:r/>
            <w:r>
              <w:rPr>
                <w:sz w:val="17"/>
              </w:rPr>
              <w:t>Fall back to quasi-experimental rollout design</w:t>
            </w:r>
          </w:p>
        </w:tc>
        <w:tc>
          <w:tcPr>
            <w:tcW w:type="dxa" w:w="1181"/>
          </w:tcPr>
          <w:p>
            <w:pPr>
              <w:spacing w:after="20"/>
            </w:pPr>
            <w:r/>
            <w:r>
              <w:rPr>
                <w:sz w:val="17"/>
              </w:rPr>
              <w:t>CMO / COO</w:t>
            </w:r>
          </w:p>
        </w:tc>
        <w:tc>
          <w:tcPr>
            <w:tcW w:type="dxa" w:w="945"/>
          </w:tcPr>
          <w:p>
            <w:pPr>
              <w:spacing w:after="20"/>
            </w:pPr>
            <w:r/>
            <w:r>
              <w:rPr>
                <w:sz w:val="17"/>
              </w:rPr>
              <w:t>Week 2</w:t>
            </w:r>
          </w:p>
        </w:tc>
      </w:tr>
      <w:tr>
        <w:tc>
          <w:tcPr>
            <w:tcW w:type="dxa" w:w="945"/>
            <w:shd w:val="clear" w:color="auto" w:fill="F2F5F9"/>
          </w:tcPr>
          <w:p>
            <w:pPr>
              <w:spacing w:after="20"/>
            </w:pPr>
            <w:r/>
            <w:r>
              <w:rPr>
                <w:sz w:val="17"/>
              </w:rPr>
              <w:t>Q1</w:t>
            </w:r>
          </w:p>
        </w:tc>
        <w:tc>
          <w:tcPr>
            <w:tcW w:type="dxa" w:w="3261"/>
            <w:shd w:val="clear" w:color="auto" w:fill="F2F5F9"/>
          </w:tcPr>
          <w:p>
            <w:pPr>
              <w:spacing w:after="20"/>
            </w:pPr>
            <w:r/>
            <w:r>
              <w:rPr>
                <w:sz w:val="17"/>
              </w:rPr>
              <w:t>How were the 40 stores chosen (criteria, e.g., "most digitally active", "best managers")?</w:t>
            </w:r>
          </w:p>
        </w:tc>
        <w:tc>
          <w:tcPr>
            <w:tcW w:type="dxa" w:w="1181"/>
            <w:shd w:val="clear" w:color="auto" w:fill="F2F5F9"/>
          </w:tcPr>
          <w:p>
            <w:pPr>
              <w:spacing w:after="20"/>
            </w:pPr>
            <w:r/>
            <w:r>
              <w:rPr>
                <w:sz w:val="17"/>
              </w:rPr>
              <w:t>Open (blocking)</w:t>
            </w:r>
          </w:p>
        </w:tc>
        <w:tc>
          <w:tcPr>
            <w:tcW w:type="dxa" w:w="2125"/>
            <w:shd w:val="clear" w:color="auto" w:fill="F2F5F9"/>
          </w:tcPr>
          <w:p>
            <w:pPr>
              <w:spacing w:after="20"/>
            </w:pPr>
            <w:r/>
            <w:r>
              <w:rPr>
                <w:sz w:val="17"/>
              </w:rPr>
              <w:t>Determines how credible the comparison is</w:t>
            </w:r>
          </w:p>
        </w:tc>
        <w:tc>
          <w:tcPr>
            <w:tcW w:type="dxa" w:w="1181"/>
            <w:shd w:val="clear" w:color="auto" w:fill="F2F5F9"/>
          </w:tcPr>
          <w:p>
            <w:pPr>
              <w:spacing w:after="20"/>
            </w:pPr>
            <w:r/>
            <w:r>
              <w:rPr>
                <w:sz w:val="17"/>
              </w:rPr>
              <w:t>Regional managers</w:t>
            </w:r>
          </w:p>
        </w:tc>
        <w:tc>
          <w:tcPr>
            <w:tcW w:type="dxa" w:w="945"/>
            <w:shd w:val="clear" w:color="auto" w:fill="F2F5F9"/>
          </w:tcPr>
          <w:p>
            <w:pPr>
              <w:spacing w:after="20"/>
            </w:pPr>
            <w:r/>
            <w:r>
              <w:rPr>
                <w:sz w:val="17"/>
              </w:rPr>
              <w:t>Week 1</w:t>
            </w:r>
          </w:p>
        </w:tc>
      </w:tr>
      <w:tr>
        <w:tc>
          <w:tcPr>
            <w:tcW w:type="dxa" w:w="945"/>
          </w:tcPr>
          <w:p>
            <w:pPr>
              <w:spacing w:after="20"/>
            </w:pPr>
            <w:r/>
            <w:r>
              <w:rPr>
                <w:sz w:val="17"/>
              </w:rPr>
              <w:t>Q2</w:t>
            </w:r>
          </w:p>
        </w:tc>
        <w:tc>
          <w:tcPr>
            <w:tcW w:type="dxa" w:w="3261"/>
          </w:tcPr>
          <w:p>
            <w:pPr>
              <w:spacing w:after="20"/>
            </w:pPr>
            <w:r/>
            <w:r>
              <w:rPr>
                <w:sz w:val="17"/>
              </w:rPr>
              <w:t>Are margin, discount cost and offer cost recorded per store-week?</w:t>
            </w:r>
          </w:p>
        </w:tc>
        <w:tc>
          <w:tcPr>
            <w:tcW w:type="dxa" w:w="1181"/>
          </w:tcPr>
          <w:p>
            <w:pPr>
              <w:spacing w:after="20"/>
            </w:pPr>
            <w:r/>
            <w:r>
              <w:rPr>
                <w:sz w:val="17"/>
              </w:rPr>
              <w:t>Open (blocking)</w:t>
            </w:r>
          </w:p>
        </w:tc>
        <w:tc>
          <w:tcPr>
            <w:tcW w:type="dxa" w:w="2125"/>
          </w:tcPr>
          <w:p>
            <w:pPr>
              <w:spacing w:after="20"/>
            </w:pPr>
            <w:r/>
            <w:r>
              <w:rPr>
                <w:sz w:val="17"/>
              </w:rPr>
              <w:t>Sales lift without margin may be a loss. Fallback if unavailable: sales effect × an agreed margin rate and cost per store, labelled as an approximation</w:t>
            </w:r>
          </w:p>
        </w:tc>
        <w:tc>
          <w:tcPr>
            <w:tcW w:type="dxa" w:w="1181"/>
          </w:tcPr>
          <w:p>
            <w:pPr>
              <w:spacing w:after="20"/>
            </w:pPr>
            <w:r/>
            <w:r>
              <w:rPr>
                <w:sz w:val="17"/>
              </w:rPr>
              <w:t>Finance</w:t>
            </w:r>
          </w:p>
        </w:tc>
        <w:tc>
          <w:tcPr>
            <w:tcW w:type="dxa" w:w="945"/>
          </w:tcPr>
          <w:p>
            <w:pPr>
              <w:spacing w:after="20"/>
            </w:pPr>
            <w:r/>
            <w:r>
              <w:rPr>
                <w:sz w:val="17"/>
              </w:rPr>
              <w:t>Week 2</w:t>
            </w:r>
          </w:p>
        </w:tc>
      </w:tr>
      <w:tr>
        <w:tc>
          <w:tcPr>
            <w:tcW w:type="dxa" w:w="945"/>
            <w:shd w:val="clear" w:color="auto" w:fill="F2F5F9"/>
          </w:tcPr>
          <w:p>
            <w:pPr>
              <w:spacing w:after="20"/>
            </w:pPr>
            <w:r/>
            <w:r>
              <w:rPr>
                <w:sz w:val="17"/>
              </w:rPr>
              <w:t>Q3</w:t>
            </w:r>
          </w:p>
        </w:tc>
        <w:tc>
          <w:tcPr>
            <w:tcW w:type="dxa" w:w="3261"/>
            <w:shd w:val="clear" w:color="auto" w:fill="F2F5F9"/>
          </w:tcPr>
          <w:p>
            <w:pPr>
              <w:spacing w:after="20"/>
            </w:pPr>
            <w:r/>
            <w:r>
              <w:rPr>
                <w:sz w:val="17"/>
              </w:rPr>
              <w:t>Other initiatives, price changes, refits, openings/closures over the whole pre-period (≥ 24 months) to now?</w:t>
            </w:r>
          </w:p>
        </w:tc>
        <w:tc>
          <w:tcPr>
            <w:tcW w:type="dxa" w:w="1181"/>
            <w:shd w:val="clear" w:color="auto" w:fill="F2F5F9"/>
          </w:tcPr>
          <w:p>
            <w:pPr>
              <w:spacing w:after="20"/>
            </w:pPr>
            <w:r/>
            <w:r>
              <w:rPr>
                <w:sz w:val="17"/>
              </w:rPr>
              <w:t>Open (blocking)</w:t>
            </w:r>
          </w:p>
        </w:tc>
        <w:tc>
          <w:tcPr>
            <w:tcW w:type="dxa" w:w="2125"/>
            <w:shd w:val="clear" w:color="auto" w:fill="F2F5F9"/>
          </w:tcPr>
          <w:p>
            <w:pPr>
              <w:spacing w:after="20"/>
            </w:pPr>
            <w:r/>
            <w:r>
              <w:rPr>
                <w:sz w:val="17"/>
              </w:rPr>
              <w:t>See AS4</w:t>
            </w:r>
          </w:p>
        </w:tc>
        <w:tc>
          <w:tcPr>
            <w:tcW w:type="dxa" w:w="1181"/>
            <w:shd w:val="clear" w:color="auto" w:fill="F2F5F9"/>
          </w:tcPr>
          <w:p>
            <w:pPr>
              <w:spacing w:after="20"/>
            </w:pPr>
            <w:r/>
            <w:r>
              <w:rPr>
                <w:sz w:val="17"/>
              </w:rPr>
              <w:t>Marketing / Ops</w:t>
            </w:r>
          </w:p>
        </w:tc>
        <w:tc>
          <w:tcPr>
            <w:tcW w:type="dxa" w:w="945"/>
            <w:shd w:val="clear" w:color="auto" w:fill="F2F5F9"/>
          </w:tcPr>
          <w:p>
            <w:pPr>
              <w:spacing w:after="20"/>
            </w:pPr>
            <w:r/>
            <w:r>
              <w:rPr>
                <w:sz w:val="17"/>
              </w:rPr>
              <w:t>Week 2</w:t>
            </w:r>
          </w:p>
        </w:tc>
      </w:tr>
      <w:tr>
        <w:tc>
          <w:tcPr>
            <w:tcW w:type="dxa" w:w="945"/>
          </w:tcPr>
          <w:p>
            <w:pPr>
              <w:spacing w:after="20"/>
            </w:pPr>
            <w:r/>
            <w:r>
              <w:rPr>
                <w:sz w:val="17"/>
              </w:rPr>
              <w:t>Q4</w:t>
            </w:r>
          </w:p>
        </w:tc>
        <w:tc>
          <w:tcPr>
            <w:tcW w:type="dxa" w:w="3261"/>
          </w:tcPr>
          <w:p>
            <w:pPr>
              <w:spacing w:after="20"/>
            </w:pPr>
            <w:r/>
            <w:r>
              <w:rPr>
                <w:sz w:val="17"/>
              </w:rPr>
              <w:t>Can loyalty / app-user sales be separated from other sales; how many app users per store before the launch?</w:t>
            </w:r>
          </w:p>
        </w:tc>
        <w:tc>
          <w:tcPr>
            <w:tcW w:type="dxa" w:w="1181"/>
          </w:tcPr>
          <w:p>
            <w:pPr>
              <w:spacing w:after="20"/>
            </w:pPr>
            <w:r/>
            <w:r>
              <w:rPr>
                <w:sz w:val="17"/>
              </w:rPr>
              <w:t>Open (blocking)</w:t>
            </w:r>
          </w:p>
        </w:tc>
        <w:tc>
          <w:tcPr>
            <w:tcW w:type="dxa" w:w="2125"/>
          </w:tcPr>
          <w:p>
            <w:pPr>
              <w:spacing w:after="20"/>
            </w:pPr>
            <w:r/>
            <w:r>
              <w:rPr>
                <w:sz w:val="17"/>
              </w:rPr>
              <w:t>Allows mechanism checks and a better-targeted outcome</w:t>
            </w:r>
          </w:p>
        </w:tc>
        <w:tc>
          <w:tcPr>
            <w:tcW w:type="dxa" w:w="1181"/>
          </w:tcPr>
          <w:p>
            <w:pPr>
              <w:spacing w:after="20"/>
            </w:pPr>
            <w:r/>
            <w:r>
              <w:rPr>
                <w:sz w:val="17"/>
              </w:rPr>
              <w:t>CRM</w:t>
            </w:r>
          </w:p>
        </w:tc>
        <w:tc>
          <w:tcPr>
            <w:tcW w:type="dxa" w:w="945"/>
          </w:tcPr>
          <w:p>
            <w:pPr>
              <w:spacing w:after="20"/>
            </w:pPr>
            <w:r/>
            <w:r>
              <w:rPr>
                <w:sz w:val="17"/>
              </w:rPr>
              <w:t>Week 2</w:t>
            </w:r>
          </w:p>
        </w:tc>
      </w:tr>
      <w:tr>
        <w:tc>
          <w:tcPr>
            <w:tcW w:type="dxa" w:w="945"/>
            <w:shd w:val="clear" w:color="auto" w:fill="F2F5F9"/>
          </w:tcPr>
          <w:p>
            <w:pPr>
              <w:spacing w:after="20"/>
            </w:pPr>
            <w:r/>
            <w:r>
              <w:rPr>
                <w:sz w:val="17"/>
              </w:rPr>
              <w:t>Q5</w:t>
            </w:r>
          </w:p>
        </w:tc>
        <w:tc>
          <w:tcPr>
            <w:tcW w:type="dxa" w:w="3261"/>
            <w:shd w:val="clear" w:color="auto" w:fill="F2F5F9"/>
          </w:tcPr>
          <w:p>
            <w:pPr>
              <w:spacing w:after="20"/>
            </w:pPr>
            <w:r/>
            <w:r>
              <w:rPr>
                <w:sz w:val="17"/>
              </w:rPr>
              <w:t>Acceptable pilot size/duration (a full seasonal cycle is preferred, see §14.4), cost per store, earliest start</w:t>
            </w:r>
          </w:p>
        </w:tc>
        <w:tc>
          <w:tcPr>
            <w:tcW w:type="dxa" w:w="1181"/>
            <w:shd w:val="clear" w:color="auto" w:fill="F2F5F9"/>
          </w:tcPr>
          <w:p>
            <w:pPr>
              <w:spacing w:after="20"/>
            </w:pPr>
            <w:r/>
            <w:r>
              <w:rPr>
                <w:sz w:val="17"/>
              </w:rPr>
              <w:t>Open (blocking)</w:t>
            </w:r>
          </w:p>
        </w:tc>
        <w:tc>
          <w:tcPr>
            <w:tcW w:type="dxa" w:w="2125"/>
            <w:shd w:val="clear" w:color="auto" w:fill="F2F5F9"/>
          </w:tcPr>
          <w:p>
            <w:pPr>
              <w:spacing w:after="20"/>
            </w:pPr>
            <w:r/>
            <w:r>
              <w:rPr>
                <w:sz w:val="17"/>
              </w:rPr>
              <w:t>Sets design and power</w:t>
            </w:r>
          </w:p>
        </w:tc>
        <w:tc>
          <w:tcPr>
            <w:tcW w:type="dxa" w:w="1181"/>
            <w:shd w:val="clear" w:color="auto" w:fill="F2F5F9"/>
          </w:tcPr>
          <w:p>
            <w:pPr>
              <w:spacing w:after="20"/>
            </w:pPr>
            <w:r/>
            <w:r>
              <w:rPr>
                <w:sz w:val="17"/>
              </w:rPr>
              <w:t>CMO / COO</w:t>
            </w:r>
          </w:p>
        </w:tc>
        <w:tc>
          <w:tcPr>
            <w:tcW w:type="dxa" w:w="945"/>
            <w:shd w:val="clear" w:color="auto" w:fill="F2F5F9"/>
          </w:tcPr>
          <w:p>
            <w:pPr>
              <w:spacing w:after="20"/>
            </w:pPr>
            <w:r/>
            <w:r>
              <w:rPr>
                <w:sz w:val="17"/>
              </w:rPr>
              <w:t>Week 2</w:t>
            </w:r>
          </w:p>
        </w:tc>
      </w:tr>
      <w:tr>
        <w:tc>
          <w:tcPr>
            <w:tcW w:type="dxa" w:w="945"/>
          </w:tcPr>
          <w:p>
            <w:pPr>
              <w:spacing w:after="20"/>
            </w:pPr>
            <w:r/>
            <w:r>
              <w:rPr>
                <w:sz w:val="17"/>
              </w:rPr>
              <w:t>Q6</w:t>
            </w:r>
          </w:p>
        </w:tc>
        <w:tc>
          <w:tcPr>
            <w:tcW w:type="dxa" w:w="3261"/>
          </w:tcPr>
          <w:p>
            <w:pPr>
              <w:spacing w:after="20"/>
            </w:pPr>
            <w:r/>
            <w:r>
              <w:rPr>
                <w:sz w:val="17"/>
              </w:rPr>
              <w:t>(Blocking) What is the minimum effect (in currency units of margin per store per week) that justifies rollout, and is the running cost per store a weekly or one-off amount?</w:t>
            </w:r>
          </w:p>
        </w:tc>
        <w:tc>
          <w:tcPr>
            <w:tcW w:type="dxa" w:w="1181"/>
          </w:tcPr>
          <w:p>
            <w:pPr>
              <w:spacing w:after="20"/>
            </w:pPr>
            <w:r/>
            <w:r>
              <w:rPr>
                <w:sz w:val="17"/>
              </w:rPr>
              <w:t>Open (blocking)</w:t>
            </w:r>
          </w:p>
        </w:tc>
        <w:tc>
          <w:tcPr>
            <w:tcW w:type="dxa" w:w="2125"/>
          </w:tcPr>
          <w:p>
            <w:pPr>
              <w:spacing w:after="20"/>
            </w:pPr>
            <w:r/>
            <w:r>
              <w:rPr>
                <w:sz w:val="17"/>
              </w:rPr>
              <w:t>Defines practical significance</w:t>
            </w:r>
          </w:p>
        </w:tc>
        <w:tc>
          <w:tcPr>
            <w:tcW w:type="dxa" w:w="1181"/>
          </w:tcPr>
          <w:p>
            <w:pPr>
              <w:spacing w:after="20"/>
            </w:pPr>
            <w:r/>
            <w:r>
              <w:rPr>
                <w:sz w:val="17"/>
              </w:rPr>
              <w:t>CMO / Finance</w:t>
            </w:r>
          </w:p>
        </w:tc>
        <w:tc>
          <w:tcPr>
            <w:tcW w:type="dxa" w:w="945"/>
          </w:tcPr>
          <w:p>
            <w:pPr>
              <w:spacing w:after="20"/>
            </w:pPr>
            <w:r/>
            <w:r>
              <w:rPr>
                <w:sz w:val="17"/>
              </w:rPr>
              <w:t>Week 2</w:t>
            </w:r>
          </w:p>
        </w:tc>
      </w:tr>
      <w:tr>
        <w:tc>
          <w:tcPr>
            <w:tcW w:type="dxa" w:w="945"/>
            <w:shd w:val="clear" w:color="auto" w:fill="F2F5F9"/>
          </w:tcPr>
          <w:p>
            <w:pPr>
              <w:spacing w:after="20"/>
            </w:pPr>
            <w:r/>
            <w:r>
              <w:rPr>
                <w:sz w:val="17"/>
              </w:rPr>
              <w:t>Q7</w:t>
            </w:r>
          </w:p>
        </w:tc>
        <w:tc>
          <w:tcPr>
            <w:tcW w:type="dxa" w:w="3261"/>
            <w:shd w:val="clear" w:color="auto" w:fill="F2F5F9"/>
          </w:tcPr>
          <w:p>
            <w:pPr>
              <w:spacing w:after="20"/>
            </w:pPr>
            <w:r/>
            <w:r>
              <w:rPr>
                <w:sz w:val="17"/>
              </w:rPr>
              <w:t>Are stores geographically close enough that customers visit both a treated and an untreated store?</w:t>
            </w:r>
          </w:p>
        </w:tc>
        <w:tc>
          <w:tcPr>
            <w:tcW w:type="dxa" w:w="1181"/>
            <w:shd w:val="clear" w:color="auto" w:fill="F2F5F9"/>
          </w:tcPr>
          <w:p>
            <w:pPr>
              <w:spacing w:after="20"/>
            </w:pPr>
            <w:r/>
            <w:r>
              <w:rPr>
                <w:sz w:val="17"/>
              </w:rPr>
              <w:t>Open</w:t>
            </w:r>
          </w:p>
        </w:tc>
        <w:tc>
          <w:tcPr>
            <w:tcW w:type="dxa" w:w="2125"/>
            <w:shd w:val="clear" w:color="auto" w:fill="F2F5F9"/>
          </w:tcPr>
          <w:p>
            <w:pPr>
              <w:spacing w:after="20"/>
            </w:pPr>
            <w:r/>
            <w:r>
              <w:rPr>
                <w:sz w:val="17"/>
              </w:rPr>
              <w:t>Spillover / interference</w:t>
            </w:r>
          </w:p>
        </w:tc>
        <w:tc>
          <w:tcPr>
            <w:tcW w:type="dxa" w:w="1181"/>
            <w:shd w:val="clear" w:color="auto" w:fill="F2F5F9"/>
          </w:tcPr>
          <w:p>
            <w:pPr>
              <w:spacing w:after="20"/>
            </w:pPr>
            <w:r/>
            <w:r>
              <w:rPr>
                <w:sz w:val="17"/>
              </w:rPr>
              <w:t>Operations</w:t>
            </w:r>
          </w:p>
        </w:tc>
        <w:tc>
          <w:tcPr>
            <w:tcW w:type="dxa" w:w="945"/>
            <w:shd w:val="clear" w:color="auto" w:fill="F2F5F9"/>
          </w:tcPr>
          <w:p>
            <w:pPr>
              <w:spacing w:after="20"/>
            </w:pPr>
            <w:r/>
            <w:r>
              <w:rPr>
                <w:sz w:val="17"/>
              </w:rPr>
              <w:t>Week 2</w:t>
            </w:r>
          </w:p>
        </w:tc>
      </w:tr>
      <w:tr>
        <w:tc>
          <w:tcPr>
            <w:tcW w:type="dxa" w:w="945"/>
          </w:tcPr>
          <w:p>
            <w:pPr>
              <w:spacing w:after="20"/>
            </w:pPr>
            <w:r/>
            <w:r>
              <w:rPr>
                <w:sz w:val="17"/>
              </w:rPr>
              <w:t>Q8</w:t>
            </w:r>
          </w:p>
        </w:tc>
        <w:tc>
          <w:tcPr>
            <w:tcW w:type="dxa" w:w="3261"/>
          </w:tcPr>
          <w:p>
            <w:pPr>
              <w:spacing w:after="20"/>
            </w:pPr>
            <w:r/>
            <w:r>
              <w:rPr>
                <w:sz w:val="17"/>
              </w:rPr>
              <w:t>Can the app randomise offers at customer level within a store (holdout of personalisation)?</w:t>
            </w:r>
          </w:p>
        </w:tc>
        <w:tc>
          <w:tcPr>
            <w:tcW w:type="dxa" w:w="1181"/>
          </w:tcPr>
          <w:p>
            <w:pPr>
              <w:spacing w:after="20"/>
            </w:pPr>
            <w:r/>
            <w:r>
              <w:rPr>
                <w:sz w:val="17"/>
              </w:rPr>
              <w:t>Open</w:t>
            </w:r>
          </w:p>
        </w:tc>
        <w:tc>
          <w:tcPr>
            <w:tcW w:type="dxa" w:w="2125"/>
          </w:tcPr>
          <w:p>
            <w:pPr>
              <w:spacing w:after="20"/>
            </w:pPr>
            <w:r/>
            <w:r>
              <w:rPr>
                <w:sz w:val="17"/>
              </w:rPr>
              <w:t>Offers a higher-power design</w:t>
            </w:r>
          </w:p>
        </w:tc>
        <w:tc>
          <w:tcPr>
            <w:tcW w:type="dxa" w:w="1181"/>
          </w:tcPr>
          <w:p>
            <w:pPr>
              <w:spacing w:after="20"/>
            </w:pPr>
            <w:r/>
            <w:r>
              <w:rPr>
                <w:sz w:val="17"/>
              </w:rPr>
              <w:t>Loyalty product</w:t>
            </w:r>
          </w:p>
        </w:tc>
        <w:tc>
          <w:tcPr>
            <w:tcW w:type="dxa" w:w="945"/>
          </w:tcPr>
          <w:p>
            <w:pPr>
              <w:spacing w:after="20"/>
            </w:pPr>
            <w:r/>
            <w:r>
              <w:rPr>
                <w:sz w:val="17"/>
              </w:rPr>
              <w:t>Week 2</w:t>
            </w:r>
          </w:p>
        </w:tc>
      </w:tr>
    </w:tbl>
    <w:p>
      <w:pPr>
        <w:spacing w:after="40"/>
      </w:pPr>
    </w:p>
    <w:p>
      <w:pPr>
        <w:pStyle w:val="Heading2"/>
      </w:pPr>
      <w:r>
        <w:rPr/>
        <w:t>5. Data Inventory &amp; Feasibility Assessment</w:t>
      </w:r>
    </w:p>
    <w:tbl>
      <w:tblPr>
        <w:tblStyle w:val="TableGrid"/>
        <w:tblW w:type="auto" w:w="0"/>
        <w:jc w:val="center"/>
        <w:tblLayout w:type="fixed"/>
        <w:tblLook w:firstColumn="1" w:firstRow="1" w:lastColumn="0" w:lastRow="0" w:noHBand="0" w:noVBand="1" w:val="04A0"/>
        <w:tblLayout w:type="fixed"/>
      </w:tblPr>
      <w:tblGrid>
        <w:gridCol w:w="1670"/>
        <w:gridCol w:w="2024"/>
        <w:gridCol w:w="1336"/>
        <w:gridCol w:w="1559"/>
        <w:gridCol w:w="1712"/>
        <w:gridCol w:w="1336"/>
      </w:tblGrid>
      <w:tr>
        <w:trPr>
          <w:tblHeader w:val="true"/>
        </w:trPr>
        <w:tc>
          <w:tcPr>
            <w:tcW w:type="dxa" w:w="1670"/>
            <w:shd w:val="clear" w:color="auto" w:fill="1F3A5F"/>
          </w:tcPr>
          <w:p>
            <w:r/>
            <w:r>
              <w:rPr>
                <w:b/>
                <w:color w:val="FFFFFF"/>
                <w:sz w:val="17"/>
              </w:rPr>
              <w:t>Source</w:t>
            </w:r>
          </w:p>
        </w:tc>
        <w:tc>
          <w:tcPr>
            <w:tcW w:type="dxa" w:w="2024"/>
            <w:shd w:val="clear" w:color="auto" w:fill="1F3A5F"/>
          </w:tcPr>
          <w:p>
            <w:r/>
            <w:r>
              <w:rPr>
                <w:b/>
                <w:color w:val="FFFFFF"/>
                <w:sz w:val="17"/>
              </w:rPr>
              <w:t>Business meaning</w:t>
            </w:r>
          </w:p>
        </w:tc>
        <w:tc>
          <w:tcPr>
            <w:tcW w:type="dxa" w:w="1336"/>
            <w:shd w:val="clear" w:color="auto" w:fill="1F3A5F"/>
          </w:tcPr>
          <w:p>
            <w:r/>
            <w:r>
              <w:rPr>
                <w:b/>
                <w:color w:val="FFFFFF"/>
                <w:sz w:val="17"/>
              </w:rPr>
              <w:t>Grain / keys</w:t>
            </w:r>
          </w:p>
        </w:tc>
        <w:tc>
          <w:tcPr>
            <w:tcW w:type="dxa" w:w="1559"/>
            <w:shd w:val="clear" w:color="auto" w:fill="1F3A5F"/>
          </w:tcPr>
          <w:p>
            <w:r/>
            <w:r>
              <w:rPr>
                <w:b/>
                <w:color w:val="FFFFFF"/>
                <w:sz w:val="17"/>
              </w:rPr>
              <w:t>Point-in-time?</w:t>
            </w:r>
          </w:p>
        </w:tc>
        <w:tc>
          <w:tcPr>
            <w:tcW w:type="dxa" w:w="1712"/>
            <w:shd w:val="clear" w:color="auto" w:fill="1F3A5F"/>
          </w:tcPr>
          <w:p>
            <w:r/>
            <w:r>
              <w:rPr>
                <w:b/>
                <w:color w:val="FFFFFF"/>
                <w:sz w:val="17"/>
              </w:rPr>
              <w:t>Quality risks</w:t>
            </w:r>
          </w:p>
        </w:tc>
        <w:tc>
          <w:tcPr>
            <w:tcW w:type="dxa" w:w="1336"/>
            <w:shd w:val="clear" w:color="auto" w:fill="1F3A5F"/>
          </w:tcPr>
          <w:p>
            <w:r/>
            <w:r>
              <w:rPr>
                <w:b/>
                <w:color w:val="FFFFFF"/>
                <w:sz w:val="17"/>
              </w:rPr>
              <w:t>Status</w:t>
            </w:r>
          </w:p>
        </w:tc>
      </w:tr>
      <w:tr>
        <w:tc>
          <w:tcPr>
            <w:tcW w:type="dxa" w:w="1670"/>
          </w:tcPr>
          <w:p>
            <w:pPr>
              <w:spacing w:after="20"/>
            </w:pPr>
            <w:r/>
            <w:r>
              <w:rPr>
                <w:sz w:val="17"/>
              </w:rPr>
              <w:t>Store sales (POS)</w:t>
            </w:r>
          </w:p>
        </w:tc>
        <w:tc>
          <w:tcPr>
            <w:tcW w:type="dxa" w:w="2024"/>
          </w:tcPr>
          <w:p>
            <w:pPr>
              <w:spacing w:after="20"/>
            </w:pPr>
            <w:r/>
            <w:r>
              <w:rPr>
                <w:sz w:val="17"/>
              </w:rPr>
              <w:t>Net sales per store</w:t>
            </w:r>
          </w:p>
        </w:tc>
        <w:tc>
          <w:tcPr>
            <w:tcW w:type="dxa" w:w="1336"/>
          </w:tcPr>
          <w:p>
            <w:pPr>
              <w:spacing w:after="20"/>
            </w:pPr>
            <w:r/>
            <w:r>
              <w:rPr>
                <w:sz w:val="17"/>
              </w:rPr>
              <w:t>Store × day/week</w:t>
            </w:r>
          </w:p>
        </w:tc>
        <w:tc>
          <w:tcPr>
            <w:tcW w:type="dxa" w:w="1559"/>
          </w:tcPr>
          <w:p>
            <w:pPr>
              <w:spacing w:after="20"/>
            </w:pPr>
            <w:r/>
            <w:r>
              <w:rPr>
                <w:sz w:val="17"/>
              </w:rPr>
              <w:t>Yes</w:t>
            </w:r>
          </w:p>
        </w:tc>
        <w:tc>
          <w:tcPr>
            <w:tcW w:type="dxa" w:w="1712"/>
          </w:tcPr>
          <w:p>
            <w:pPr>
              <w:spacing w:after="20"/>
            </w:pPr>
            <w:r/>
            <w:r>
              <w:rPr>
                <w:sz w:val="17"/>
              </w:rPr>
              <w:t>Returns restated; calendar alignment (retail calendar vs ISO weeks, moving festivals)</w:t>
            </w:r>
          </w:p>
        </w:tc>
        <w:tc>
          <w:tcPr>
            <w:tcW w:type="dxa" w:w="1336"/>
          </w:tcPr>
          <w:p>
            <w:pPr>
              <w:spacing w:after="20"/>
            </w:pPr>
            <w:r/>
            <w:r>
              <w:rPr>
                <w:sz w:val="17"/>
              </w:rPr>
              <w:t xml:space="preserve">Sales totals </w:t>
            </w:r>
            <w:r>
              <w:rPr>
                <w:b/>
                <w:color w:val="1E7B34"/>
                <w:sz w:val="17"/>
              </w:rPr>
              <w:t>[Confirmed]</w:t>
            </w:r>
            <w:r>
              <w:rPr>
                <w:sz w:val="17"/>
              </w:rPr>
              <w:t xml:space="preserve">; weekly history </w:t>
            </w:r>
            <w:r>
              <w:rPr>
                <w:b/>
                <w:color w:val="B36B00"/>
                <w:sz w:val="17"/>
              </w:rPr>
              <w:t>[Assumed]</w:t>
            </w:r>
          </w:p>
        </w:tc>
      </w:tr>
      <w:tr>
        <w:tc>
          <w:tcPr>
            <w:tcW w:type="dxa" w:w="1670"/>
            <w:shd w:val="clear" w:color="auto" w:fill="F2F5F9"/>
          </w:tcPr>
          <w:p>
            <w:pPr>
              <w:spacing w:after="20"/>
            </w:pPr>
            <w:r/>
            <w:r>
              <w:rPr>
                <w:sz w:val="17"/>
              </w:rPr>
              <w:t>Margin and discount data</w:t>
            </w:r>
          </w:p>
        </w:tc>
        <w:tc>
          <w:tcPr>
            <w:tcW w:type="dxa" w:w="2024"/>
            <w:shd w:val="clear" w:color="auto" w:fill="F2F5F9"/>
          </w:tcPr>
          <w:p>
            <w:pPr>
              <w:spacing w:after="20"/>
            </w:pPr>
            <w:r/>
            <w:r>
              <w:rPr>
                <w:sz w:val="17"/>
              </w:rPr>
              <w:t>Profitability after offers</w:t>
            </w:r>
          </w:p>
        </w:tc>
        <w:tc>
          <w:tcPr>
            <w:tcW w:type="dxa" w:w="1336"/>
            <w:shd w:val="clear" w:color="auto" w:fill="F2F5F9"/>
          </w:tcPr>
          <w:p>
            <w:pPr>
              <w:spacing w:after="20"/>
            </w:pPr>
            <w:r/>
            <w:r>
              <w:rPr>
                <w:sz w:val="17"/>
              </w:rPr>
              <w:t>Store × week (or line-level)</w:t>
            </w:r>
          </w:p>
        </w:tc>
        <w:tc>
          <w:tcPr>
            <w:tcW w:type="dxa" w:w="1559"/>
            <w:shd w:val="clear" w:color="auto" w:fill="F2F5F9"/>
          </w:tcPr>
          <w:p>
            <w:pPr>
              <w:spacing w:after="20"/>
            </w:pPr>
            <w:r/>
            <w:r>
              <w:rPr>
                <w:sz w:val="17"/>
              </w:rPr>
              <w:t>Yes</w:t>
            </w:r>
          </w:p>
        </w:tc>
        <w:tc>
          <w:tcPr>
            <w:tcW w:type="dxa" w:w="1712"/>
            <w:shd w:val="clear" w:color="auto" w:fill="F2F5F9"/>
          </w:tcPr>
          <w:p>
            <w:pPr>
              <w:spacing w:after="20"/>
            </w:pPr>
            <w:r/>
            <w:r>
              <w:rPr>
                <w:sz w:val="17"/>
              </w:rPr>
              <w:t>May not capture offer cost</w:t>
            </w:r>
          </w:p>
        </w:tc>
        <w:tc>
          <w:tcPr>
            <w:tcW w:type="dxa" w:w="1336"/>
            <w:shd w:val="clear" w:color="auto" w:fill="F2F5F9"/>
          </w:tcPr>
          <w:p>
            <w:pPr>
              <w:spacing w:after="20"/>
            </w:pPr>
            <w:r/>
            <w:r>
              <w:rPr>
                <w:b/>
                <w:color w:val="C0392B"/>
                <w:sz w:val="17"/>
              </w:rPr>
              <w:t>[To investigate]</w:t>
            </w:r>
          </w:p>
        </w:tc>
      </w:tr>
      <w:tr>
        <w:tc>
          <w:tcPr>
            <w:tcW w:type="dxa" w:w="1670"/>
          </w:tcPr>
          <w:p>
            <w:pPr>
              <w:spacing w:after="20"/>
            </w:pPr>
            <w:r/>
            <w:r>
              <w:rPr>
                <w:sz w:val="17"/>
              </w:rPr>
              <w:t>Store master</w:t>
            </w:r>
          </w:p>
        </w:tc>
        <w:tc>
          <w:tcPr>
            <w:tcW w:type="dxa" w:w="2024"/>
          </w:tcPr>
          <w:p>
            <w:pPr>
              <w:spacing w:after="20"/>
            </w:pPr>
            <w:r/>
            <w:r>
              <w:rPr>
                <w:sz w:val="17"/>
              </w:rPr>
              <w:t>Size, format, metro flag, region, opening date, refits</w:t>
            </w:r>
          </w:p>
        </w:tc>
        <w:tc>
          <w:tcPr>
            <w:tcW w:type="dxa" w:w="1336"/>
          </w:tcPr>
          <w:p>
            <w:pPr>
              <w:spacing w:after="20"/>
            </w:pPr>
            <w:r/>
            <w:r>
              <w:rPr>
                <w:sz w:val="17"/>
              </w:rPr>
              <w:t>Store</w:t>
            </w:r>
          </w:p>
        </w:tc>
        <w:tc>
          <w:tcPr>
            <w:tcW w:type="dxa" w:w="1559"/>
          </w:tcPr>
          <w:p>
            <w:pPr>
              <w:spacing w:after="20"/>
            </w:pPr>
            <w:r/>
            <w:r>
              <w:rPr>
                <w:sz w:val="17"/>
              </w:rPr>
              <w:t>Static + change log</w:t>
            </w:r>
          </w:p>
        </w:tc>
        <w:tc>
          <w:tcPr>
            <w:tcW w:type="dxa" w:w="1712"/>
          </w:tcPr>
          <w:p>
            <w:pPr>
              <w:spacing w:after="20"/>
            </w:pPr>
            <w:r/>
            <w:r>
              <w:rPr>
                <w:sz w:val="17"/>
              </w:rPr>
              <w:t>Refits and openings are structural breaks</w:t>
            </w:r>
          </w:p>
        </w:tc>
        <w:tc>
          <w:tcPr>
            <w:tcW w:type="dxa" w:w="1336"/>
          </w:tcPr>
          <w:p>
            <w:pPr>
              <w:spacing w:after="20"/>
            </w:pPr>
            <w:r/>
            <w:r>
              <w:rPr>
                <w:b/>
                <w:color w:val="B36B00"/>
                <w:sz w:val="17"/>
              </w:rPr>
              <w:t>[Assumed]</w:t>
            </w:r>
          </w:p>
        </w:tc>
      </w:tr>
      <w:tr>
        <w:tc>
          <w:tcPr>
            <w:tcW w:type="dxa" w:w="1670"/>
            <w:shd w:val="clear" w:color="auto" w:fill="F2F5F9"/>
          </w:tcPr>
          <w:p>
            <w:pPr>
              <w:spacing w:after="20"/>
            </w:pPr>
            <w:r/>
            <w:r>
              <w:rPr>
                <w:sz w:val="17"/>
              </w:rPr>
              <w:t>Loyalty-app data</w:t>
            </w:r>
          </w:p>
        </w:tc>
        <w:tc>
          <w:tcPr>
            <w:tcW w:type="dxa" w:w="2024"/>
            <w:shd w:val="clear" w:color="auto" w:fill="F2F5F9"/>
          </w:tcPr>
          <w:p>
            <w:pPr>
              <w:spacing w:after="20"/>
            </w:pPr>
            <w:r/>
            <w:r>
              <w:rPr>
                <w:sz w:val="17"/>
              </w:rPr>
              <w:t>App users, offer issue and redemption</w:t>
            </w:r>
          </w:p>
        </w:tc>
        <w:tc>
          <w:tcPr>
            <w:tcW w:type="dxa" w:w="1336"/>
            <w:shd w:val="clear" w:color="auto" w:fill="F2F5F9"/>
          </w:tcPr>
          <w:p>
            <w:pPr>
              <w:spacing w:after="20"/>
            </w:pPr>
            <w:r/>
            <w:r>
              <w:rPr>
                <w:sz w:val="17"/>
              </w:rPr>
              <w:t>Customer × event</w:t>
            </w:r>
          </w:p>
        </w:tc>
        <w:tc>
          <w:tcPr>
            <w:tcW w:type="dxa" w:w="1559"/>
            <w:shd w:val="clear" w:color="auto" w:fill="F2F5F9"/>
          </w:tcPr>
          <w:p>
            <w:pPr>
              <w:spacing w:after="20"/>
            </w:pPr>
            <w:r/>
            <w:r>
              <w:rPr>
                <w:sz w:val="17"/>
              </w:rPr>
              <w:t>Yes</w:t>
            </w:r>
          </w:p>
        </w:tc>
        <w:tc>
          <w:tcPr>
            <w:tcW w:type="dxa" w:w="1712"/>
            <w:shd w:val="clear" w:color="auto" w:fill="F2F5F9"/>
          </w:tcPr>
          <w:p>
            <w:pPr>
              <w:spacing w:after="20"/>
            </w:pPr>
            <w:r/>
            <w:r>
              <w:rPr>
                <w:sz w:val="17"/>
              </w:rPr>
              <w:t>Self-selection of app users; privacy and consent</w:t>
            </w:r>
          </w:p>
        </w:tc>
        <w:tc>
          <w:tcPr>
            <w:tcW w:type="dxa" w:w="1336"/>
            <w:shd w:val="clear" w:color="auto" w:fill="F2F5F9"/>
          </w:tcPr>
          <w:p>
            <w:pPr>
              <w:spacing w:after="20"/>
            </w:pPr>
            <w:r/>
            <w:r>
              <w:rPr>
                <w:b/>
                <w:color w:val="C0392B"/>
                <w:sz w:val="17"/>
              </w:rPr>
              <w:t>[To investigate]</w:t>
            </w:r>
          </w:p>
        </w:tc>
      </w:tr>
      <w:tr>
        <w:tc>
          <w:tcPr>
            <w:tcW w:type="dxa" w:w="1670"/>
          </w:tcPr>
          <w:p>
            <w:pPr>
              <w:spacing w:after="20"/>
            </w:pPr>
            <w:r/>
            <w:r>
              <w:rPr>
                <w:sz w:val="17"/>
              </w:rPr>
              <w:t>Store-selection record</w:t>
            </w:r>
          </w:p>
        </w:tc>
        <w:tc>
          <w:tcPr>
            <w:tcW w:type="dxa" w:w="2024"/>
          </w:tcPr>
          <w:p>
            <w:pPr>
              <w:spacing w:after="20"/>
            </w:pPr>
            <w:r/>
            <w:r>
              <w:rPr>
                <w:sz w:val="17"/>
              </w:rPr>
              <w:t>Why/when each treated store was chosen and launched</w:t>
            </w:r>
          </w:p>
        </w:tc>
        <w:tc>
          <w:tcPr>
            <w:tcW w:type="dxa" w:w="1336"/>
          </w:tcPr>
          <w:p>
            <w:pPr>
              <w:spacing w:after="20"/>
            </w:pPr>
            <w:r/>
            <w:r>
              <w:rPr>
                <w:sz w:val="17"/>
              </w:rPr>
              <w:t>Store</w:t>
            </w:r>
          </w:p>
        </w:tc>
        <w:tc>
          <w:tcPr>
            <w:tcW w:type="dxa" w:w="1559"/>
          </w:tcPr>
          <w:p>
            <w:pPr>
              <w:spacing w:after="20"/>
            </w:pPr>
            <w:r/>
            <w:r>
              <w:rPr>
                <w:sz w:val="17"/>
              </w:rPr>
              <w:t>Yes</w:t>
            </w:r>
          </w:p>
        </w:tc>
        <w:tc>
          <w:tcPr>
            <w:tcW w:type="dxa" w:w="1712"/>
          </w:tcPr>
          <w:p>
            <w:pPr>
              <w:spacing w:after="20"/>
            </w:pPr>
            <w:r/>
            <w:r>
              <w:rPr>
                <w:sz w:val="17"/>
              </w:rPr>
              <w:t>May be informal</w:t>
            </w:r>
          </w:p>
        </w:tc>
        <w:tc>
          <w:tcPr>
            <w:tcW w:type="dxa" w:w="1336"/>
          </w:tcPr>
          <w:p>
            <w:pPr>
              <w:spacing w:after="20"/>
            </w:pPr>
            <w:r/>
            <w:r>
              <w:rPr>
                <w:b/>
                <w:color w:val="C0392B"/>
                <w:sz w:val="17"/>
              </w:rPr>
              <w:t>[To investigate]</w:t>
            </w:r>
          </w:p>
        </w:tc>
      </w:tr>
      <w:tr>
        <w:tc>
          <w:tcPr>
            <w:tcW w:type="dxa" w:w="1670"/>
            <w:shd w:val="clear" w:color="auto" w:fill="F2F5F9"/>
          </w:tcPr>
          <w:p>
            <w:pPr>
              <w:spacing w:after="20"/>
            </w:pPr>
            <w:r/>
            <w:r>
              <w:rPr>
                <w:sz w:val="17"/>
              </w:rPr>
              <w:t>Initiative / promotion calendar</w:t>
            </w:r>
          </w:p>
        </w:tc>
        <w:tc>
          <w:tcPr>
            <w:tcW w:type="dxa" w:w="2024"/>
            <w:shd w:val="clear" w:color="auto" w:fill="F2F5F9"/>
          </w:tcPr>
          <w:p>
            <w:pPr>
              <w:spacing w:after="20"/>
            </w:pPr>
            <w:r/>
            <w:r>
              <w:rPr>
                <w:sz w:val="17"/>
              </w:rPr>
              <w:t>Other campaigns, price changes, events</w:t>
            </w:r>
          </w:p>
        </w:tc>
        <w:tc>
          <w:tcPr>
            <w:tcW w:type="dxa" w:w="1336"/>
            <w:shd w:val="clear" w:color="auto" w:fill="F2F5F9"/>
          </w:tcPr>
          <w:p>
            <w:pPr>
              <w:spacing w:after="20"/>
            </w:pPr>
            <w:r/>
            <w:r>
              <w:rPr>
                <w:sz w:val="17"/>
              </w:rPr>
              <w:t>Store/region × date</w:t>
            </w:r>
          </w:p>
        </w:tc>
        <w:tc>
          <w:tcPr>
            <w:tcW w:type="dxa" w:w="1559"/>
            <w:shd w:val="clear" w:color="auto" w:fill="F2F5F9"/>
          </w:tcPr>
          <w:p>
            <w:pPr>
              <w:spacing w:after="20"/>
            </w:pPr>
            <w:r/>
            <w:r>
              <w:rPr>
                <w:sz w:val="17"/>
              </w:rPr>
              <w:t>Yes</w:t>
            </w:r>
          </w:p>
        </w:tc>
        <w:tc>
          <w:tcPr>
            <w:tcW w:type="dxa" w:w="1712"/>
            <w:shd w:val="clear" w:color="auto" w:fill="F2F5F9"/>
          </w:tcPr>
          <w:p>
            <w:pPr>
              <w:spacing w:after="20"/>
            </w:pPr>
            <w:r/>
            <w:r>
              <w:rPr>
                <w:sz w:val="17"/>
              </w:rPr>
              <w:t>Incomplete</w:t>
            </w:r>
          </w:p>
        </w:tc>
        <w:tc>
          <w:tcPr>
            <w:tcW w:type="dxa" w:w="1336"/>
            <w:shd w:val="clear" w:color="auto" w:fill="F2F5F9"/>
          </w:tcPr>
          <w:p>
            <w:pPr>
              <w:spacing w:after="20"/>
            </w:pPr>
            <w:r/>
            <w:r>
              <w:rPr>
                <w:b/>
                <w:color w:val="C0392B"/>
                <w:sz w:val="17"/>
              </w:rPr>
              <w:t>[To investigate]</w:t>
            </w:r>
          </w:p>
        </w:tc>
      </w:tr>
      <w:tr>
        <w:tc>
          <w:tcPr>
            <w:tcW w:type="dxa" w:w="1670"/>
          </w:tcPr>
          <w:p>
            <w:pPr>
              <w:spacing w:after="20"/>
            </w:pPr>
            <w:r/>
            <w:r>
              <w:rPr>
                <w:sz w:val="17"/>
              </w:rPr>
              <w:t>External</w:t>
            </w:r>
          </w:p>
        </w:tc>
        <w:tc>
          <w:tcPr>
            <w:tcW w:type="dxa" w:w="2024"/>
          </w:tcPr>
          <w:p>
            <w:pPr>
              <w:spacing w:after="20"/>
            </w:pPr>
            <w:r/>
            <w:r>
              <w:rPr>
                <w:sz w:val="17"/>
              </w:rPr>
              <w:t>Holidays and festivals (national and regional), weather, local events, catchment demographics</w:t>
            </w:r>
          </w:p>
        </w:tc>
        <w:tc>
          <w:tcPr>
            <w:tcW w:type="dxa" w:w="1336"/>
          </w:tcPr>
          <w:p>
            <w:pPr>
              <w:spacing w:after="20"/>
            </w:pPr>
            <w:r/>
            <w:r>
              <w:rPr>
                <w:sz w:val="17"/>
              </w:rPr>
              <w:t>Date × region</w:t>
            </w:r>
          </w:p>
        </w:tc>
        <w:tc>
          <w:tcPr>
            <w:tcW w:type="dxa" w:w="1559"/>
          </w:tcPr>
          <w:p>
            <w:pPr>
              <w:spacing w:after="20"/>
            </w:pPr>
            <w:r/>
            <w:r>
              <w:rPr>
                <w:sz w:val="17"/>
              </w:rPr>
              <w:t>Yes</w:t>
            </w:r>
          </w:p>
        </w:tc>
        <w:tc>
          <w:tcPr>
            <w:tcW w:type="dxa" w:w="1712"/>
          </w:tcPr>
          <w:p>
            <w:pPr>
              <w:spacing w:after="20"/>
            </w:pPr>
            <w:r/>
            <w:r>
              <w:rPr>
                <w:sz w:val="17"/>
              </w:rPr>
              <w:t>Moving-festival alignment</w:t>
            </w:r>
          </w:p>
        </w:tc>
        <w:tc>
          <w:tcPr>
            <w:tcW w:type="dxa" w:w="1336"/>
          </w:tcPr>
          <w:p>
            <w:pPr>
              <w:spacing w:after="20"/>
            </w:pPr>
            <w:r/>
            <w:r>
              <w:rPr>
                <w:b/>
                <w:color w:val="C0392B"/>
                <w:sz w:val="17"/>
              </w:rPr>
              <w:t>[To investigate]</w:t>
            </w:r>
          </w:p>
        </w:tc>
      </w:tr>
    </w:tbl>
    <w:p>
      <w:pPr>
        <w:spacing w:after="40"/>
      </w:pPr>
    </w:p>
    <w:p>
      <w:r>
        <w:rPr>
          <w:b/>
        </w:rPr>
        <w:t>Privacy, owners and refresh:</w:t>
      </w:r>
      <w:r>
        <w:rPr/>
        <w:t xml:space="preserve"> Each source needs a named data owner and refresh cadence (to be filled in Discovery). Loyalty-app and offer data are personal data: confirm consent basis, purpose limitation, data residency and who approves access (Legal / DPO). Store-level aggregates are preferred so that customer-level data need not leave its environment.</w:t>
      </w:r>
    </w:p>
    <w:p>
      <w:r>
        <w:rPr>
          <w:b/>
        </w:rPr>
        <w:t>Feasibility verdict:</w:t>
      </w:r>
      <w:r>
        <w:rPr/>
        <w:t xml:space="preserve"> A1 is feasible </w:t>
      </w:r>
      <w:r>
        <w:rPr>
          <w:b/>
        </w:rPr>
        <w:t>only if</w:t>
      </w:r>
      <w:r>
        <w:rPr/>
        <w:t xml:space="preserve"> weekly pre-launch store data and launch dates exist (Q1–Q4); even then the credibility depends on the parallel-trends diagnostics, which could fail. A2 is feasible if the client accepts randomisation (AS6). </w:t>
      </w:r>
      <w:r>
        <w:rPr>
          <w:b/>
        </w:rPr>
        <w:t>Blocking dependencies:</w:t>
      </w:r>
      <w:r>
        <w:rPr/>
        <w:t xml:space="preserve"> Q1, Q2, Q3, Q4, Q5, Q6. A blocking question may be closed only by an answer or by a labelled assumption signed off by the CMO office.</w:t>
      </w:r>
    </w:p>
    <w:p>
      <w:pPr>
        <w:pStyle w:val="Heading2"/>
      </w:pPr>
      <w:r>
        <w:rPr/>
        <w:t>6. Data Quality &amp; Preprocessing Plan</w:t>
      </w:r>
    </w:p>
    <w:tbl>
      <w:tblPr>
        <w:tblStyle w:val="TableGrid"/>
        <w:tblW w:type="auto" w:w="0"/>
        <w:jc w:val="center"/>
        <w:tblLayout w:type="fixed"/>
        <w:tblLook w:firstColumn="1" w:firstRow="1" w:lastColumn="0" w:lastRow="0" w:noHBand="0" w:noVBand="1" w:val="04A0"/>
        <w:tblLayout w:type="fixed"/>
      </w:tblPr>
      <w:tblGrid>
        <w:gridCol w:w="1567"/>
        <w:gridCol w:w="2000"/>
        <w:gridCol w:w="2724"/>
        <w:gridCol w:w="1450"/>
        <w:gridCol w:w="1897"/>
      </w:tblGrid>
      <w:tr>
        <w:trPr>
          <w:tblHeader w:val="true"/>
        </w:trPr>
        <w:tc>
          <w:tcPr>
            <w:tcW w:type="dxa" w:w="1567"/>
            <w:shd w:val="clear" w:color="auto" w:fill="1F3A5F"/>
          </w:tcPr>
          <w:p>
            <w:r/>
            <w:r>
              <w:rPr>
                <w:b/>
                <w:color w:val="FFFFFF"/>
                <w:sz w:val="17"/>
              </w:rPr>
              <w:t>Step</w:t>
            </w:r>
          </w:p>
        </w:tc>
        <w:tc>
          <w:tcPr>
            <w:tcW w:type="dxa" w:w="2000"/>
            <w:shd w:val="clear" w:color="auto" w:fill="1F3A5F"/>
          </w:tcPr>
          <w:p>
            <w:r/>
            <w:r>
              <w:rPr>
                <w:b/>
                <w:color w:val="FFFFFF"/>
                <w:sz w:val="17"/>
              </w:rPr>
              <w:t>Rationale</w:t>
            </w:r>
          </w:p>
        </w:tc>
        <w:tc>
          <w:tcPr>
            <w:tcW w:type="dxa" w:w="2724"/>
            <w:shd w:val="clear" w:color="auto" w:fill="1F3A5F"/>
          </w:tcPr>
          <w:p>
            <w:r/>
            <w:r>
              <w:rPr>
                <w:b/>
                <w:color w:val="FFFFFF"/>
                <w:sz w:val="17"/>
              </w:rPr>
              <w:t>Method</w:t>
            </w:r>
          </w:p>
        </w:tc>
        <w:tc>
          <w:tcPr>
            <w:tcW w:type="dxa" w:w="1450"/>
            <w:shd w:val="clear" w:color="auto" w:fill="1F3A5F"/>
          </w:tcPr>
          <w:p>
            <w:r/>
            <w:r>
              <w:rPr>
                <w:b/>
                <w:color w:val="FFFFFF"/>
                <w:sz w:val="17"/>
              </w:rPr>
              <w:t>Risk</w:t>
            </w:r>
          </w:p>
        </w:tc>
        <w:tc>
          <w:tcPr>
            <w:tcW w:type="dxa" w:w="1897"/>
            <w:shd w:val="clear" w:color="auto" w:fill="1F3A5F"/>
          </w:tcPr>
          <w:p>
            <w:r/>
            <w:r>
              <w:rPr>
                <w:b/>
                <w:color w:val="FFFFFF"/>
                <w:sz w:val="17"/>
              </w:rPr>
              <w:t>Validation check</w:t>
            </w:r>
          </w:p>
        </w:tc>
      </w:tr>
      <w:tr>
        <w:tc>
          <w:tcPr>
            <w:tcW w:type="dxa" w:w="1567"/>
          </w:tcPr>
          <w:p>
            <w:pPr>
              <w:spacing w:after="20"/>
            </w:pPr>
            <w:r/>
            <w:r>
              <w:rPr>
                <w:sz w:val="17"/>
              </w:rPr>
              <w:t>Build like-for-like store × week panel</w:t>
            </w:r>
          </w:p>
        </w:tc>
        <w:tc>
          <w:tcPr>
            <w:tcW w:type="dxa" w:w="2000"/>
          </w:tcPr>
          <w:p>
            <w:pPr>
              <w:spacing w:after="20"/>
            </w:pPr>
            <w:r/>
            <w:r>
              <w:rPr>
                <w:sz w:val="17"/>
              </w:rPr>
              <w:t>Growth rates are distorted by openings, closures, refits</w:t>
            </w:r>
          </w:p>
        </w:tc>
        <w:tc>
          <w:tcPr>
            <w:tcW w:type="dxa" w:w="2724"/>
          </w:tcPr>
          <w:p>
            <w:pPr>
              <w:spacing w:after="20"/>
            </w:pPr>
            <w:r/>
            <w:r>
              <w:rPr>
                <w:sz w:val="17"/>
              </w:rPr>
              <w:t>Exclude or flag stores with structural breaks; use the same calendar for all stores</w:t>
            </w:r>
          </w:p>
        </w:tc>
        <w:tc>
          <w:tcPr>
            <w:tcW w:type="dxa" w:w="1450"/>
          </w:tcPr>
          <w:p>
            <w:pPr>
              <w:spacing w:after="20"/>
            </w:pPr>
            <w:r/>
            <w:r>
              <w:rPr>
                <w:sz w:val="17"/>
              </w:rPr>
              <w:t>Excluding stores changes the population</w:t>
            </w:r>
          </w:p>
        </w:tc>
        <w:tc>
          <w:tcPr>
            <w:tcW w:type="dxa" w:w="1897"/>
          </w:tcPr>
          <w:p>
            <w:pPr>
              <w:spacing w:after="20"/>
            </w:pPr>
            <w:r/>
            <w:r>
              <w:rPr>
                <w:sz w:val="17"/>
              </w:rPr>
              <w:t>Compare included vs excluded store profile</w:t>
            </w:r>
          </w:p>
        </w:tc>
      </w:tr>
      <w:tr>
        <w:tc>
          <w:tcPr>
            <w:tcW w:type="dxa" w:w="1567"/>
            <w:shd w:val="clear" w:color="auto" w:fill="F2F5F9"/>
          </w:tcPr>
          <w:p>
            <w:pPr>
              <w:spacing w:after="20"/>
            </w:pPr>
            <w:r/>
            <w:r>
              <w:rPr>
                <w:sz w:val="17"/>
              </w:rPr>
              <w:t>Align to retail calendar and festivals</w:t>
            </w:r>
          </w:p>
        </w:tc>
        <w:tc>
          <w:tcPr>
            <w:tcW w:type="dxa" w:w="2000"/>
            <w:shd w:val="clear" w:color="auto" w:fill="F2F5F9"/>
          </w:tcPr>
          <w:p>
            <w:pPr>
              <w:spacing w:after="20"/>
            </w:pPr>
            <w:r/>
            <w:r>
              <w:rPr>
                <w:sz w:val="17"/>
              </w:rPr>
              <w:t>YoY and seasonality comparisons need matched weeks</w:t>
            </w:r>
          </w:p>
        </w:tc>
        <w:tc>
          <w:tcPr>
            <w:tcW w:type="dxa" w:w="2724"/>
            <w:shd w:val="clear" w:color="auto" w:fill="F2F5F9"/>
          </w:tcPr>
          <w:p>
            <w:pPr>
              <w:spacing w:after="20"/>
            </w:pPr>
            <w:r/>
            <w:r>
              <w:rPr>
                <w:sz w:val="17"/>
              </w:rPr>
              <w:t>Map each week to its festival/event flags</w:t>
            </w:r>
          </w:p>
        </w:tc>
        <w:tc>
          <w:tcPr>
            <w:tcW w:type="dxa" w:w="1450"/>
            <w:shd w:val="clear" w:color="auto" w:fill="F2F5F9"/>
          </w:tcPr>
          <w:p>
            <w:pPr>
              <w:spacing w:after="20"/>
            </w:pPr>
            <w:r/>
            <w:r>
              <w:rPr>
                <w:sz w:val="17"/>
              </w:rPr>
              <w:t>Misalignment of moving festivals</w:t>
            </w:r>
          </w:p>
        </w:tc>
        <w:tc>
          <w:tcPr>
            <w:tcW w:type="dxa" w:w="1897"/>
            <w:shd w:val="clear" w:color="auto" w:fill="F2F5F9"/>
          </w:tcPr>
          <w:p>
            <w:pPr>
              <w:spacing w:after="20"/>
            </w:pPr>
            <w:r/>
            <w:r>
              <w:rPr>
                <w:sz w:val="17"/>
              </w:rPr>
              <w:t>Spot-check festival weeks in both years</w:t>
            </w:r>
          </w:p>
        </w:tc>
      </w:tr>
      <w:tr>
        <w:tc>
          <w:tcPr>
            <w:tcW w:type="dxa" w:w="1567"/>
          </w:tcPr>
          <w:p>
            <w:pPr>
              <w:spacing w:after="20"/>
            </w:pPr>
            <w:r/>
            <w:r>
              <w:rPr>
                <w:sz w:val="17"/>
              </w:rPr>
              <w:t>Remove stock-out distortion</w:t>
            </w:r>
          </w:p>
        </w:tc>
        <w:tc>
          <w:tcPr>
            <w:tcW w:type="dxa" w:w="2000"/>
          </w:tcPr>
          <w:p>
            <w:pPr>
              <w:spacing w:after="20"/>
            </w:pPr>
            <w:r/>
            <w:r>
              <w:rPr>
                <w:sz w:val="17"/>
              </w:rPr>
              <w:t>Sales ≠ demand when out of stock</w:t>
            </w:r>
          </w:p>
        </w:tc>
        <w:tc>
          <w:tcPr>
            <w:tcW w:type="dxa" w:w="2724"/>
          </w:tcPr>
          <w:p>
            <w:pPr>
              <w:spacing w:after="20"/>
            </w:pPr>
            <w:r/>
            <w:r>
              <w:rPr>
                <w:sz w:val="17"/>
              </w:rPr>
              <w:t>Use availability flags where available; sensitivity analysis excluding stock-out weeks</w:t>
            </w:r>
          </w:p>
        </w:tc>
        <w:tc>
          <w:tcPr>
            <w:tcW w:type="dxa" w:w="1450"/>
          </w:tcPr>
          <w:p>
            <w:pPr>
              <w:spacing w:after="20"/>
            </w:pPr>
            <w:r/>
            <w:r>
              <w:rPr>
                <w:sz w:val="17"/>
              </w:rPr>
              <w:t>Missing availability data</w:t>
            </w:r>
          </w:p>
        </w:tc>
        <w:tc>
          <w:tcPr>
            <w:tcW w:type="dxa" w:w="1897"/>
          </w:tcPr>
          <w:p>
            <w:pPr>
              <w:spacing w:after="20"/>
            </w:pPr>
            <w:r/>
            <w:r>
              <w:rPr>
                <w:sz w:val="17"/>
              </w:rPr>
              <w:t>Compare effect with and without flagged weeks</w:t>
            </w:r>
          </w:p>
        </w:tc>
      </w:tr>
      <w:tr>
        <w:tc>
          <w:tcPr>
            <w:tcW w:type="dxa" w:w="1567"/>
            <w:shd w:val="clear" w:color="auto" w:fill="F2F5F9"/>
          </w:tcPr>
          <w:p>
            <w:pPr>
              <w:spacing w:after="20"/>
            </w:pPr>
            <w:r/>
            <w:r>
              <w:rPr>
                <w:sz w:val="17"/>
              </w:rPr>
              <w:t>Define outcome scale</w:t>
            </w:r>
          </w:p>
        </w:tc>
        <w:tc>
          <w:tcPr>
            <w:tcW w:type="dxa" w:w="2000"/>
            <w:shd w:val="clear" w:color="auto" w:fill="F2F5F9"/>
          </w:tcPr>
          <w:p>
            <w:pPr>
              <w:spacing w:after="20"/>
            </w:pPr>
            <w:r/>
            <w:r>
              <w:rPr>
                <w:sz w:val="17"/>
              </w:rPr>
              <w:t>Level differences between large and small stores</w:t>
            </w:r>
          </w:p>
        </w:tc>
        <w:tc>
          <w:tcPr>
            <w:tcW w:type="dxa" w:w="2724"/>
            <w:shd w:val="clear" w:color="auto" w:fill="F2F5F9"/>
          </w:tcPr>
          <w:p>
            <w:pPr>
              <w:spacing w:after="20"/>
            </w:pPr>
            <w:r/>
            <w:r>
              <w:rPr>
                <w:sz w:val="17"/>
              </w:rPr>
              <w:t>Use log sales or sales indexed to each store's own pre-period mean</w:t>
            </w:r>
          </w:p>
        </w:tc>
        <w:tc>
          <w:tcPr>
            <w:tcW w:type="dxa" w:w="1450"/>
            <w:shd w:val="clear" w:color="auto" w:fill="F2F5F9"/>
          </w:tcPr>
          <w:p>
            <w:pPr>
              <w:spacing w:after="20"/>
            </w:pPr>
            <w:r/>
            <w:r>
              <w:rPr>
                <w:sz w:val="17"/>
              </w:rPr>
              <w:t>Index base choice</w:t>
            </w:r>
          </w:p>
        </w:tc>
        <w:tc>
          <w:tcPr>
            <w:tcW w:type="dxa" w:w="1897"/>
            <w:shd w:val="clear" w:color="auto" w:fill="F2F5F9"/>
          </w:tcPr>
          <w:p>
            <w:pPr>
              <w:spacing w:after="20"/>
            </w:pPr>
            <w:r/>
            <w:r>
              <w:rPr>
                <w:sz w:val="17"/>
              </w:rPr>
              <w:t>Re-run with both specifications</w:t>
            </w:r>
          </w:p>
        </w:tc>
      </w:tr>
      <w:tr>
        <w:tc>
          <w:tcPr>
            <w:tcW w:type="dxa" w:w="1567"/>
          </w:tcPr>
          <w:p>
            <w:pPr>
              <w:spacing w:after="20"/>
            </w:pPr>
            <w:r/>
            <w:r>
              <w:rPr>
                <w:sz w:val="17"/>
              </w:rPr>
              <w:t>Missingness and outliers</w:t>
            </w:r>
          </w:p>
        </w:tc>
        <w:tc>
          <w:tcPr>
            <w:tcW w:type="dxa" w:w="2000"/>
          </w:tcPr>
          <w:p>
            <w:pPr>
              <w:spacing w:after="20"/>
            </w:pPr>
            <w:r/>
            <w:r>
              <w:rPr>
                <w:sz w:val="17"/>
              </w:rPr>
              <w:t>Single weeks can dominate</w:t>
            </w:r>
          </w:p>
        </w:tc>
        <w:tc>
          <w:tcPr>
            <w:tcW w:type="dxa" w:w="2724"/>
          </w:tcPr>
          <w:p>
            <w:pPr>
              <w:spacing w:after="20"/>
            </w:pPr>
            <w:r/>
            <w:r>
              <w:rPr>
                <w:sz w:val="17"/>
              </w:rPr>
              <w:t>Document; winsorise only as a pre-declared sensitivity check</w:t>
            </w:r>
          </w:p>
        </w:tc>
        <w:tc>
          <w:tcPr>
            <w:tcW w:type="dxa" w:w="1450"/>
          </w:tcPr>
          <w:p>
            <w:pPr>
              <w:spacing w:after="20"/>
            </w:pPr>
            <w:r/>
            <w:r>
              <w:rPr>
                <w:sz w:val="17"/>
              </w:rPr>
              <w:t>Hiding genuine effects</w:t>
            </w:r>
          </w:p>
        </w:tc>
        <w:tc>
          <w:tcPr>
            <w:tcW w:type="dxa" w:w="1897"/>
          </w:tcPr>
          <w:p>
            <w:pPr>
              <w:spacing w:after="20"/>
            </w:pPr>
            <w:r/>
            <w:r>
              <w:rPr>
                <w:sz w:val="17"/>
              </w:rPr>
              <w:t>Report results with and without</w:t>
            </w:r>
          </w:p>
        </w:tc>
      </w:tr>
    </w:tbl>
    <w:p>
      <w:pPr>
        <w:spacing w:after="40"/>
      </w:pPr>
    </w:p>
    <w:p>
      <w:pPr>
        <w:pStyle w:val="Heading2"/>
      </w:pPr>
      <w:r>
        <w:rPr/>
        <w:t>7. Feature &amp; Target Design</w:t>
      </w:r>
    </w:p>
    <w:p>
      <w:pPr>
        <w:pStyle w:val="ListBullet"/>
        <w:spacing w:after="40"/>
        <w:ind w:left="357" w:hanging="357"/>
      </w:pPr>
      <w:r>
        <w:rPr>
          <w:b/>
        </w:rPr>
        <w:t>Primary outcome (A1 and A2): incremental gross margin per store-week, net of offer and running cost</w:t>
      </w:r>
      <w:r>
        <w:rPr/>
        <w:t>, in currency units, estimated on the level scale (margin can be negative, so no log transform). [To investigate: Q2.] If margin is unavailable, the fallback primary is the sales effect converted with an agreed margin rate (labelled as an approximation).</w:t>
      </w:r>
    </w:p>
    <w:p>
      <w:pPr>
        <w:pStyle w:val="ListBullet"/>
        <w:spacing w:after="40"/>
        <w:ind w:left="357" w:hanging="357"/>
      </w:pPr>
      <w:r>
        <w:rPr>
          <w:b/>
        </w:rPr>
        <w:t>Secondary outcomes:</w:t>
      </w:r>
      <w:r>
        <w:rPr/>
        <w:t xml:space="preserve"> log weekly net sales (reported as a % effect), transactions, average basket value, loyalty-member share of sales, discount depth, and return rate.</w:t>
      </w:r>
    </w:p>
    <w:p>
      <w:pPr>
        <w:pStyle w:val="ListBullet"/>
        <w:spacing w:after="40"/>
        <w:ind w:left="357" w:hanging="357"/>
      </w:pPr>
      <w:r>
        <w:rPr>
          <w:b/>
        </w:rPr>
        <w:t>Guardrails:</w:t>
      </w:r>
      <w:r>
        <w:rPr/>
        <w:t xml:space="preserve"> margin rate, return rate, and sales in neighbouring untreated stores (spillover).</w:t>
      </w:r>
    </w:p>
    <w:p>
      <w:pPr>
        <w:pStyle w:val="ListBullet"/>
        <w:spacing w:after="40"/>
        <w:ind w:left="357" w:hanging="357"/>
      </w:pPr>
      <w:r>
        <w:rPr>
          <w:b/>
        </w:rPr>
        <w:t>Covariates (all measured before launch):</w:t>
      </w:r>
      <w:r>
        <w:rPr/>
        <w:t xml:space="preserve"> store size, metro flag, region, format [Assumed available]; catchment demographics, stock availability flags, pre-period app-user share </w:t>
      </w:r>
      <w:r>
        <w:rPr>
          <w:b/>
          <w:color w:val="C0392B"/>
        </w:rPr>
        <w:t>[To investigate]</w:t>
      </w:r>
      <w:r>
        <w:rPr/>
        <w:t xml:space="preserve">; pre-period sales level and trend </w:t>
      </w:r>
      <w:r>
        <w:rPr>
          <w:b/>
          <w:color w:val="B36B00"/>
        </w:rPr>
        <w:t>[Assumed]</w:t>
      </w:r>
      <w:r>
        <w:rPr/>
        <w:t>. No post-launch variable is used as a control (post-treatment variables may be mediators).</w:t>
      </w:r>
    </w:p>
    <w:p>
      <w:pPr>
        <w:pStyle w:val="Heading2"/>
      </w:pPr>
      <w:r>
        <w:rPr/>
        <w:t>10. Metrics &amp; Decision Criteria</w:t>
      </w:r>
    </w:p>
    <w:tbl>
      <w:tblPr>
        <w:tblStyle w:val="TableGrid"/>
        <w:tblW w:type="auto" w:w="0"/>
        <w:jc w:val="center"/>
        <w:tblLayout w:type="fixed"/>
        <w:tblLook w:firstColumn="1" w:firstRow="1" w:lastColumn="0" w:lastRow="0" w:noHBand="0" w:noVBand="1" w:val="04A0"/>
        <w:tblLayout w:type="fixed"/>
      </w:tblPr>
      <w:tblGrid>
        <w:gridCol w:w="1191"/>
        <w:gridCol w:w="2286"/>
        <w:gridCol w:w="2068"/>
        <w:gridCol w:w="2024"/>
        <w:gridCol w:w="2068"/>
      </w:tblGrid>
      <w:tr>
        <w:trPr>
          <w:tblHeader w:val="true"/>
        </w:trPr>
        <w:tc>
          <w:tcPr>
            <w:tcW w:type="dxa" w:w="1191"/>
            <w:shd w:val="clear" w:color="auto" w:fill="1F3A5F"/>
          </w:tcPr>
          <w:p>
            <w:r/>
            <w:r>
              <w:rPr>
                <w:b/>
                <w:color w:val="FFFFFF"/>
                <w:sz w:val="17"/>
              </w:rPr>
              <w:t>Tier</w:t>
            </w:r>
          </w:p>
        </w:tc>
        <w:tc>
          <w:tcPr>
            <w:tcW w:type="dxa" w:w="2286"/>
            <w:shd w:val="clear" w:color="auto" w:fill="1F3A5F"/>
          </w:tcPr>
          <w:p>
            <w:r/>
            <w:r>
              <w:rPr>
                <w:b/>
                <w:color w:val="FFFFFF"/>
                <w:sz w:val="17"/>
              </w:rPr>
              <w:t>Metric</w:t>
            </w:r>
          </w:p>
        </w:tc>
        <w:tc>
          <w:tcPr>
            <w:tcW w:type="dxa" w:w="2068"/>
            <w:shd w:val="clear" w:color="auto" w:fill="1F3A5F"/>
          </w:tcPr>
          <w:p>
            <w:r/>
            <w:r>
              <w:rPr>
                <w:b/>
                <w:color w:val="FFFFFF"/>
                <w:sz w:val="17"/>
              </w:rPr>
              <w:t>Definition</w:t>
            </w:r>
          </w:p>
        </w:tc>
        <w:tc>
          <w:tcPr>
            <w:tcW w:type="dxa" w:w="2024"/>
            <w:shd w:val="clear" w:color="auto" w:fill="1F3A5F"/>
          </w:tcPr>
          <w:p>
            <w:r/>
            <w:r>
              <w:rPr>
                <w:b/>
                <w:color w:val="FFFFFF"/>
                <w:sz w:val="17"/>
              </w:rPr>
              <w:t>Why</w:t>
            </w:r>
          </w:p>
        </w:tc>
        <w:tc>
          <w:tcPr>
            <w:tcW w:type="dxa" w:w="2068"/>
            <w:shd w:val="clear" w:color="auto" w:fill="1F3A5F"/>
          </w:tcPr>
          <w:p>
            <w:r/>
            <w:r>
              <w:rPr>
                <w:b/>
                <w:color w:val="FFFFFF"/>
                <w:sz w:val="17"/>
              </w:rPr>
              <w:t>Caveat</w:t>
            </w:r>
          </w:p>
        </w:tc>
      </w:tr>
      <w:tr>
        <w:tc>
          <w:tcPr>
            <w:tcW w:type="dxa" w:w="1191"/>
          </w:tcPr>
          <w:p>
            <w:pPr>
              <w:spacing w:after="20"/>
            </w:pPr>
            <w:r/>
            <w:r>
              <w:rPr>
                <w:sz w:val="17"/>
              </w:rPr>
              <w:t>Primary</w:t>
            </w:r>
          </w:p>
        </w:tc>
        <w:tc>
          <w:tcPr>
            <w:tcW w:type="dxa" w:w="2286"/>
          </w:tcPr>
          <w:p>
            <w:pPr>
              <w:spacing w:after="20"/>
            </w:pPr>
            <w:r/>
            <w:r>
              <w:rPr>
                <w:sz w:val="17"/>
              </w:rPr>
              <w:t>Incremental margin per store-week net of offer and running cost (A1: ATT; A2: ATE)</w:t>
            </w:r>
          </w:p>
        </w:tc>
        <w:tc>
          <w:tcPr>
            <w:tcW w:type="dxa" w:w="2068"/>
          </w:tcPr>
          <w:p>
            <w:pPr>
              <w:spacing w:after="20"/>
            </w:pPr>
            <w:r/>
            <w:r>
              <w:rPr>
                <w:sz w:val="17"/>
              </w:rPr>
              <w:t>Difference in change of margin (level scale), treated vs comparison, with CI</w:t>
            </w:r>
          </w:p>
        </w:tc>
        <w:tc>
          <w:tcPr>
            <w:tcW w:type="dxa" w:w="2024"/>
          </w:tcPr>
          <w:p>
            <w:pPr>
              <w:spacing w:after="20"/>
            </w:pPr>
            <w:r/>
            <w:r>
              <w:rPr>
                <w:sz w:val="17"/>
              </w:rPr>
              <w:t>The decision-relevant quantity</w:t>
            </w:r>
          </w:p>
        </w:tc>
        <w:tc>
          <w:tcPr>
            <w:tcW w:type="dxa" w:w="2068"/>
          </w:tcPr>
          <w:p>
            <w:pPr>
              <w:spacing w:after="20"/>
            </w:pPr>
            <w:r/>
            <w:r>
              <w:rPr>
                <w:sz w:val="17"/>
              </w:rPr>
              <w:t>Needs margin and cost data (Q2); fallback in §7</w:t>
            </w:r>
          </w:p>
        </w:tc>
      </w:tr>
      <w:tr>
        <w:tc>
          <w:tcPr>
            <w:tcW w:type="dxa" w:w="1191"/>
            <w:shd w:val="clear" w:color="auto" w:fill="F2F5F9"/>
          </w:tcPr>
          <w:p>
            <w:pPr>
              <w:spacing w:after="20"/>
            </w:pPr>
            <w:r/>
            <w:r>
              <w:rPr>
                <w:sz w:val="17"/>
              </w:rPr>
              <w:t>Secondary</w:t>
            </w:r>
          </w:p>
        </w:tc>
        <w:tc>
          <w:tcPr>
            <w:tcW w:type="dxa" w:w="2286"/>
            <w:shd w:val="clear" w:color="auto" w:fill="F2F5F9"/>
          </w:tcPr>
          <w:p>
            <w:pPr>
              <w:spacing w:after="20"/>
            </w:pPr>
            <w:r/>
            <w:r>
              <w:rPr>
                <w:sz w:val="17"/>
              </w:rPr>
              <w:t>Log weekly net sales</w:t>
            </w:r>
          </w:p>
        </w:tc>
        <w:tc>
          <w:tcPr>
            <w:tcW w:type="dxa" w:w="2068"/>
            <w:shd w:val="clear" w:color="auto" w:fill="F2F5F9"/>
          </w:tcPr>
          <w:p>
            <w:pPr>
              <w:spacing w:after="20"/>
            </w:pPr>
            <w:r/>
            <w:r>
              <w:rPr>
                <w:sz w:val="17"/>
              </w:rPr>
              <w:t>Difference in change of log sales, with CI</w:t>
            </w:r>
          </w:p>
        </w:tc>
        <w:tc>
          <w:tcPr>
            <w:tcW w:type="dxa" w:w="2024"/>
            <w:shd w:val="clear" w:color="auto" w:fill="F2F5F9"/>
          </w:tcPr>
          <w:p>
            <w:pPr>
              <w:spacing w:after="20"/>
            </w:pPr>
            <w:r/>
            <w:r>
              <w:rPr>
                <w:sz w:val="17"/>
              </w:rPr>
              <w:t>Comparable across store sizes; % effect for communication (convert to currency using store baseline sales)</w:t>
            </w:r>
          </w:p>
        </w:tc>
        <w:tc>
          <w:tcPr>
            <w:tcW w:type="dxa" w:w="2068"/>
            <w:shd w:val="clear" w:color="auto" w:fill="F2F5F9"/>
          </w:tcPr>
          <w:p>
            <w:pPr>
              <w:spacing w:after="20"/>
            </w:pPr>
            <w:r/>
            <w:r>
              <w:rPr>
                <w:sz w:val="17"/>
              </w:rPr>
              <w:t>Relative estimand</w:t>
            </w:r>
          </w:p>
        </w:tc>
      </w:tr>
      <w:tr>
        <w:tc>
          <w:tcPr>
            <w:tcW w:type="dxa" w:w="1191"/>
          </w:tcPr>
          <w:p>
            <w:pPr>
              <w:spacing w:after="20"/>
            </w:pPr>
            <w:r/>
            <w:r>
              <w:rPr>
                <w:sz w:val="17"/>
              </w:rPr>
              <w:t>Secondary</w:t>
            </w:r>
          </w:p>
        </w:tc>
        <w:tc>
          <w:tcPr>
            <w:tcW w:type="dxa" w:w="2286"/>
          </w:tcPr>
          <w:p>
            <w:pPr>
              <w:spacing w:after="20"/>
            </w:pPr>
            <w:r/>
            <w:r>
              <w:rPr>
                <w:sz w:val="17"/>
              </w:rPr>
              <w:t>Transactions, basket value, loyalty share</w:t>
            </w:r>
          </w:p>
        </w:tc>
        <w:tc>
          <w:tcPr>
            <w:tcW w:type="dxa" w:w="2068"/>
          </w:tcPr>
          <w:p>
            <w:pPr>
              <w:spacing w:after="20"/>
            </w:pPr>
            <w:r/>
            <w:r>
              <w:rPr>
                <w:sz w:val="17"/>
              </w:rPr>
              <w:t>As named</w:t>
            </w:r>
          </w:p>
        </w:tc>
        <w:tc>
          <w:tcPr>
            <w:tcW w:type="dxa" w:w="2024"/>
          </w:tcPr>
          <w:p>
            <w:pPr>
              <w:spacing w:after="20"/>
            </w:pPr>
            <w:r/>
            <w:r>
              <w:rPr>
                <w:sz w:val="17"/>
              </w:rPr>
              <w:t>Mechanism</w:t>
            </w:r>
          </w:p>
        </w:tc>
        <w:tc>
          <w:tcPr>
            <w:tcW w:type="dxa" w:w="2068"/>
          </w:tcPr>
          <w:p>
            <w:pPr>
              <w:spacing w:after="20"/>
            </w:pPr>
            <w:r/>
            <w:r>
              <w:rPr>
                <w:sz w:val="17"/>
              </w:rPr>
              <w:t>Exploratory unless pre-registered</w:t>
            </w:r>
          </w:p>
        </w:tc>
      </w:tr>
      <w:tr>
        <w:tc>
          <w:tcPr>
            <w:tcW w:type="dxa" w:w="1191"/>
            <w:shd w:val="clear" w:color="auto" w:fill="F2F5F9"/>
          </w:tcPr>
          <w:p>
            <w:pPr>
              <w:spacing w:after="20"/>
            </w:pPr>
            <w:r/>
            <w:r>
              <w:rPr>
                <w:sz w:val="17"/>
              </w:rPr>
              <w:t>Comparator</w:t>
            </w:r>
          </w:p>
        </w:tc>
        <w:tc>
          <w:tcPr>
            <w:tcW w:type="dxa" w:w="2286"/>
            <w:shd w:val="clear" w:color="auto" w:fill="F2F5F9"/>
          </w:tcPr>
          <w:p>
            <w:pPr>
              <w:spacing w:after="20"/>
            </w:pPr>
            <w:r/>
            <w:r>
              <w:rPr>
                <w:sz w:val="17"/>
              </w:rPr>
              <w:t>Naive difference and covariate-adjusted regression</w:t>
            </w:r>
          </w:p>
        </w:tc>
        <w:tc>
          <w:tcPr>
            <w:tcW w:type="dxa" w:w="2068"/>
            <w:shd w:val="clear" w:color="auto" w:fill="F2F5F9"/>
          </w:tcPr>
          <w:p>
            <w:pPr>
              <w:spacing w:after="20"/>
            </w:pPr>
            <w:r/>
            <w:r>
              <w:rPr>
                <w:sz w:val="17"/>
              </w:rPr>
              <w:t>12 − 5 = 7 points; regression with pre-launch covariates</w:t>
            </w:r>
          </w:p>
        </w:tc>
        <w:tc>
          <w:tcPr>
            <w:tcW w:type="dxa" w:w="2024"/>
            <w:shd w:val="clear" w:color="auto" w:fill="F2F5F9"/>
          </w:tcPr>
          <w:p>
            <w:pPr>
              <w:spacing w:after="20"/>
            </w:pPr>
            <w:r/>
            <w:r>
              <w:rPr>
                <w:sz w:val="17"/>
              </w:rPr>
              <w:t>A1 must be shown next to these so the size of the selection bias is visible</w:t>
            </w:r>
          </w:p>
        </w:tc>
        <w:tc>
          <w:tcPr>
            <w:tcW w:type="dxa" w:w="2068"/>
            <w:shd w:val="clear" w:color="auto" w:fill="F2F5F9"/>
          </w:tcPr>
          <w:p>
            <w:pPr>
              <w:spacing w:after="20"/>
            </w:pPr>
            <w:r/>
            <w:r>
              <w:rPr>
                <w:sz w:val="17"/>
              </w:rPr>
              <w:t>Neither is causal</w:t>
            </w:r>
          </w:p>
        </w:tc>
      </w:tr>
      <w:tr>
        <w:tc>
          <w:tcPr>
            <w:tcW w:type="dxa" w:w="1191"/>
          </w:tcPr>
          <w:p>
            <w:pPr>
              <w:spacing w:after="20"/>
            </w:pPr>
            <w:r/>
            <w:r>
              <w:rPr>
                <w:sz w:val="17"/>
              </w:rPr>
              <w:t>Diagnostic</w:t>
            </w:r>
          </w:p>
        </w:tc>
        <w:tc>
          <w:tcPr>
            <w:tcW w:type="dxa" w:w="2286"/>
          </w:tcPr>
          <w:p>
            <w:pPr>
              <w:spacing w:after="20"/>
            </w:pPr>
            <w:r/>
            <w:r>
              <w:rPr>
                <w:sz w:val="17"/>
              </w:rPr>
              <w:t>Pre-trend (event-study) coefficients; standardized mean differences (SMD); sample-ratio mismatch (SRM)</w:t>
            </w:r>
          </w:p>
        </w:tc>
        <w:tc>
          <w:tcPr>
            <w:tcW w:type="dxa" w:w="2068"/>
          </w:tcPr>
          <w:p>
            <w:pPr>
              <w:spacing w:after="20"/>
            </w:pPr>
            <w:r/>
            <w:r>
              <w:rPr>
                <w:sz w:val="17"/>
              </w:rPr>
              <w:t>See §14</w:t>
            </w:r>
          </w:p>
        </w:tc>
        <w:tc>
          <w:tcPr>
            <w:tcW w:type="dxa" w:w="2024"/>
          </w:tcPr>
          <w:p>
            <w:pPr>
              <w:spacing w:after="20"/>
            </w:pPr>
            <w:r/>
            <w:r>
              <w:rPr>
                <w:sz w:val="17"/>
              </w:rPr>
              <w:t>Tests of design validity</w:t>
            </w:r>
          </w:p>
        </w:tc>
        <w:tc>
          <w:tcPr>
            <w:tcW w:type="dxa" w:w="2068"/>
          </w:tcPr>
          <w:p>
            <w:pPr>
              <w:spacing w:after="20"/>
            </w:pPr>
            <w:r/>
            <w:r>
              <w:rPr>
                <w:sz w:val="17"/>
              </w:rPr>
              <w:t>A failed test invalidates the causal reading, not the data. Pass thresholds are conventions to be agreed in Discovery (§11 gate)</w:t>
            </w:r>
          </w:p>
        </w:tc>
      </w:tr>
      <w:tr>
        <w:tc>
          <w:tcPr>
            <w:tcW w:type="dxa" w:w="1191"/>
            <w:shd w:val="clear" w:color="auto" w:fill="F2F5F9"/>
          </w:tcPr>
          <w:p>
            <w:pPr>
              <w:spacing w:after="20"/>
            </w:pPr>
            <w:r/>
            <w:r>
              <w:rPr>
                <w:sz w:val="17"/>
              </w:rPr>
              <w:t>Business</w:t>
            </w:r>
          </w:p>
        </w:tc>
        <w:tc>
          <w:tcPr>
            <w:tcW w:type="dxa" w:w="2286"/>
            <w:shd w:val="clear" w:color="auto" w:fill="F2F5F9"/>
          </w:tcPr>
          <w:p>
            <w:pPr>
              <w:spacing w:after="20"/>
            </w:pPr>
            <w:r/>
            <w:r>
              <w:rPr>
                <w:sz w:val="17"/>
              </w:rPr>
              <w:t>Rollout payback</w:t>
            </w:r>
          </w:p>
        </w:tc>
        <w:tc>
          <w:tcPr>
            <w:tcW w:type="dxa" w:w="2068"/>
            <w:shd w:val="clear" w:color="auto" w:fill="F2F5F9"/>
          </w:tcPr>
          <w:p>
            <w:pPr>
              <w:spacing w:after="20"/>
            </w:pPr>
            <w:r/>
            <w:r>
              <w:rPr>
                <w:sz w:val="17"/>
              </w:rPr>
              <w:t>Cost to enable all remaining stores vs lower CI bound of incremental margin</w:t>
            </w:r>
          </w:p>
        </w:tc>
        <w:tc>
          <w:tcPr>
            <w:tcW w:type="dxa" w:w="2024"/>
            <w:shd w:val="clear" w:color="auto" w:fill="F2F5F9"/>
          </w:tcPr>
          <w:p>
            <w:pPr>
              <w:spacing w:after="20"/>
            </w:pPr>
            <w:r/>
            <w:r>
              <w:rPr>
                <w:sz w:val="17"/>
              </w:rPr>
              <w:t>Go/no-go</w:t>
            </w:r>
          </w:p>
        </w:tc>
        <w:tc>
          <w:tcPr>
            <w:tcW w:type="dxa" w:w="2068"/>
            <w:shd w:val="clear" w:color="auto" w:fill="F2F5F9"/>
          </w:tcPr>
          <w:p>
            <w:pPr>
              <w:spacing w:after="20"/>
            </w:pPr>
            <w:r/>
            <w:r>
              <w:rPr>
                <w:sz w:val="17"/>
              </w:rPr>
              <w:t xml:space="preserve">Thresholds </w:t>
            </w:r>
            <w:r>
              <w:rPr>
                <w:b/>
                <w:color w:val="C0392B"/>
                <w:sz w:val="17"/>
              </w:rPr>
              <w:t>[TBD with client]</w:t>
            </w:r>
          </w:p>
        </w:tc>
      </w:tr>
    </w:tbl>
    <w:p>
      <w:pPr>
        <w:spacing w:after="40"/>
      </w:pPr>
    </w:p>
    <w:p>
      <w:r>
        <w:rPr>
          <w:b/>
        </w:rPr>
        <w:t>Decision rule (proposed, to be agreed with the CMO before analysis):</w:t>
      </w:r>
      <w:r>
        <w:rPr/>
        <w:t xml:space="preserve"> The rollout decision is driven by A2 (randomised, applies to the stores not yet treated); A1 supports statements about the 40 treated stores. If A1 and A2 disagree, A2 governs and the gap is reported as an estimate of selection bias. The primary margin already includes offer and running cost, so: roll out broadly if the 95% CI lower bound of incremental margin per store-week is above zero and above the minimum worthwhile effect from Q6 </w:t>
      </w:r>
      <w:r>
        <w:rPr>
          <w:b/>
          <w:color w:val="C0392B"/>
        </w:rPr>
        <w:t>[TBD with client]</w:t>
      </w:r>
      <w:r>
        <w:rPr/>
        <w:t xml:space="preserve">; roll out in waves with continued measurement if the CI includes both beneficial and break-even values; do not roll out if the CI's upper bound is below the minimum worthwhile effect. </w:t>
      </w:r>
      <w:r>
        <w:rPr>
          <w:b/>
        </w:rPr>
        <w:t>Fallback if A2 is not approved or fails:</w:t>
      </w:r>
      <w:r>
        <w:rPr/>
        <w:t xml:space="preserve"> the decision uses A1 only if its diagnostics pass, as a staged rollout in waves with continued measurement; otherwise it is labelled a judgement call with no causal evidence.</w:t>
      </w:r>
    </w:p>
    <w:p>
      <w:pPr>
        <w:pStyle w:val="Heading2"/>
      </w:pPr>
      <w:r>
        <w:rPr/>
        <w:t>11. Analysis Cards &amp; Reproducibility</w:t>
      </w:r>
    </w:p>
    <w:p>
      <w:r>
        <w:rPr/>
        <w:t>No hyperparameter tuning is planned. The analyses are specified as cards so they can be run and audited.</w:t>
      </w:r>
    </w:p>
    <w:tbl>
      <w:tblPr>
        <w:tblStyle w:val="TableGrid"/>
        <w:tblW w:type="auto" w:w="0"/>
        <w:jc w:val="center"/>
        <w:tblLayout w:type="fixed"/>
        <w:tblLook w:firstColumn="1" w:firstRow="1" w:lastColumn="0" w:lastRow="0" w:noHBand="0" w:noVBand="1" w:val="04A0"/>
        <w:tblLayout w:type="fixed"/>
      </w:tblPr>
      <w:tblGrid>
        <w:gridCol w:w="755"/>
        <w:gridCol w:w="1188"/>
        <w:gridCol w:w="1805"/>
        <w:gridCol w:w="1536"/>
        <w:gridCol w:w="1278"/>
        <w:gridCol w:w="801"/>
        <w:gridCol w:w="2275"/>
      </w:tblGrid>
      <w:tr>
        <w:trPr>
          <w:tblHeader w:val="true"/>
        </w:trPr>
        <w:tc>
          <w:tcPr>
            <w:tcW w:type="dxa" w:w="755"/>
            <w:shd w:val="clear" w:color="auto" w:fill="1F3A5F"/>
          </w:tcPr>
          <w:p>
            <w:r/>
            <w:r>
              <w:rPr>
                <w:b/>
                <w:color w:val="FFFFFF"/>
                <w:sz w:val="15"/>
              </w:rPr>
              <w:t>ID</w:t>
            </w:r>
          </w:p>
        </w:tc>
        <w:tc>
          <w:tcPr>
            <w:tcW w:type="dxa" w:w="1188"/>
            <w:shd w:val="clear" w:color="auto" w:fill="1F3A5F"/>
          </w:tcPr>
          <w:p>
            <w:r/>
            <w:r>
              <w:rPr>
                <w:b/>
                <w:color w:val="FFFFFF"/>
                <w:sz w:val="15"/>
              </w:rPr>
              <w:t>Hypothesis</w:t>
            </w:r>
          </w:p>
        </w:tc>
        <w:tc>
          <w:tcPr>
            <w:tcW w:type="dxa" w:w="1805"/>
            <w:shd w:val="clear" w:color="auto" w:fill="1F3A5F"/>
          </w:tcPr>
          <w:p>
            <w:r/>
            <w:r>
              <w:rPr>
                <w:b/>
                <w:color w:val="FFFFFF"/>
                <w:sz w:val="15"/>
              </w:rPr>
              <w:t>Specification</w:t>
            </w:r>
          </w:p>
        </w:tc>
        <w:tc>
          <w:tcPr>
            <w:tcW w:type="dxa" w:w="1536"/>
            <w:shd w:val="clear" w:color="auto" w:fill="1F3A5F"/>
          </w:tcPr>
          <w:p>
            <w:r/>
            <w:r>
              <w:rPr>
                <w:b/>
                <w:color w:val="FFFFFF"/>
                <w:sz w:val="15"/>
              </w:rPr>
              <w:t>Fixed conditions</w:t>
            </w:r>
          </w:p>
        </w:tc>
        <w:tc>
          <w:tcPr>
            <w:tcW w:type="dxa" w:w="1278"/>
            <w:shd w:val="clear" w:color="auto" w:fill="1F3A5F"/>
          </w:tcPr>
          <w:p>
            <w:r/>
            <w:r>
              <w:rPr>
                <w:b/>
                <w:color w:val="FFFFFF"/>
                <w:sz w:val="15"/>
              </w:rPr>
              <w:t>Window / split</w:t>
            </w:r>
          </w:p>
        </w:tc>
        <w:tc>
          <w:tcPr>
            <w:tcW w:type="dxa" w:w="801"/>
            <w:shd w:val="clear" w:color="auto" w:fill="1F3A5F"/>
          </w:tcPr>
          <w:p>
            <w:r/>
            <w:r>
              <w:rPr>
                <w:b/>
                <w:color w:val="FFFFFF"/>
                <w:sz w:val="15"/>
              </w:rPr>
              <w:t>Metrics</w:t>
            </w:r>
          </w:p>
        </w:tc>
        <w:tc>
          <w:tcPr>
            <w:tcW w:type="dxa" w:w="2275"/>
            <w:shd w:val="clear" w:color="auto" w:fill="1F3A5F"/>
          </w:tcPr>
          <w:p>
            <w:r/>
            <w:r>
              <w:rPr>
                <w:b/>
                <w:color w:val="FFFFFF"/>
                <w:sz w:val="15"/>
              </w:rPr>
              <w:t>Stopping / pass rule</w:t>
            </w:r>
          </w:p>
        </w:tc>
      </w:tr>
      <w:tr>
        <w:tc>
          <w:tcPr>
            <w:tcW w:type="dxa" w:w="755"/>
          </w:tcPr>
          <w:p>
            <w:pPr>
              <w:spacing w:after="20"/>
            </w:pPr>
            <w:r/>
            <w:r>
              <w:rPr>
                <w:sz w:val="15"/>
              </w:rPr>
              <w:t>C1 (A1)</w:t>
            </w:r>
          </w:p>
        </w:tc>
        <w:tc>
          <w:tcPr>
            <w:tcW w:type="dxa" w:w="1188"/>
          </w:tcPr>
          <w:p>
            <w:pPr>
              <w:spacing w:after="20"/>
            </w:pPr>
            <w:r/>
            <w:r>
              <w:rPr>
                <w:sz w:val="15"/>
              </w:rPr>
              <w:t>Treated stores' margin changed differently from comparison stores after launch</w:t>
            </w:r>
          </w:p>
        </w:tc>
        <w:tc>
          <w:tcPr>
            <w:tcW w:type="dxa" w:w="1805"/>
          </w:tcPr>
          <w:p>
            <w:pPr>
              <w:spacing w:after="20"/>
            </w:pPr>
            <w:r/>
            <w:r>
              <w:rPr>
                <w:sz w:val="15"/>
              </w:rPr>
              <w:t>Primary: DiD on the level-scale margin with store and week effects, store-clustered SEs</w:t>
            </w:r>
          </w:p>
        </w:tc>
        <w:tc>
          <w:tcPr>
            <w:tcW w:type="dxa" w:w="1536"/>
          </w:tcPr>
          <w:p>
            <w:pPr>
              <w:spacing w:after="20"/>
            </w:pPr>
            <w:r/>
            <w:r>
              <w:rPr>
                <w:sz w:val="15"/>
              </w:rPr>
              <w:t>Covariates, store exclusions and outcome definition frozen in the analysis plan</w:t>
            </w:r>
          </w:p>
        </w:tc>
        <w:tc>
          <w:tcPr>
            <w:tcW w:type="dxa" w:w="1278"/>
          </w:tcPr>
          <w:p>
            <w:pPr>
              <w:spacing w:after="20"/>
            </w:pPr>
            <w:r/>
            <w:r>
              <w:rPr>
                <w:sz w:val="15"/>
              </w:rPr>
              <w:t>Pre-period split into fit (earlier) and held-out (last N weeks, N agreed in Discovery); post-period effect window</w:t>
            </w:r>
          </w:p>
        </w:tc>
        <w:tc>
          <w:tcPr>
            <w:tcW w:type="dxa" w:w="801"/>
          </w:tcPr>
          <w:p>
            <w:pPr>
              <w:spacing w:after="20"/>
            </w:pPr>
            <w:r/>
            <w:r>
              <w:rPr>
                <w:sz w:val="15"/>
              </w:rPr>
              <w:t>Primary margin effect with CI; log-sales effect</w:t>
            </w:r>
          </w:p>
        </w:tc>
        <w:tc>
          <w:tcPr>
            <w:tcW w:type="dxa" w:w="2275"/>
          </w:tcPr>
          <w:p>
            <w:pPr>
              <w:spacing w:after="20"/>
            </w:pPr>
            <w:r/>
            <w:r>
              <w:rPr>
                <w:sz w:val="15"/>
              </w:rPr>
              <w:t>Diagnostics pass rule: event-study pre-launch coefficients jointly consistent with zero and held-out fit error within a tolerance agreed in Discovery. If it fails, report A1 as descriptive only</w:t>
            </w:r>
          </w:p>
        </w:tc>
      </w:tr>
      <w:tr>
        <w:tc>
          <w:tcPr>
            <w:tcW w:type="dxa" w:w="755"/>
            <w:shd w:val="clear" w:color="auto" w:fill="F2F5F9"/>
          </w:tcPr>
          <w:p>
            <w:pPr>
              <w:spacing w:after="20"/>
            </w:pPr>
            <w:r/>
            <w:r>
              <w:rPr>
                <w:sz w:val="15"/>
              </w:rPr>
              <w:t>C2 (A1)</w:t>
            </w:r>
          </w:p>
        </w:tc>
        <w:tc>
          <w:tcPr>
            <w:tcW w:type="dxa" w:w="1188"/>
            <w:shd w:val="clear" w:color="auto" w:fill="F2F5F9"/>
          </w:tcPr>
          <w:p>
            <w:pPr>
              <w:spacing w:after="20"/>
            </w:pPr>
            <w:r/>
            <w:r>
              <w:rPr>
                <w:sz w:val="15"/>
              </w:rPr>
              <w:t>Same, with better-matched comparison</w:t>
            </w:r>
          </w:p>
        </w:tc>
        <w:tc>
          <w:tcPr>
            <w:tcW w:type="dxa" w:w="1805"/>
            <w:shd w:val="clear" w:color="auto" w:fill="F2F5F9"/>
          </w:tcPr>
          <w:p>
            <w:pPr>
              <w:spacing w:after="20"/>
            </w:pPr>
            <w:r/>
            <w:r>
              <w:rPr>
                <w:sz w:val="15"/>
              </w:rPr>
              <w:t>Fallback ladder in order: synthetic control, then matched DiD, then store-specific trends, then weighting</w:t>
            </w:r>
          </w:p>
        </w:tc>
        <w:tc>
          <w:tcPr>
            <w:tcW w:type="dxa" w:w="1536"/>
            <w:shd w:val="clear" w:color="auto" w:fill="F2F5F9"/>
          </w:tcPr>
          <w:p>
            <w:pPr>
              <w:spacing w:after="20"/>
            </w:pPr>
            <w:r/>
            <w:r>
              <w:rPr>
                <w:sz w:val="15"/>
              </w:rPr>
              <w:t>Same as C1; ladder order fixed before looking at post-launch results</w:t>
            </w:r>
          </w:p>
        </w:tc>
        <w:tc>
          <w:tcPr>
            <w:tcW w:type="dxa" w:w="1278"/>
            <w:shd w:val="clear" w:color="auto" w:fill="F2F5F9"/>
          </w:tcPr>
          <w:p>
            <w:pPr>
              <w:spacing w:after="20"/>
            </w:pPr>
            <w:r/>
            <w:r>
              <w:rPr>
                <w:sz w:val="15"/>
              </w:rPr>
              <w:t>Same</w:t>
            </w:r>
          </w:p>
        </w:tc>
        <w:tc>
          <w:tcPr>
            <w:tcW w:type="dxa" w:w="801"/>
            <w:shd w:val="clear" w:color="auto" w:fill="F2F5F9"/>
          </w:tcPr>
          <w:p>
            <w:pPr>
              <w:spacing w:after="20"/>
            </w:pPr>
            <w:r/>
            <w:r>
              <w:rPr>
                <w:sz w:val="15"/>
              </w:rPr>
              <w:t>Same</w:t>
            </w:r>
          </w:p>
        </w:tc>
        <w:tc>
          <w:tcPr>
            <w:tcW w:type="dxa" w:w="2275"/>
            <w:shd w:val="clear" w:color="auto" w:fill="F2F5F9"/>
          </w:tcPr>
          <w:p>
            <w:pPr>
              <w:spacing w:after="20"/>
            </w:pPr>
            <w:r/>
            <w:r>
              <w:rPr>
                <w:sz w:val="15"/>
              </w:rPr>
              <w:t>Stop at the first rung whose diagnostics pass; report all rungs</w:t>
            </w:r>
          </w:p>
        </w:tc>
      </w:tr>
      <w:tr>
        <w:tc>
          <w:tcPr>
            <w:tcW w:type="dxa" w:w="755"/>
          </w:tcPr>
          <w:p>
            <w:pPr>
              <w:spacing w:after="20"/>
            </w:pPr>
            <w:r/>
            <w:r>
              <w:rPr>
                <w:sz w:val="15"/>
              </w:rPr>
              <w:t>C3 (A2)</w:t>
            </w:r>
          </w:p>
        </w:tc>
        <w:tc>
          <w:tcPr>
            <w:tcW w:type="dxa" w:w="1188"/>
          </w:tcPr>
          <w:p>
            <w:pPr>
              <w:spacing w:after="20"/>
            </w:pPr>
            <w:r/>
            <w:r>
              <w:rPr>
                <w:sz w:val="15"/>
              </w:rPr>
              <w:t>Enabling the feature changes margin per store-week</w:t>
            </w:r>
          </w:p>
        </w:tc>
        <w:tc>
          <w:tcPr>
            <w:tcW w:type="dxa" w:w="1805"/>
          </w:tcPr>
          <w:p>
            <w:pPr>
              <w:spacing w:after="20"/>
            </w:pPr>
            <w:r/>
            <w:r>
              <w:rPr>
                <w:sz w:val="15"/>
              </w:rPr>
              <w:t>Stepped-wedge (or parallel-arm) with stratified randomisation; store and week effects, cluster-robust inference</w:t>
            </w:r>
          </w:p>
        </w:tc>
        <w:tc>
          <w:tcPr>
            <w:tcW w:type="dxa" w:w="1536"/>
          </w:tcPr>
          <w:p>
            <w:pPr>
              <w:spacing w:after="20"/>
            </w:pPr>
            <w:r/>
            <w:r>
              <w:rPr>
                <w:sz w:val="15"/>
              </w:rPr>
              <w:t>Randomisation seed and strata recorded; primary outcome and decision rule pre-registered</w:t>
            </w:r>
          </w:p>
        </w:tc>
        <w:tc>
          <w:tcPr>
            <w:tcW w:type="dxa" w:w="1278"/>
          </w:tcPr>
          <w:p>
            <w:pPr>
              <w:spacing w:after="20"/>
            </w:pPr>
            <w:r/>
            <w:r>
              <w:rPr>
                <w:sz w:val="15"/>
              </w:rPr>
              <w:t>Pilot of 26–52 weeks planned (§14.4); interim read at 26 weeks</w:t>
            </w:r>
          </w:p>
        </w:tc>
        <w:tc>
          <w:tcPr>
            <w:tcW w:type="dxa" w:w="801"/>
          </w:tcPr>
          <w:p>
            <w:pPr>
              <w:spacing w:after="20"/>
            </w:pPr>
            <w:r/>
            <w:r>
              <w:rPr>
                <w:sz w:val="15"/>
              </w:rPr>
              <w:t>Primary margin effect with CI; guardrails</w:t>
            </w:r>
          </w:p>
        </w:tc>
        <w:tc>
          <w:tcPr>
            <w:tcW w:type="dxa" w:w="2275"/>
          </w:tcPr>
          <w:p>
            <w:pPr>
              <w:spacing w:after="20"/>
            </w:pPr>
            <w:r/>
            <w:r>
              <w:rPr>
                <w:sz w:val="15"/>
              </w:rPr>
              <w:t>Interim looks only under a group-sequential alpha-spending plan fixed at design (boundaries from the design software, not set here); stop early for guardrail breach</w:t>
            </w:r>
          </w:p>
        </w:tc>
      </w:tr>
    </w:tbl>
    <w:p>
      <w:pPr>
        <w:spacing w:after="40"/>
      </w:pPr>
    </w:p>
    <w:p>
      <w:r>
        <w:rPr>
          <w:b/>
        </w:rPr>
        <w:t>Reproducibility:</w:t>
      </w:r>
      <w:r>
        <w:rPr/>
        <w:t xml:space="preserve"> freeze a versioned data snapshot per run, keep analysis code in version control with the commit hash recorded in each report, store the pre-registered plan with a time stamp, fix random seeds, and log every specification tried.</w:t>
      </w:r>
    </w:p>
    <w:p>
      <w:r>
        <w:rPr>
          <w:b/>
        </w:rPr>
        <w:t>Protecting the plan from what is already known:</w:t>
      </w:r>
      <w:r>
        <w:rPr/>
        <w:t xml:space="preserve"> the headline growth figures (12% and 5%) have already been seen. The specification, covariates and fallback order are therefore fixed from the pre-period and design considerations only, and the weekly post-launch outcome series are not examined until the analysis plan is signed off. This limits, but does not eliminate, the risk of a specification chosen to fit the result.</w:t>
      </w:r>
    </w:p>
    <w:p>
      <w:pPr>
        <w:pStyle w:val="Heading2"/>
      </w:pPr>
      <w:r>
        <w:rPr/>
        <w:t>12. Train / Validation / Test Design (design windows)</w:t>
      </w:r>
    </w:p>
    <w:p>
      <w:r>
        <w:rPr/>
        <w:t>No predictive model is fitted, so there is no train/test split. The analogous windows are:</w:t>
      </w:r>
    </w:p>
    <w:p>
      <w:pPr>
        <w:pStyle w:val="ListBullet"/>
        <w:spacing w:after="40"/>
        <w:ind w:left="357" w:hanging="357"/>
      </w:pPr>
      <w:r>
        <w:rPr>
          <w:b/>
        </w:rPr>
        <w:t>Pre-period:</w:t>
      </w:r>
      <w:r>
        <w:rPr/>
        <w:t xml:space="preserve"> from 24 months before launch up to the launch date; the earlier part is used for parallel-trends testing and for fitting synthetic-control weights, and the last N weeks (N agreed in Discovery) are held out to check that the fitted comparison tracks the treated stores out of sample. Do not use post-launch data to choose donors, controls or specifications.</w:t>
      </w:r>
    </w:p>
    <w:p>
      <w:pPr>
        <w:pStyle w:val="ListBullet"/>
        <w:spacing w:after="40"/>
        <w:ind w:left="357" w:hanging="357"/>
      </w:pPr>
      <w:r>
        <w:rPr>
          <w:b/>
        </w:rPr>
        <w:t>Post-period:</w:t>
      </w:r>
      <w:r>
        <w:rPr/>
        <w:t xml:space="preserve"> launch date to data cut-off; the effect window. Report effect by month (event study) to separate novelty from steady state.</w:t>
      </w:r>
    </w:p>
    <w:p>
      <w:pPr>
        <w:pStyle w:val="ListBullet"/>
        <w:spacing w:after="40"/>
        <w:ind w:left="357" w:hanging="357"/>
      </w:pPr>
      <w:r>
        <w:rPr>
          <w:b/>
        </w:rPr>
        <w:t>Placebo windows:</w:t>
      </w:r>
      <w:r>
        <w:rPr/>
        <w:t xml:space="preserve"> fake launch dates inside the pre-period to show the method returns about zero when nothing happened.</w:t>
      </w:r>
    </w:p>
    <w:p>
      <w:pPr>
        <w:pStyle w:val="ListBullet"/>
        <w:spacing w:after="40"/>
        <w:ind w:left="357" w:hanging="357"/>
      </w:pPr>
      <w:r>
        <w:rPr>
          <w:b/>
        </w:rPr>
        <w:t>Pilot (A2):</w:t>
      </w:r>
      <w:r>
        <w:rPr/>
        <w:t xml:space="preserve"> a pre-registered analysis plan, frozen before randomisation.</w:t>
      </w:r>
    </w:p>
    <w:p>
      <w:pPr>
        <w:pStyle w:val="Heading2"/>
      </w:pPr>
      <w:r>
        <w:rPr/>
        <w:t>13. Bias &amp; Contamination Audit</w:t>
      </w:r>
    </w:p>
    <w:tbl>
      <w:tblPr>
        <w:tblStyle w:val="TableGrid"/>
        <w:tblW w:type="auto" w:w="0"/>
        <w:jc w:val="center"/>
        <w:tblLayout w:type="fixed"/>
        <w:tblLook w:firstColumn="1" w:firstRow="1" w:lastColumn="0" w:lastRow="0" w:noHBand="0" w:noVBand="1" w:val="04A0"/>
        <w:tblLayout w:type="fixed"/>
      </w:tblPr>
      <w:tblGrid>
        <w:gridCol w:w="1781"/>
        <w:gridCol w:w="1399"/>
        <w:gridCol w:w="2580"/>
        <w:gridCol w:w="2734"/>
        <w:gridCol w:w="1145"/>
      </w:tblGrid>
      <w:tr>
        <w:trPr>
          <w:tblHeader w:val="true"/>
        </w:trPr>
        <w:tc>
          <w:tcPr>
            <w:tcW w:type="dxa" w:w="1781"/>
            <w:shd w:val="clear" w:color="auto" w:fill="1F3A5F"/>
          </w:tcPr>
          <w:p>
            <w:r/>
            <w:r>
              <w:rPr>
                <w:b/>
                <w:color w:val="FFFFFF"/>
                <w:sz w:val="17"/>
              </w:rPr>
              <w:t>Risk</w:t>
            </w:r>
          </w:p>
        </w:tc>
        <w:tc>
          <w:tcPr>
            <w:tcW w:type="dxa" w:w="1399"/>
            <w:shd w:val="clear" w:color="auto" w:fill="1F3A5F"/>
          </w:tcPr>
          <w:p>
            <w:r/>
            <w:r>
              <w:rPr>
                <w:b/>
                <w:color w:val="FFFFFF"/>
                <w:sz w:val="17"/>
              </w:rPr>
              <w:t>Applies?</w:t>
            </w:r>
          </w:p>
        </w:tc>
        <w:tc>
          <w:tcPr>
            <w:tcW w:type="dxa" w:w="2580"/>
            <w:shd w:val="clear" w:color="auto" w:fill="1F3A5F"/>
          </w:tcPr>
          <w:p>
            <w:r/>
            <w:r>
              <w:rPr>
                <w:b/>
                <w:color w:val="FFFFFF"/>
                <w:sz w:val="17"/>
              </w:rPr>
              <w:t>Where it could occur</w:t>
            </w:r>
          </w:p>
        </w:tc>
        <w:tc>
          <w:tcPr>
            <w:tcW w:type="dxa" w:w="2734"/>
            <w:shd w:val="clear" w:color="auto" w:fill="1F3A5F"/>
          </w:tcPr>
          <w:p>
            <w:r/>
            <w:r>
              <w:rPr>
                <w:b/>
                <w:color w:val="FFFFFF"/>
                <w:sz w:val="17"/>
              </w:rPr>
              <w:t>Mitigation</w:t>
            </w:r>
          </w:p>
        </w:tc>
        <w:tc>
          <w:tcPr>
            <w:tcW w:type="dxa" w:w="1145"/>
            <w:shd w:val="clear" w:color="auto" w:fill="1F3A5F"/>
          </w:tcPr>
          <w:p>
            <w:r/>
            <w:r>
              <w:rPr>
                <w:b/>
                <w:color w:val="FFFFFF"/>
                <w:sz w:val="17"/>
              </w:rPr>
              <w:t>Owner</w:t>
            </w:r>
          </w:p>
        </w:tc>
      </w:tr>
      <w:tr>
        <w:tc>
          <w:tcPr>
            <w:tcW w:type="dxa" w:w="1781"/>
          </w:tcPr>
          <w:p>
            <w:pPr>
              <w:spacing w:after="20"/>
            </w:pPr>
            <w:r/>
            <w:r>
              <w:rPr>
                <w:sz w:val="17"/>
              </w:rPr>
              <w:t>Selection bias (non-random store choice)</w:t>
            </w:r>
          </w:p>
        </w:tc>
        <w:tc>
          <w:tcPr>
            <w:tcW w:type="dxa" w:w="1399"/>
          </w:tcPr>
          <w:p>
            <w:pPr>
              <w:spacing w:after="20"/>
            </w:pPr>
            <w:r/>
            <w:r>
              <w:rPr>
                <w:b/>
                <w:sz w:val="17"/>
              </w:rPr>
              <w:t>Yes, high</w:t>
            </w:r>
          </w:p>
        </w:tc>
        <w:tc>
          <w:tcPr>
            <w:tcW w:type="dxa" w:w="2580"/>
          </w:tcPr>
          <w:p>
            <w:pPr>
              <w:spacing w:after="20"/>
            </w:pPr>
            <w:r/>
            <w:r>
              <w:rPr>
                <w:sz w:val="17"/>
              </w:rPr>
              <w:t>Regional managers picked mostly large metro stores; may also have picked stores already improving</w:t>
            </w:r>
          </w:p>
        </w:tc>
        <w:tc>
          <w:tcPr>
            <w:tcW w:type="dxa" w:w="2734"/>
          </w:tcPr>
          <w:p>
            <w:pPr>
              <w:spacing w:after="20"/>
            </w:pPr>
            <w:r/>
            <w:r>
              <w:rPr>
                <w:sz w:val="17"/>
              </w:rPr>
              <w:t>Pre-trend tests, matching/synthetic control, randomised A2</w:t>
            </w:r>
          </w:p>
        </w:tc>
        <w:tc>
          <w:tcPr>
            <w:tcW w:type="dxa" w:w="1145"/>
          </w:tcPr>
          <w:p>
            <w:pPr>
              <w:spacing w:after="20"/>
            </w:pPr>
            <w:r/>
            <w:r>
              <w:rPr>
                <w:sz w:val="17"/>
              </w:rPr>
              <w:t>DS</w:t>
            </w:r>
          </w:p>
        </w:tc>
      </w:tr>
      <w:tr>
        <w:tc>
          <w:tcPr>
            <w:tcW w:type="dxa" w:w="1781"/>
            <w:shd w:val="clear" w:color="auto" w:fill="F2F5F9"/>
          </w:tcPr>
          <w:p>
            <w:pPr>
              <w:spacing w:after="20"/>
            </w:pPr>
            <w:r/>
            <w:r>
              <w:rPr>
                <w:sz w:val="17"/>
              </w:rPr>
              <w:t>Confounding by co-occurring initiatives</w:t>
            </w:r>
          </w:p>
        </w:tc>
        <w:tc>
          <w:tcPr>
            <w:tcW w:type="dxa" w:w="1399"/>
            <w:shd w:val="clear" w:color="auto" w:fill="F2F5F9"/>
          </w:tcPr>
          <w:p>
            <w:pPr>
              <w:spacing w:after="20"/>
            </w:pPr>
            <w:r/>
            <w:r>
              <w:rPr>
                <w:sz w:val="17"/>
              </w:rPr>
              <w:t>Likely</w:t>
            </w:r>
          </w:p>
        </w:tc>
        <w:tc>
          <w:tcPr>
            <w:tcW w:type="dxa" w:w="2580"/>
            <w:shd w:val="clear" w:color="auto" w:fill="F2F5F9"/>
          </w:tcPr>
          <w:p>
            <w:pPr>
              <w:spacing w:after="20"/>
            </w:pPr>
            <w:r/>
            <w:r>
              <w:rPr>
                <w:sz w:val="17"/>
              </w:rPr>
              <w:t>Regional campaigns, refits, price moves</w:t>
            </w:r>
          </w:p>
        </w:tc>
        <w:tc>
          <w:tcPr>
            <w:tcW w:type="dxa" w:w="2734"/>
            <w:shd w:val="clear" w:color="auto" w:fill="F2F5F9"/>
          </w:tcPr>
          <w:p>
            <w:pPr>
              <w:spacing w:after="20"/>
            </w:pPr>
            <w:r/>
            <w:r>
              <w:rPr>
                <w:sz w:val="17"/>
              </w:rPr>
              <w:t>Initiative calendar (Q3); exclude affected stores; sensitivity</w:t>
            </w:r>
          </w:p>
        </w:tc>
        <w:tc>
          <w:tcPr>
            <w:tcW w:type="dxa" w:w="1145"/>
            <w:shd w:val="clear" w:color="auto" w:fill="F2F5F9"/>
          </w:tcPr>
          <w:p>
            <w:pPr>
              <w:spacing w:after="20"/>
            </w:pPr>
            <w:r/>
            <w:r>
              <w:rPr>
                <w:sz w:val="17"/>
              </w:rPr>
              <w:t>Marketing / DS</w:t>
            </w:r>
          </w:p>
        </w:tc>
      </w:tr>
      <w:tr>
        <w:tc>
          <w:tcPr>
            <w:tcW w:type="dxa" w:w="1781"/>
          </w:tcPr>
          <w:p>
            <w:pPr>
              <w:spacing w:after="20"/>
            </w:pPr>
            <w:r/>
            <w:r>
              <w:rPr>
                <w:sz w:val="17"/>
              </w:rPr>
              <w:t>Regression to the mean</w:t>
            </w:r>
          </w:p>
        </w:tc>
        <w:tc>
          <w:tcPr>
            <w:tcW w:type="dxa" w:w="1399"/>
          </w:tcPr>
          <w:p>
            <w:pPr>
              <w:spacing w:after="20"/>
            </w:pPr>
            <w:r/>
            <w:r>
              <w:rPr>
                <w:sz w:val="17"/>
              </w:rPr>
              <w:t>Possible</w:t>
            </w:r>
          </w:p>
        </w:tc>
        <w:tc>
          <w:tcPr>
            <w:tcW w:type="dxa" w:w="2580"/>
          </w:tcPr>
          <w:p>
            <w:pPr>
              <w:spacing w:after="20"/>
            </w:pPr>
            <w:r/>
            <w:r>
              <w:rPr>
                <w:sz w:val="17"/>
              </w:rPr>
              <w:t>If stores were chosen after a weak/strong period</w:t>
            </w:r>
          </w:p>
        </w:tc>
        <w:tc>
          <w:tcPr>
            <w:tcW w:type="dxa" w:w="2734"/>
          </w:tcPr>
          <w:p>
            <w:pPr>
              <w:spacing w:after="20"/>
            </w:pPr>
            <w:r/>
            <w:r>
              <w:rPr>
                <w:sz w:val="17"/>
              </w:rPr>
              <w:t>Use long pre-period; check selection timing</w:t>
            </w:r>
          </w:p>
        </w:tc>
        <w:tc>
          <w:tcPr>
            <w:tcW w:type="dxa" w:w="1145"/>
          </w:tcPr>
          <w:p>
            <w:pPr>
              <w:spacing w:after="20"/>
            </w:pPr>
            <w:r/>
            <w:r>
              <w:rPr>
                <w:sz w:val="17"/>
              </w:rPr>
              <w:t>DS</w:t>
            </w:r>
          </w:p>
        </w:tc>
      </w:tr>
      <w:tr>
        <w:tc>
          <w:tcPr>
            <w:tcW w:type="dxa" w:w="1781"/>
            <w:shd w:val="clear" w:color="auto" w:fill="F2F5F9"/>
          </w:tcPr>
          <w:p>
            <w:pPr>
              <w:spacing w:after="20"/>
            </w:pPr>
            <w:r/>
            <w:r>
              <w:rPr>
                <w:sz w:val="17"/>
              </w:rPr>
              <w:t>Different growth drivers in metro vs non-metro</w:t>
            </w:r>
          </w:p>
        </w:tc>
        <w:tc>
          <w:tcPr>
            <w:tcW w:type="dxa" w:w="1399"/>
            <w:shd w:val="clear" w:color="auto" w:fill="F2F5F9"/>
          </w:tcPr>
          <w:p>
            <w:pPr>
              <w:spacing w:after="20"/>
            </w:pPr>
            <w:r/>
            <w:r>
              <w:rPr>
                <w:sz w:val="17"/>
              </w:rPr>
              <w:t>Likely</w:t>
            </w:r>
          </w:p>
        </w:tc>
        <w:tc>
          <w:tcPr>
            <w:tcW w:type="dxa" w:w="2580"/>
            <w:shd w:val="clear" w:color="auto" w:fill="F2F5F9"/>
          </w:tcPr>
          <w:p>
            <w:pPr>
              <w:spacing w:after="20"/>
            </w:pPr>
            <w:r/>
            <w:r>
              <w:rPr>
                <w:sz w:val="17"/>
              </w:rPr>
              <w:t>Metro recovery, footfall, tourism</w:t>
            </w:r>
          </w:p>
        </w:tc>
        <w:tc>
          <w:tcPr>
            <w:tcW w:type="dxa" w:w="2734"/>
            <w:shd w:val="clear" w:color="auto" w:fill="F2F5F9"/>
          </w:tcPr>
          <w:p>
            <w:pPr>
              <w:spacing w:after="20"/>
            </w:pPr>
            <w:r/>
            <w:r>
              <w:rPr>
                <w:sz w:val="17"/>
              </w:rPr>
              <w:t>Compare within metro / size strata; include store-specific trends</w:t>
            </w:r>
          </w:p>
        </w:tc>
        <w:tc>
          <w:tcPr>
            <w:tcW w:type="dxa" w:w="1145"/>
            <w:shd w:val="clear" w:color="auto" w:fill="F2F5F9"/>
          </w:tcPr>
          <w:p>
            <w:pPr>
              <w:spacing w:after="20"/>
            </w:pPr>
            <w:r/>
            <w:r>
              <w:rPr>
                <w:sz w:val="17"/>
              </w:rPr>
              <w:t>DS</w:t>
            </w:r>
          </w:p>
        </w:tc>
      </w:tr>
      <w:tr>
        <w:tc>
          <w:tcPr>
            <w:tcW w:type="dxa" w:w="1781"/>
          </w:tcPr>
          <w:p>
            <w:pPr>
              <w:spacing w:after="20"/>
            </w:pPr>
            <w:r/>
            <w:r>
              <w:rPr>
                <w:sz w:val="17"/>
              </w:rPr>
              <w:t>Spillover (SUTVA violation)</w:t>
            </w:r>
          </w:p>
        </w:tc>
        <w:tc>
          <w:tcPr>
            <w:tcW w:type="dxa" w:w="1399"/>
          </w:tcPr>
          <w:p>
            <w:pPr>
              <w:spacing w:after="20"/>
            </w:pPr>
            <w:r/>
            <w:r>
              <w:rPr>
                <w:sz w:val="17"/>
              </w:rPr>
              <w:t>Possible</w:t>
            </w:r>
          </w:p>
        </w:tc>
        <w:tc>
          <w:tcPr>
            <w:tcW w:type="dxa" w:w="2580"/>
          </w:tcPr>
          <w:p>
            <w:pPr>
              <w:spacing w:after="20"/>
            </w:pPr>
            <w:r/>
            <w:r>
              <w:rPr>
                <w:sz w:val="17"/>
              </w:rPr>
              <w:t>Customers using both treated and untreated stores; app users switching stores</w:t>
            </w:r>
          </w:p>
        </w:tc>
        <w:tc>
          <w:tcPr>
            <w:tcW w:type="dxa" w:w="2734"/>
          </w:tcPr>
          <w:p>
            <w:pPr>
              <w:spacing w:after="20"/>
            </w:pPr>
            <w:r/>
            <w:r>
              <w:rPr>
                <w:sz w:val="17"/>
              </w:rPr>
              <w:t>Distance-based exclusion buffers; guardrail on neighbouring stores</w:t>
            </w:r>
          </w:p>
        </w:tc>
        <w:tc>
          <w:tcPr>
            <w:tcW w:type="dxa" w:w="1145"/>
          </w:tcPr>
          <w:p>
            <w:pPr>
              <w:spacing w:after="20"/>
            </w:pPr>
            <w:r/>
            <w:r>
              <w:rPr>
                <w:sz w:val="17"/>
              </w:rPr>
              <w:t>DS</w:t>
            </w:r>
          </w:p>
        </w:tc>
      </w:tr>
      <w:tr>
        <w:tc>
          <w:tcPr>
            <w:tcW w:type="dxa" w:w="1781"/>
            <w:shd w:val="clear" w:color="auto" w:fill="F2F5F9"/>
          </w:tcPr>
          <w:p>
            <w:pPr>
              <w:spacing w:after="20"/>
            </w:pPr>
            <w:r/>
            <w:r>
              <w:rPr>
                <w:sz w:val="17"/>
              </w:rPr>
              <w:t>Contamination of controls</w:t>
            </w:r>
          </w:p>
        </w:tc>
        <w:tc>
          <w:tcPr>
            <w:tcW w:type="dxa" w:w="1399"/>
            <w:shd w:val="clear" w:color="auto" w:fill="F2F5F9"/>
          </w:tcPr>
          <w:p>
            <w:pPr>
              <w:spacing w:after="20"/>
            </w:pPr>
            <w:r/>
            <w:r>
              <w:rPr>
                <w:sz w:val="17"/>
              </w:rPr>
              <w:t>Possible</w:t>
            </w:r>
          </w:p>
        </w:tc>
        <w:tc>
          <w:tcPr>
            <w:tcW w:type="dxa" w:w="2580"/>
            <w:shd w:val="clear" w:color="auto" w:fill="F2F5F9"/>
          </w:tcPr>
          <w:p>
            <w:pPr>
              <w:spacing w:after="20"/>
            </w:pPr>
            <w:r/>
            <w:r>
              <w:rPr>
                <w:sz w:val="17"/>
              </w:rPr>
              <w:t>App features available to all users regardless of store</w:t>
            </w:r>
          </w:p>
        </w:tc>
        <w:tc>
          <w:tcPr>
            <w:tcW w:type="dxa" w:w="2734"/>
            <w:shd w:val="clear" w:color="auto" w:fill="F2F5F9"/>
          </w:tcPr>
          <w:p>
            <w:pPr>
              <w:spacing w:after="20"/>
            </w:pPr>
            <w:r/>
            <w:r>
              <w:rPr>
                <w:sz w:val="17"/>
              </w:rPr>
              <w:t>Verify with Loyalty product (AS5)</w:t>
            </w:r>
          </w:p>
        </w:tc>
        <w:tc>
          <w:tcPr>
            <w:tcW w:type="dxa" w:w="1145"/>
            <w:shd w:val="clear" w:color="auto" w:fill="F2F5F9"/>
          </w:tcPr>
          <w:p>
            <w:pPr>
              <w:spacing w:after="20"/>
            </w:pPr>
            <w:r/>
            <w:r>
              <w:rPr>
                <w:sz w:val="17"/>
              </w:rPr>
              <w:t>Loyalty product</w:t>
            </w:r>
          </w:p>
        </w:tc>
      </w:tr>
      <w:tr>
        <w:tc>
          <w:tcPr>
            <w:tcW w:type="dxa" w:w="1781"/>
          </w:tcPr>
          <w:p>
            <w:pPr>
              <w:spacing w:after="20"/>
            </w:pPr>
            <w:r/>
            <w:r>
              <w:rPr>
                <w:sz w:val="17"/>
              </w:rPr>
              <w:t>Post-treatment control variables</w:t>
            </w:r>
          </w:p>
        </w:tc>
        <w:tc>
          <w:tcPr>
            <w:tcW w:type="dxa" w:w="1399"/>
          </w:tcPr>
          <w:p>
            <w:pPr>
              <w:spacing w:after="20"/>
            </w:pPr>
            <w:r/>
            <w:r>
              <w:rPr>
                <w:sz w:val="17"/>
              </w:rPr>
              <w:t>Avoid</w:t>
            </w:r>
          </w:p>
        </w:tc>
        <w:tc>
          <w:tcPr>
            <w:tcW w:type="dxa" w:w="2580"/>
          </w:tcPr>
          <w:p>
            <w:pPr>
              <w:spacing w:after="20"/>
            </w:pPr>
            <w:r/>
            <w:r>
              <w:rPr>
                <w:sz w:val="17"/>
              </w:rPr>
              <w:t>Using post-launch traffic or app use as a control</w:t>
            </w:r>
          </w:p>
        </w:tc>
        <w:tc>
          <w:tcPr>
            <w:tcW w:type="dxa" w:w="2734"/>
          </w:tcPr>
          <w:p>
            <w:pPr>
              <w:spacing w:after="20"/>
            </w:pPr>
            <w:r/>
            <w:r>
              <w:rPr>
                <w:sz w:val="17"/>
              </w:rPr>
              <w:t>Controls limited to pre-launch values</w:t>
            </w:r>
          </w:p>
        </w:tc>
        <w:tc>
          <w:tcPr>
            <w:tcW w:type="dxa" w:w="1145"/>
          </w:tcPr>
          <w:p>
            <w:pPr>
              <w:spacing w:after="20"/>
            </w:pPr>
            <w:r/>
            <w:r>
              <w:rPr>
                <w:sz w:val="17"/>
              </w:rPr>
              <w:t>DS</w:t>
            </w:r>
          </w:p>
        </w:tc>
      </w:tr>
      <w:tr>
        <w:tc>
          <w:tcPr>
            <w:tcW w:type="dxa" w:w="1781"/>
            <w:shd w:val="clear" w:color="auto" w:fill="F2F5F9"/>
          </w:tcPr>
          <w:p>
            <w:pPr>
              <w:spacing w:after="20"/>
            </w:pPr>
            <w:r/>
            <w:r>
              <w:rPr>
                <w:sz w:val="17"/>
              </w:rPr>
              <w:t>Novelty effect</w:t>
            </w:r>
          </w:p>
        </w:tc>
        <w:tc>
          <w:tcPr>
            <w:tcW w:type="dxa" w:w="1399"/>
            <w:shd w:val="clear" w:color="auto" w:fill="F2F5F9"/>
          </w:tcPr>
          <w:p>
            <w:pPr>
              <w:spacing w:after="20"/>
            </w:pPr>
            <w:r/>
            <w:r>
              <w:rPr>
                <w:sz w:val="17"/>
              </w:rPr>
              <w:t>Possible</w:t>
            </w:r>
          </w:p>
        </w:tc>
        <w:tc>
          <w:tcPr>
            <w:tcW w:type="dxa" w:w="2580"/>
            <w:shd w:val="clear" w:color="auto" w:fill="F2F5F9"/>
          </w:tcPr>
          <w:p>
            <w:pPr>
              <w:spacing w:after="20"/>
            </w:pPr>
            <w:r/>
            <w:r>
              <w:rPr>
                <w:sz w:val="17"/>
              </w:rPr>
              <w:t>Six-month window</w:t>
            </w:r>
          </w:p>
        </w:tc>
        <w:tc>
          <w:tcPr>
            <w:tcW w:type="dxa" w:w="2734"/>
            <w:shd w:val="clear" w:color="auto" w:fill="F2F5F9"/>
          </w:tcPr>
          <w:p>
            <w:pPr>
              <w:spacing w:after="20"/>
            </w:pPr>
            <w:r/>
            <w:r>
              <w:rPr>
                <w:sz w:val="17"/>
              </w:rPr>
              <w:t>Event-study by month; extend the pilot</w:t>
            </w:r>
          </w:p>
        </w:tc>
        <w:tc>
          <w:tcPr>
            <w:tcW w:type="dxa" w:w="1145"/>
            <w:shd w:val="clear" w:color="auto" w:fill="F2F5F9"/>
          </w:tcPr>
          <w:p>
            <w:pPr>
              <w:spacing w:after="20"/>
            </w:pPr>
            <w:r/>
            <w:r>
              <w:rPr>
                <w:sz w:val="17"/>
              </w:rPr>
              <w:t>DS</w:t>
            </w:r>
          </w:p>
        </w:tc>
      </w:tr>
      <w:tr>
        <w:tc>
          <w:tcPr>
            <w:tcW w:type="dxa" w:w="1781"/>
          </w:tcPr>
          <w:p>
            <w:pPr>
              <w:spacing w:after="20"/>
            </w:pPr>
            <w:r/>
            <w:r>
              <w:rPr>
                <w:sz w:val="17"/>
              </w:rPr>
              <w:t>Anticipation</w:t>
            </w:r>
          </w:p>
        </w:tc>
        <w:tc>
          <w:tcPr>
            <w:tcW w:type="dxa" w:w="1399"/>
          </w:tcPr>
          <w:p>
            <w:pPr>
              <w:spacing w:after="20"/>
            </w:pPr>
            <w:r/>
            <w:r>
              <w:rPr>
                <w:sz w:val="17"/>
              </w:rPr>
              <w:t>Possible</w:t>
            </w:r>
          </w:p>
        </w:tc>
        <w:tc>
          <w:tcPr>
            <w:tcW w:type="dxa" w:w="2580"/>
          </w:tcPr>
          <w:p>
            <w:pPr>
              <w:spacing w:after="20"/>
            </w:pPr>
            <w:r/>
            <w:r>
              <w:rPr>
                <w:sz w:val="17"/>
              </w:rPr>
              <w:t>Stores prepared, staff briefed or customers messaged before the official launch date</w:t>
            </w:r>
          </w:p>
        </w:tc>
        <w:tc>
          <w:tcPr>
            <w:tcW w:type="dxa" w:w="2734"/>
          </w:tcPr>
          <w:p>
            <w:pPr>
              <w:spacing w:after="20"/>
            </w:pPr>
            <w:r/>
            <w:r>
              <w:rPr>
                <w:sz w:val="17"/>
              </w:rPr>
              <w:t>Get the first-activity date per store; drop or model the ramp-up weeks</w:t>
            </w:r>
          </w:p>
        </w:tc>
        <w:tc>
          <w:tcPr>
            <w:tcW w:type="dxa" w:w="1145"/>
          </w:tcPr>
          <w:p>
            <w:pPr>
              <w:spacing w:after="20"/>
            </w:pPr>
            <w:r/>
            <w:r>
              <w:rPr>
                <w:sz w:val="17"/>
              </w:rPr>
              <w:t>Loyalty product</w:t>
            </w:r>
          </w:p>
        </w:tc>
      </w:tr>
      <w:tr>
        <w:tc>
          <w:tcPr>
            <w:tcW w:type="dxa" w:w="1781"/>
            <w:shd w:val="clear" w:color="auto" w:fill="F2F5F9"/>
          </w:tcPr>
          <w:p>
            <w:pPr>
              <w:spacing w:after="20"/>
            </w:pPr>
            <w:r/>
            <w:r>
              <w:rPr>
                <w:sz w:val="17"/>
              </w:rPr>
              <w:t>A2 pilot contaminating A1 controls</w:t>
            </w:r>
          </w:p>
        </w:tc>
        <w:tc>
          <w:tcPr>
            <w:tcW w:type="dxa" w:w="1399"/>
            <w:shd w:val="clear" w:color="auto" w:fill="F2F5F9"/>
          </w:tcPr>
          <w:p>
            <w:pPr>
              <w:spacing w:after="20"/>
            </w:pPr>
            <w:r/>
            <w:r>
              <w:rPr>
                <w:sz w:val="17"/>
              </w:rPr>
              <w:t>Yes if overlapping</w:t>
            </w:r>
          </w:p>
        </w:tc>
        <w:tc>
          <w:tcPr>
            <w:tcW w:type="dxa" w:w="2580"/>
            <w:shd w:val="clear" w:color="auto" w:fill="F2F5F9"/>
          </w:tcPr>
          <w:p>
            <w:pPr>
              <w:spacing w:after="20"/>
            </w:pPr>
            <w:r/>
            <w:r>
              <w:rPr>
                <w:sz w:val="17"/>
              </w:rPr>
              <w:t>Both use the 180 untreated stores</w:t>
            </w:r>
          </w:p>
        </w:tc>
        <w:tc>
          <w:tcPr>
            <w:tcW w:type="dxa" w:w="2734"/>
            <w:shd w:val="clear" w:color="auto" w:fill="F2F5F9"/>
          </w:tcPr>
          <w:p>
            <w:pPr>
              <w:spacing w:after="20"/>
            </w:pPr>
            <w:r/>
            <w:r>
              <w:rPr>
                <w:sz w:val="17"/>
              </w:rPr>
              <w:t>Complete A1 or freeze its control set before pilot randomisation; document which stores are in which role</w:t>
            </w:r>
          </w:p>
        </w:tc>
        <w:tc>
          <w:tcPr>
            <w:tcW w:type="dxa" w:w="1145"/>
            <w:shd w:val="clear" w:color="auto" w:fill="F2F5F9"/>
          </w:tcPr>
          <w:p>
            <w:pPr>
              <w:spacing w:after="20"/>
            </w:pPr>
            <w:r/>
            <w:r>
              <w:rPr>
                <w:sz w:val="17"/>
              </w:rPr>
              <w:t>DS</w:t>
            </w:r>
          </w:p>
        </w:tc>
      </w:tr>
      <w:tr>
        <w:tc>
          <w:tcPr>
            <w:tcW w:type="dxa" w:w="1781"/>
          </w:tcPr>
          <w:p>
            <w:pPr>
              <w:spacing w:after="20"/>
            </w:pPr>
            <w:r/>
            <w:r>
              <w:rPr>
                <w:sz w:val="17"/>
              </w:rPr>
              <w:t>Researcher degrees of freedom</w:t>
            </w:r>
          </w:p>
        </w:tc>
        <w:tc>
          <w:tcPr>
            <w:tcW w:type="dxa" w:w="1399"/>
          </w:tcPr>
          <w:p>
            <w:pPr>
              <w:spacing w:after="20"/>
            </w:pPr>
            <w:r/>
            <w:r>
              <w:rPr>
                <w:sz w:val="17"/>
              </w:rPr>
              <w:t>Yes</w:t>
            </w:r>
          </w:p>
        </w:tc>
        <w:tc>
          <w:tcPr>
            <w:tcW w:type="dxa" w:w="2580"/>
          </w:tcPr>
          <w:p>
            <w:pPr>
              <w:spacing w:after="20"/>
            </w:pPr>
            <w:r/>
            <w:r>
              <w:rPr>
                <w:sz w:val="17"/>
              </w:rPr>
              <w:t>Many specifications</w:t>
            </w:r>
          </w:p>
        </w:tc>
        <w:tc>
          <w:tcPr>
            <w:tcW w:type="dxa" w:w="2734"/>
          </w:tcPr>
          <w:p>
            <w:pPr>
              <w:spacing w:after="20"/>
            </w:pPr>
            <w:r/>
            <w:r>
              <w:rPr>
                <w:sz w:val="17"/>
              </w:rPr>
              <w:t>Pre-register the primary specification; report all</w:t>
            </w:r>
          </w:p>
        </w:tc>
        <w:tc>
          <w:tcPr>
            <w:tcW w:type="dxa" w:w="1145"/>
          </w:tcPr>
          <w:p>
            <w:pPr>
              <w:spacing w:after="20"/>
            </w:pPr>
            <w:r/>
            <w:r>
              <w:rPr>
                <w:sz w:val="17"/>
              </w:rPr>
              <w:t>DS lead</w:t>
            </w:r>
          </w:p>
        </w:tc>
      </w:tr>
      <w:tr>
        <w:tc>
          <w:tcPr>
            <w:tcW w:type="dxa" w:w="1781"/>
            <w:shd w:val="clear" w:color="auto" w:fill="F2F5F9"/>
          </w:tcPr>
          <w:p>
            <w:pPr>
              <w:spacing w:after="20"/>
            </w:pPr>
            <w:r/>
            <w:r>
              <w:rPr>
                <w:sz w:val="17"/>
              </w:rPr>
              <w:t>Calendar and YoY artefacts</w:t>
            </w:r>
          </w:p>
        </w:tc>
        <w:tc>
          <w:tcPr>
            <w:tcW w:type="dxa" w:w="1399"/>
            <w:shd w:val="clear" w:color="auto" w:fill="F2F5F9"/>
          </w:tcPr>
          <w:p>
            <w:pPr>
              <w:spacing w:after="20"/>
            </w:pPr>
            <w:r/>
            <w:r>
              <w:rPr>
                <w:sz w:val="17"/>
              </w:rPr>
              <w:t>Yes</w:t>
            </w:r>
          </w:p>
        </w:tc>
        <w:tc>
          <w:tcPr>
            <w:tcW w:type="dxa" w:w="2580"/>
            <w:shd w:val="clear" w:color="auto" w:fill="F2F5F9"/>
          </w:tcPr>
          <w:p>
            <w:pPr>
              <w:spacing w:after="20"/>
            </w:pPr>
            <w:r/>
            <w:r>
              <w:rPr>
                <w:sz w:val="17"/>
              </w:rPr>
              <w:t>Base-year anomalies (e.g., festival timing, base-year disruption)</w:t>
            </w:r>
          </w:p>
        </w:tc>
        <w:tc>
          <w:tcPr>
            <w:tcW w:type="dxa" w:w="2734"/>
            <w:shd w:val="clear" w:color="auto" w:fill="F2F5F9"/>
          </w:tcPr>
          <w:p>
            <w:pPr>
              <w:spacing w:after="20"/>
            </w:pPr>
            <w:r/>
            <w:r>
              <w:rPr>
                <w:sz w:val="17"/>
              </w:rPr>
              <w:t>Use week-matched panel; compare against 2 prior years</w:t>
            </w:r>
          </w:p>
        </w:tc>
        <w:tc>
          <w:tcPr>
            <w:tcW w:type="dxa" w:w="1145"/>
            <w:shd w:val="clear" w:color="auto" w:fill="F2F5F9"/>
          </w:tcPr>
          <w:p>
            <w:pPr>
              <w:spacing w:after="20"/>
            </w:pPr>
            <w:r/>
            <w:r>
              <w:rPr>
                <w:sz w:val="17"/>
              </w:rPr>
              <w:t>BI</w:t>
            </w:r>
          </w:p>
        </w:tc>
      </w:tr>
    </w:tbl>
    <w:p>
      <w:pPr>
        <w:spacing w:after="40"/>
      </w:pPr>
    </w:p>
    <w:p>
      <w:pPr>
        <w:pStyle w:val="Heading2"/>
      </w:pPr>
      <w:r>
        <w:rPr/>
        <w:t>14. Statistical Inference &amp; Causal Analysis Plan</w:t>
      </w:r>
    </w:p>
    <w:p>
      <w:pPr>
        <w:pStyle w:val="Heading3"/>
      </w:pPr>
      <w:r>
        <w:rPr/>
        <w:t>14.1 Estimands and hypotheses</w:t>
      </w:r>
    </w:p>
    <w:p>
      <w:pPr>
        <w:pStyle w:val="ListBullet"/>
        <w:spacing w:after="40"/>
        <w:ind w:left="357" w:hanging="357"/>
      </w:pPr>
      <w:r>
        <w:rPr>
          <w:b/>
        </w:rPr>
        <w:t>A1 estimand:</w:t>
      </w:r>
      <w:r>
        <w:rPr/>
        <w:t xml:space="preserve"> ATT on weekly net margin (and, secondarily, log sales) among the 40 treated stores, post-launch window.</w:t>
      </w:r>
    </w:p>
    <w:p>
      <w:pPr>
        <w:pStyle w:val="ListBullet"/>
        <w:spacing w:after="40"/>
        <w:ind w:left="357" w:hanging="357"/>
      </w:pPr>
      <w:r>
        <w:rPr>
          <w:b/>
        </w:rPr>
        <w:t>A2 estimand:</w:t>
      </w:r>
      <w:r>
        <w:rPr/>
        <w:t xml:space="preserve"> ATE on weekly net margin of enabling the feature among comparable currently untreated stores, over a pilot window of at least one full business cycle.</w:t>
      </w:r>
    </w:p>
    <w:p>
      <w:pPr>
        <w:pStyle w:val="ListBullet"/>
        <w:spacing w:after="40"/>
        <w:ind w:left="357" w:hanging="357"/>
      </w:pPr>
      <w:r>
        <w:rPr>
          <w:b/>
        </w:rPr>
        <w:t>Hypotheses:</w:t>
      </w:r>
      <w:r>
        <w:rPr/>
        <w:t xml:space="preserve"> H₀: the effect on net margin is zero. H₁: it is non-zero (two-sided, because harm through discounting is plausible). α = 0.05 for the primary outcome. Because the decision is about exceeding a minimum worthwhile effect δ (Q6), the primary decision uses the 95% CI of the effect against δ (equivalently a test of H₀: effect ≤ δ), not the zero-effect test alone.</w:t>
      </w:r>
    </w:p>
    <w:p>
      <w:pPr>
        <w:pStyle w:val="ListBullet"/>
        <w:spacing w:after="40"/>
        <w:ind w:left="357" w:hanging="357"/>
      </w:pPr>
      <w:r>
        <w:rPr>
          <w:b/>
        </w:rPr>
        <w:t>Scale:</w:t>
      </w:r>
      <w:r>
        <w:rPr/>
        <w:t xml:space="preserve"> the primary effect is in currency units of margin per store-week. Relative (log sales) effects are converted to currency using each store's baseline sales for communication.</w:t>
      </w:r>
    </w:p>
    <w:p>
      <w:pPr>
        <w:pStyle w:val="Heading3"/>
      </w:pPr>
      <w:r>
        <w:rPr/>
        <w:t>14.2 Causal diagram (text) and threats</w:t>
      </w:r>
    </w:p>
    <w:p>
      <w:pPr>
        <w:pStyle w:val="ListBullet"/>
        <w:spacing w:after="40"/>
        <w:ind w:left="357" w:hanging="357"/>
      </w:pPr>
      <w:r>
        <w:rPr/>
        <w:t xml:space="preserve">Store size / metro status / regional economy / manager quality → (a) </w:t>
      </w:r>
      <w:r>
        <w:rPr>
          <w:i/>
        </w:rPr>
        <w:t>selection into treatment</w:t>
      </w:r>
      <w:r>
        <w:rPr/>
        <w:t xml:space="preserve"> and (b) </w:t>
      </w:r>
      <w:r>
        <w:rPr>
          <w:i/>
        </w:rPr>
        <w:t>sales growth</w:t>
      </w:r>
      <w:r>
        <w:rPr/>
        <w:t>. This is the main confounding path and it is open in the raw comparison.</w:t>
      </w:r>
    </w:p>
    <w:p>
      <w:pPr>
        <w:pStyle w:val="ListBullet"/>
        <w:spacing w:after="40"/>
        <w:ind w:left="357" w:hanging="357"/>
      </w:pPr>
      <w:r>
        <w:rPr/>
        <w:t>Feature → offers redeemed → basket and visit frequency → sales (mediators; not adjusted for when estimating the total effect).</w:t>
      </w:r>
    </w:p>
    <w:p>
      <w:pPr>
        <w:pStyle w:val="ListBullet"/>
        <w:spacing w:after="40"/>
        <w:ind w:left="357" w:hanging="357"/>
      </w:pPr>
      <w:r>
        <w:rPr/>
        <w:t>Other initiatives → sales (a confounder if correlated with treatment).</w:t>
      </w:r>
    </w:p>
    <w:p>
      <w:pPr>
        <w:pStyle w:val="ListBullet"/>
        <w:spacing w:after="40"/>
        <w:ind w:left="357" w:hanging="357"/>
      </w:pPr>
      <w:r>
        <w:rPr/>
        <w:t>Neighbouring-store customers → spillover (interference).</w:t>
      </w:r>
    </w:p>
    <w:p>
      <w:pPr>
        <w:pStyle w:val="Heading3"/>
      </w:pPr>
      <w:r>
        <w:rPr/>
        <w:t>14.3 A1 design and estimator</w:t>
      </w:r>
    </w:p>
    <w:tbl>
      <w:tblPr>
        <w:tblStyle w:val="TableGrid"/>
        <w:tblW w:type="auto" w:w="0"/>
        <w:jc w:val="center"/>
        <w:tblLayout w:type="fixed"/>
        <w:tblLook w:firstColumn="1" w:firstRow="1" w:lastColumn="0" w:lastRow="0" w:noHBand="0" w:noVBand="1" w:val="04A0"/>
        <w:tblLayout w:type="fixed"/>
      </w:tblPr>
      <w:tblGrid>
        <w:gridCol w:w="1168"/>
        <w:gridCol w:w="2998"/>
        <w:gridCol w:w="1557"/>
        <w:gridCol w:w="2606"/>
        <w:gridCol w:w="1308"/>
      </w:tblGrid>
      <w:tr>
        <w:trPr>
          <w:tblHeader w:val="true"/>
        </w:trPr>
        <w:tc>
          <w:tcPr>
            <w:tcW w:type="dxa" w:w="1168"/>
            <w:shd w:val="clear" w:color="auto" w:fill="1F3A5F"/>
          </w:tcPr>
          <w:p>
            <w:r/>
            <w:r>
              <w:rPr>
                <w:b/>
                <w:color w:val="FFFFFF"/>
                <w:sz w:val="17"/>
              </w:rPr>
              <w:t>Question</w:t>
            </w:r>
          </w:p>
        </w:tc>
        <w:tc>
          <w:tcPr>
            <w:tcW w:type="dxa" w:w="2998"/>
            <w:shd w:val="clear" w:color="auto" w:fill="1F3A5F"/>
          </w:tcPr>
          <w:p>
            <w:r/>
            <w:r>
              <w:rPr>
                <w:b/>
                <w:color w:val="FFFFFF"/>
                <w:sz w:val="17"/>
              </w:rPr>
              <w:t>Design / estimator</w:t>
            </w:r>
          </w:p>
        </w:tc>
        <w:tc>
          <w:tcPr>
            <w:tcW w:type="dxa" w:w="1557"/>
            <w:shd w:val="clear" w:color="auto" w:fill="1F3A5F"/>
          </w:tcPr>
          <w:p>
            <w:r/>
            <w:r>
              <w:rPr>
                <w:b/>
                <w:color w:val="FFFFFF"/>
                <w:sz w:val="17"/>
              </w:rPr>
              <w:t>Key assumptions</w:t>
            </w:r>
          </w:p>
        </w:tc>
        <w:tc>
          <w:tcPr>
            <w:tcW w:type="dxa" w:w="2606"/>
            <w:shd w:val="clear" w:color="auto" w:fill="1F3A5F"/>
          </w:tcPr>
          <w:p>
            <w:r/>
            <w:r>
              <w:rPr>
                <w:b/>
                <w:color w:val="FFFFFF"/>
                <w:sz w:val="17"/>
              </w:rPr>
              <w:t>Checks</w:t>
            </w:r>
          </w:p>
        </w:tc>
        <w:tc>
          <w:tcPr>
            <w:tcW w:type="dxa" w:w="1308"/>
            <w:shd w:val="clear" w:color="auto" w:fill="1F3A5F"/>
          </w:tcPr>
          <w:p>
            <w:r/>
            <w:r>
              <w:rPr>
                <w:b/>
                <w:color w:val="FFFFFF"/>
                <w:sz w:val="17"/>
              </w:rPr>
              <w:t>Fallback</w:t>
            </w:r>
          </w:p>
        </w:tc>
      </w:tr>
      <w:tr>
        <w:tc>
          <w:tcPr>
            <w:tcW w:type="dxa" w:w="1168"/>
          </w:tcPr>
          <w:p>
            <w:pPr>
              <w:spacing w:after="20"/>
            </w:pPr>
            <w:r/>
            <w:r>
              <w:rPr>
                <w:sz w:val="17"/>
              </w:rPr>
              <w:t>Effect on the 40 treated stores</w:t>
            </w:r>
          </w:p>
        </w:tc>
        <w:tc>
          <w:tcPr>
            <w:tcW w:type="dxa" w:w="2998"/>
          </w:tcPr>
          <w:p>
            <w:pPr>
              <w:spacing w:after="20"/>
            </w:pPr>
            <w:r/>
            <w:r>
              <w:rPr>
                <w:sz w:val="17"/>
              </w:rPr>
              <w:t>Two-way fixed-effects DiD on store × week log sales, store-clustered SEs. If launches are staggered, use a heterogeneity-robust estimator (Callaway–Sant'Anna or Sun–Abraham type)</w:t>
            </w:r>
          </w:p>
        </w:tc>
        <w:tc>
          <w:tcPr>
            <w:tcW w:type="dxa" w:w="1557"/>
          </w:tcPr>
          <w:p>
            <w:pPr>
              <w:spacing w:after="20"/>
            </w:pPr>
            <w:r/>
            <w:r>
              <w:rPr>
                <w:sz w:val="17"/>
              </w:rPr>
              <w:t>Parallel trends conditional on covariates; no anticipation; no interference</w:t>
            </w:r>
          </w:p>
        </w:tc>
        <w:tc>
          <w:tcPr>
            <w:tcW w:type="dxa" w:w="2606"/>
          </w:tcPr>
          <w:p>
            <w:pPr>
              <w:spacing w:after="20"/>
            </w:pPr>
            <w:r/>
            <w:r>
              <w:rPr>
                <w:sz w:val="17"/>
              </w:rPr>
              <w:t>Event-study plot with pre-launch coefficients near zero; placebo launch dates; placebo outcome (a category or channel unlikely to be affected)</w:t>
            </w:r>
          </w:p>
        </w:tc>
        <w:tc>
          <w:tcPr>
            <w:tcW w:type="dxa" w:w="1308"/>
          </w:tcPr>
          <w:p>
            <w:pPr>
              <w:spacing w:after="20"/>
            </w:pPr>
            <w:r/>
            <w:r>
              <w:rPr>
                <w:sz w:val="17"/>
              </w:rPr>
              <w:t>Add store-specific linear trends, or restrict to a matched comparison set</w:t>
            </w:r>
          </w:p>
        </w:tc>
      </w:tr>
      <w:tr>
        <w:tc>
          <w:tcPr>
            <w:tcW w:type="dxa" w:w="1168"/>
            <w:shd w:val="clear" w:color="auto" w:fill="F2F5F9"/>
          </w:tcPr>
          <w:p>
            <w:pPr>
              <w:spacing w:after="20"/>
            </w:pPr>
            <w:r/>
            <w:r>
              <w:rPr>
                <w:sz w:val="17"/>
              </w:rPr>
              <w:t>Same, with a more credible comparison</w:t>
            </w:r>
          </w:p>
        </w:tc>
        <w:tc>
          <w:tcPr>
            <w:tcW w:type="dxa" w:w="2998"/>
            <w:shd w:val="clear" w:color="auto" w:fill="F2F5F9"/>
          </w:tcPr>
          <w:p>
            <w:pPr>
              <w:spacing w:after="20"/>
            </w:pPr>
            <w:r/>
            <w:r>
              <w:rPr>
                <w:sz w:val="17"/>
              </w:rPr>
              <w:t>Synthetic control / synthetic DiD: weighted untreated stores that reproduce each treated store's (or the treated group's) pre-launch trajectory</w:t>
            </w:r>
          </w:p>
        </w:tc>
        <w:tc>
          <w:tcPr>
            <w:tcW w:type="dxa" w:w="1557"/>
            <w:shd w:val="clear" w:color="auto" w:fill="F2F5F9"/>
          </w:tcPr>
          <w:p>
            <w:pPr>
              <w:spacing w:after="20"/>
            </w:pPr>
            <w:r/>
            <w:r>
              <w:rPr>
                <w:sz w:val="17"/>
              </w:rPr>
              <w:t>Good pre-period fit; donors unaffected</w:t>
            </w:r>
          </w:p>
        </w:tc>
        <w:tc>
          <w:tcPr>
            <w:tcW w:type="dxa" w:w="2606"/>
            <w:shd w:val="clear" w:color="auto" w:fill="F2F5F9"/>
          </w:tcPr>
          <w:p>
            <w:pPr>
              <w:spacing w:after="20"/>
            </w:pPr>
            <w:r/>
            <w:r>
              <w:rPr>
                <w:sz w:val="17"/>
              </w:rPr>
              <w:t>Pre-period fit (RMSPE), placebo-in-space (apply the method to untreated stores), leave-one-donor-out</w:t>
            </w:r>
          </w:p>
        </w:tc>
        <w:tc>
          <w:tcPr>
            <w:tcW w:type="dxa" w:w="1308"/>
            <w:shd w:val="clear" w:color="auto" w:fill="F2F5F9"/>
          </w:tcPr>
          <w:p>
            <w:pPr>
              <w:spacing w:after="20"/>
            </w:pPr>
            <w:r/>
            <w:r>
              <w:rPr>
                <w:sz w:val="17"/>
              </w:rPr>
              <w:t>Matched DiD on size, region, pre-trend</w:t>
            </w:r>
          </w:p>
        </w:tc>
      </w:tr>
      <w:tr>
        <w:tc>
          <w:tcPr>
            <w:tcW w:type="dxa" w:w="1168"/>
          </w:tcPr>
          <w:p>
            <w:pPr>
              <w:spacing w:after="20"/>
            </w:pPr>
            <w:r/>
            <w:r>
              <w:rPr>
                <w:sz w:val="17"/>
              </w:rPr>
              <w:t>Observational adjustment</w:t>
            </w:r>
          </w:p>
        </w:tc>
        <w:tc>
          <w:tcPr>
            <w:tcW w:type="dxa" w:w="2998"/>
          </w:tcPr>
          <w:p>
            <w:pPr>
              <w:spacing w:after="20"/>
            </w:pPr>
            <w:r/>
            <w:r>
              <w:rPr>
                <w:sz w:val="17"/>
              </w:rPr>
              <w:t>Propensity weighting / doubly robust estimation with pre-launch covariates</w:t>
            </w:r>
          </w:p>
        </w:tc>
        <w:tc>
          <w:tcPr>
            <w:tcW w:type="dxa" w:w="1557"/>
          </w:tcPr>
          <w:p>
            <w:pPr>
              <w:spacing w:after="20"/>
            </w:pPr>
            <w:r/>
            <w:r>
              <w:rPr>
                <w:sz w:val="17"/>
              </w:rPr>
              <w:t>No unmeasured confounding; overlap</w:t>
            </w:r>
          </w:p>
        </w:tc>
        <w:tc>
          <w:tcPr>
            <w:tcW w:type="dxa" w:w="2606"/>
          </w:tcPr>
          <w:p>
            <w:pPr>
              <w:spacing w:after="20"/>
            </w:pPr>
            <w:r/>
            <w:r>
              <w:rPr>
                <w:sz w:val="17"/>
              </w:rPr>
              <w:t>Standardized mean differences after weighting below a conventional threshold such as 0.1 (to be agreed); overlap plots; trimming</w:t>
            </w:r>
          </w:p>
        </w:tc>
        <w:tc>
          <w:tcPr>
            <w:tcW w:type="dxa" w:w="1308"/>
          </w:tcPr>
          <w:p>
            <w:pPr>
              <w:spacing w:after="20"/>
            </w:pPr>
            <w:r/>
            <w:r>
              <w:rPr>
                <w:sz w:val="17"/>
              </w:rPr>
              <w:t>Report as "associated with" only</w:t>
            </w:r>
          </w:p>
        </w:tc>
      </w:tr>
      <w:tr>
        <w:tc>
          <w:tcPr>
            <w:tcW w:type="dxa" w:w="1168"/>
            <w:shd w:val="clear" w:color="auto" w:fill="F2F5F9"/>
          </w:tcPr>
          <w:p>
            <w:pPr>
              <w:spacing w:after="20"/>
            </w:pPr>
            <w:r/>
            <w:r>
              <w:rPr>
                <w:sz w:val="17"/>
              </w:rPr>
              <w:t>Robustness</w:t>
            </w:r>
          </w:p>
        </w:tc>
        <w:tc>
          <w:tcPr>
            <w:tcW w:type="dxa" w:w="2998"/>
            <w:shd w:val="clear" w:color="auto" w:fill="F2F5F9"/>
          </w:tcPr>
          <w:p>
            <w:pPr>
              <w:spacing w:after="20"/>
            </w:pPr>
            <w:r/>
            <w:r>
              <w:rPr>
                <w:sz w:val="17"/>
              </w:rPr>
              <w:t>Restrict to metro-only (treated vs untreated metro); restrict to size-matched stores</w:t>
            </w:r>
          </w:p>
        </w:tc>
        <w:tc>
          <w:tcPr>
            <w:tcW w:type="dxa" w:w="1557"/>
            <w:shd w:val="clear" w:color="auto" w:fill="F2F5F9"/>
          </w:tcPr>
          <w:p>
            <w:pPr>
              <w:spacing w:after="20"/>
            </w:pPr>
            <w:r/>
            <w:r>
              <w:rPr>
                <w:sz w:val="17"/>
              </w:rPr>
              <w:t>Overlap exists within the stratum</w:t>
            </w:r>
          </w:p>
        </w:tc>
        <w:tc>
          <w:tcPr>
            <w:tcW w:type="dxa" w:w="2606"/>
            <w:shd w:val="clear" w:color="auto" w:fill="F2F5F9"/>
          </w:tcPr>
          <w:p>
            <w:pPr>
              <w:spacing w:after="20"/>
            </w:pPr>
            <w:r/>
            <w:r>
              <w:rPr>
                <w:sz w:val="17"/>
              </w:rPr>
              <w:t>Compare estimates across strata</w:t>
            </w:r>
          </w:p>
        </w:tc>
        <w:tc>
          <w:tcPr>
            <w:tcW w:type="dxa" w:w="1308"/>
            <w:shd w:val="clear" w:color="auto" w:fill="F2F5F9"/>
          </w:tcPr>
          <w:p>
            <w:pPr>
              <w:spacing w:after="20"/>
            </w:pPr>
            <w:r/>
            <w:r>
              <w:rPr>
                <w:sz w:val="17"/>
              </w:rPr>
              <w:t>—</w:t>
            </w:r>
          </w:p>
        </w:tc>
      </w:tr>
    </w:tbl>
    <w:p>
      <w:pPr>
        <w:spacing w:after="40"/>
      </w:pPr>
    </w:p>
    <w:p>
      <w:r>
        <w:rPr>
          <w:b/>
        </w:rPr>
        <w:t>Sensitivity analysis:</w:t>
      </w:r>
      <w:r>
        <w:rPr/>
        <w:t xml:space="preserve"> report a bound on how far parallel trends could be violated before the conclusion changes (Rambachan–Roth style, if supported by the software), the effect under store-specific trends, and the placebo-in-space distribution. An E-value is not used because it is defined for risk and odds ratios, and the mapping to a DiD margin effect is not straightforward. Previously mentioned: a Rambachan–Roth style "how much would parallel trends need to be violated" bound if event-study software supports it.</w:t>
      </w:r>
    </w:p>
    <w:p>
      <w:r>
        <w:rPr>
          <w:b/>
        </w:rPr>
        <w:t>Inference:</w:t>
      </w:r>
      <w:r>
        <w:rPr/>
        <w:t xml:space="preserve"> cluster standard errors at the store level; with 40 treated stores, use wild-cluster bootstrap or randomisation inference as a check; compare to a permutation distribution built from placebo assignments among the 180 untreated stores.</w:t>
      </w:r>
    </w:p>
    <w:p>
      <w:pPr>
        <w:pStyle w:val="Heading3"/>
      </w:pPr>
      <w:r>
        <w:rPr/>
        <w:t>14.4 A2 design (forward experiment)</w:t>
      </w:r>
    </w:p>
    <w:tbl>
      <w:tblPr>
        <w:tblStyle w:val="TableGrid"/>
        <w:tblW w:type="auto" w:w="0"/>
        <w:jc w:val="center"/>
        <w:tblLayout w:type="fixed"/>
        <w:tblLook w:firstColumn="1" w:firstRow="1" w:lastColumn="0" w:lastRow="0" w:noHBand="0" w:noVBand="1" w:val="04A0"/>
        <w:tblLayout w:type="fixed"/>
      </w:tblPr>
      <w:tblGrid>
        <w:gridCol w:w="1747"/>
        <w:gridCol w:w="3251"/>
        <w:gridCol w:w="2031"/>
        <w:gridCol w:w="2609"/>
      </w:tblGrid>
      <w:tr>
        <w:trPr>
          <w:tblHeader w:val="true"/>
        </w:trPr>
        <w:tc>
          <w:tcPr>
            <w:tcW w:type="dxa" w:w="1747"/>
            <w:shd w:val="clear" w:color="auto" w:fill="1F3A5F"/>
          </w:tcPr>
          <w:p>
            <w:r/>
            <w:r>
              <w:rPr>
                <w:b/>
                <w:color w:val="FFFFFF"/>
                <w:sz w:val="19"/>
              </w:rPr>
              <w:t>Option</w:t>
            </w:r>
          </w:p>
        </w:tc>
        <w:tc>
          <w:tcPr>
            <w:tcW w:type="dxa" w:w="3251"/>
            <w:shd w:val="clear" w:color="auto" w:fill="1F3A5F"/>
          </w:tcPr>
          <w:p>
            <w:r/>
            <w:r>
              <w:rPr>
                <w:b/>
                <w:color w:val="FFFFFF"/>
                <w:sz w:val="19"/>
              </w:rPr>
              <w:t>Description</w:t>
            </w:r>
          </w:p>
        </w:tc>
        <w:tc>
          <w:tcPr>
            <w:tcW w:type="dxa" w:w="2031"/>
            <w:shd w:val="clear" w:color="auto" w:fill="1F3A5F"/>
          </w:tcPr>
          <w:p>
            <w:r/>
            <w:r>
              <w:rPr>
                <w:b/>
                <w:color w:val="FFFFFF"/>
                <w:sz w:val="19"/>
              </w:rPr>
              <w:t>Pros</w:t>
            </w:r>
          </w:p>
        </w:tc>
        <w:tc>
          <w:tcPr>
            <w:tcW w:type="dxa" w:w="2609"/>
            <w:shd w:val="clear" w:color="auto" w:fill="1F3A5F"/>
          </w:tcPr>
          <w:p>
            <w:r/>
            <w:r>
              <w:rPr>
                <w:b/>
                <w:color w:val="FFFFFF"/>
                <w:sz w:val="19"/>
              </w:rPr>
              <w:t>Cons</w:t>
            </w:r>
          </w:p>
        </w:tc>
      </w:tr>
      <w:tr>
        <w:tc>
          <w:tcPr>
            <w:tcW w:type="dxa" w:w="1747"/>
          </w:tcPr>
          <w:p>
            <w:pPr>
              <w:spacing w:after="20"/>
            </w:pPr>
            <w:r/>
            <w:r>
              <w:rPr>
                <w:b/>
                <w:sz w:val="19"/>
              </w:rPr>
              <w:t>Stepped-wedge (recommended if rollout to all is the intent)</w:t>
            </w:r>
          </w:p>
        </w:tc>
        <w:tc>
          <w:tcPr>
            <w:tcW w:type="dxa" w:w="3251"/>
          </w:tcPr>
          <w:p>
            <w:pPr>
              <w:spacing w:after="20"/>
            </w:pPr>
            <w:r/>
            <w:r>
              <w:rPr>
                <w:sz w:val="19"/>
              </w:rPr>
              <w:t>Randomise the order in which the 180 untreated stores receive the feature across several waves; stratify by metro/non-metro, size band and region</w:t>
            </w:r>
          </w:p>
        </w:tc>
        <w:tc>
          <w:tcPr>
            <w:tcW w:type="dxa" w:w="2031"/>
          </w:tcPr>
          <w:p>
            <w:pPr>
              <w:spacing w:after="20"/>
            </w:pPr>
            <w:r/>
            <w:r>
              <w:rPr>
                <w:sz w:val="19"/>
              </w:rPr>
              <w:t>Everyone eventually gets the feature; every store is its own control pre-switch; supports ATE</w:t>
            </w:r>
          </w:p>
        </w:tc>
        <w:tc>
          <w:tcPr>
            <w:tcW w:type="dxa" w:w="2609"/>
          </w:tcPr>
          <w:p>
            <w:pPr>
              <w:spacing w:after="20"/>
            </w:pPr>
            <w:r/>
            <w:r>
              <w:rPr>
                <w:sz w:val="19"/>
              </w:rPr>
              <w:t>Needs a time-trend model; effects confounded by time if misspecified; longer to finish</w:t>
            </w:r>
          </w:p>
        </w:tc>
      </w:tr>
      <w:tr>
        <w:tc>
          <w:tcPr>
            <w:tcW w:type="dxa" w:w="1747"/>
            <w:shd w:val="clear" w:color="auto" w:fill="F2F5F9"/>
          </w:tcPr>
          <w:p>
            <w:pPr>
              <w:spacing w:after="20"/>
            </w:pPr>
            <w:r/>
            <w:r>
              <w:rPr>
                <w:b/>
                <w:sz w:val="19"/>
              </w:rPr>
              <w:t>Parallel-arm cluster randomisation</w:t>
            </w:r>
          </w:p>
        </w:tc>
        <w:tc>
          <w:tcPr>
            <w:tcW w:type="dxa" w:w="3251"/>
            <w:shd w:val="clear" w:color="auto" w:fill="F2F5F9"/>
          </w:tcPr>
          <w:p>
            <w:pPr>
              <w:spacing w:after="20"/>
            </w:pPr>
            <w:r/>
            <w:r>
              <w:rPr>
                <w:sz w:val="19"/>
              </w:rPr>
              <w:t>Randomly assign k of the 180 stores to treatment and the rest to control for the pilot window</w:t>
            </w:r>
          </w:p>
        </w:tc>
        <w:tc>
          <w:tcPr>
            <w:tcW w:type="dxa" w:w="2031"/>
            <w:shd w:val="clear" w:color="auto" w:fill="F2F5F9"/>
          </w:tcPr>
          <w:p>
            <w:pPr>
              <w:spacing w:after="20"/>
            </w:pPr>
            <w:r/>
            <w:r>
              <w:rPr>
                <w:sz w:val="19"/>
              </w:rPr>
              <w:t>Simplest to analyse</w:t>
            </w:r>
          </w:p>
        </w:tc>
        <w:tc>
          <w:tcPr>
            <w:tcW w:type="dxa" w:w="2609"/>
            <w:shd w:val="clear" w:color="auto" w:fill="F2F5F9"/>
          </w:tcPr>
          <w:p>
            <w:pPr>
              <w:spacing w:after="20"/>
            </w:pPr>
            <w:r/>
            <w:r>
              <w:rPr>
                <w:sz w:val="19"/>
              </w:rPr>
              <w:t>Control stores wait; fewer treated stores</w:t>
            </w:r>
          </w:p>
        </w:tc>
      </w:tr>
      <w:tr>
        <w:tc>
          <w:tcPr>
            <w:tcW w:type="dxa" w:w="1747"/>
          </w:tcPr>
          <w:p>
            <w:pPr>
              <w:spacing w:after="20"/>
            </w:pPr>
            <w:r/>
            <w:r>
              <w:rPr>
                <w:sz w:val="19"/>
              </w:rPr>
              <w:t>Customer-level holdout (if Q8 yes)</w:t>
            </w:r>
          </w:p>
        </w:tc>
        <w:tc>
          <w:tcPr>
            <w:tcW w:type="dxa" w:w="3251"/>
          </w:tcPr>
          <w:p>
            <w:pPr>
              <w:spacing w:after="20"/>
            </w:pPr>
            <w:r/>
            <w:r>
              <w:rPr>
                <w:sz w:val="19"/>
              </w:rPr>
              <w:t>Randomise customers within store to receive personalised vs generic offers</w:t>
            </w:r>
          </w:p>
        </w:tc>
        <w:tc>
          <w:tcPr>
            <w:tcW w:type="dxa" w:w="2031"/>
          </w:tcPr>
          <w:p>
            <w:pPr>
              <w:spacing w:after="20"/>
            </w:pPr>
            <w:r/>
            <w:r>
              <w:rPr>
                <w:sz w:val="19"/>
              </w:rPr>
              <w:t>Much higher power; captures offer effect directly</w:t>
            </w:r>
          </w:p>
        </w:tc>
        <w:tc>
          <w:tcPr>
            <w:tcW w:type="dxa" w:w="2609"/>
          </w:tcPr>
          <w:p>
            <w:pPr>
              <w:spacing w:after="20"/>
            </w:pPr>
            <w:r/>
            <w:r>
              <w:rPr>
                <w:sz w:val="19"/>
              </w:rPr>
              <w:t>Measures within-store effect only; spillover within the store; may not capture store-level traffic effect</w:t>
            </w:r>
          </w:p>
        </w:tc>
      </w:tr>
    </w:tbl>
    <w:p>
      <w:pPr>
        <w:spacing w:after="40"/>
      </w:pPr>
    </w:p>
    <w:p>
      <w:r>
        <w:rPr/>
        <w:t>Design elements: randomisation unit = store (or customer if Q8); analysis unit = store-week with cluster-robust inference; stratified (blocked) randomisation on metro flag, size band, region and pre-period sales trend; pre-registered primary outcome, guardrails, planned duration 26–52 weeks (the minimum is set by the simulation in §14.5): an interim read at 26 weeks under the alpha-spending plan, and a full-year read to cover seasonality and show novelty decay, with the final length fixed at design; sample-ratio and balance checks; no peeking without a group-sequential or alpha-spending plan; pre-period covariate adjustment (CUPED-type) to reduce variance.</w:t>
      </w:r>
    </w:p>
    <w:p>
      <w:pPr>
        <w:pStyle w:val="Heading3"/>
      </w:pPr>
      <w:r>
        <w:rPr/>
        <w:t>14.5 Power / MDE</w:t>
      </w:r>
    </w:p>
    <w:p>
      <w:r>
        <w:rPr/>
        <w:t xml:space="preserve">Power in a store-randomised design is driven by the </w:t>
      </w:r>
      <w:r>
        <w:rPr>
          <w:b/>
        </w:rPr>
        <w:t>number of stores</w:t>
      </w:r>
      <w:r>
        <w:rPr/>
        <w:t xml:space="preserve"> (units), not the number of transactions. The relevant inputs are: α, power, the between-store variance of the outcome change, the weekly autocorrelation of store sales, the number of waves/weeks, and the proportion of variance explained by pre-period covariates. With a fixed number of clusters, the approximate relation is</w:t>
      </w:r>
    </w:p>
    <w:p>
      <w:r>
        <w:rPr/>
        <w:t>MDE ≈ (z₁₋α/₂ + z₁₋β) · SE(θ̂), where SE(θ̂) is estimated from the pre-period data by simulation.</w:t>
      </w:r>
    </w:p>
    <w:p>
      <w:r>
        <w:rPr>
          <w:b/>
        </w:rPr>
        <w:t>No numeric σ, ICC or MDE is stated here.</w:t>
      </w:r>
      <w:r>
        <w:rPr/>
        <w:t xml:space="preserve"> Plan: a simulation-based power analysis using the actual 24-month pre-period panel (re-assigning placebo treatment to stores, injecting a range of effect sizes, and recording rejection rates) to report the MDE for candidate pilot sizes among the 180 untreated stores. The sample is bounded by the numbers in the brief: 40 treated and 180 untreated stores (40/220 ≈ 18.2% treated). If the achievable MDE is larger than the effect worth detecting (Q6), the plan will state "pilot is under-powered" and consider the customer-level design (Q8), longer duration, or more waves.</w:t>
      </w:r>
    </w:p>
    <w:p>
      <w:pPr>
        <w:pStyle w:val="Heading3"/>
      </w:pPr>
      <w:r>
        <w:rPr/>
        <w:t>14.6 Multiple testing and pre-registration</w:t>
      </w:r>
    </w:p>
    <w:p>
      <w:r>
        <w:rPr/>
        <w:t>One primary outcome (margin; sales as co-primary only if the CMO insists, with Holm adjustment across the two). Secondary outcomes and subgroup effects (metro vs non-metro, size bands, regions) are exploratory and use Benjamini–Hochberg control. The analysis plan (specification, covariates, exclusions, decision rule) is written and time-stamped before looking at post-launch outcomes in A1 and before randomisation in A2.</w:t>
      </w:r>
    </w:p>
    <w:p>
      <w:pPr>
        <w:pStyle w:val="Heading3"/>
      </w:pPr>
      <w:r>
        <w:rPr/>
        <w:t>14.7 What this can and cannot show</w:t>
      </w:r>
    </w:p>
    <w:p>
      <w:pPr>
        <w:pStyle w:val="ListBullet"/>
        <w:spacing w:after="40"/>
        <w:ind w:left="357" w:hanging="357"/>
      </w:pPr>
      <w:r>
        <w:rPr>
          <w:b/>
        </w:rPr>
        <w:t>A1 can show</w:t>
      </w:r>
      <w:r>
        <w:rPr/>
        <w:t xml:space="preserve"> (under the stated assumptions and if diagnostics pass) an estimate of the feature's effect on the treated stores, with a CI. </w:t>
      </w:r>
      <w:r>
        <w:rPr>
          <w:b/>
        </w:rPr>
        <w:t>It cannot</w:t>
      </w:r>
      <w:r>
        <w:rPr/>
        <w:t xml:space="preserve"> prove causality: if pre-trends diverge or an unmeasured co-occurring change exists, the design fails, and the report must say so. It does </w:t>
      </w:r>
      <w:r>
        <w:rPr>
          <w:b/>
        </w:rPr>
        <w:t>not</w:t>
      </w:r>
      <w:r>
        <w:rPr/>
        <w:t xml:space="preserve"> show the effect in the stores not yet treated (if, as assumed </w:t>
      </w:r>
      <w:r>
        <w:rPr>
          <w:b/>
          <w:color w:val="B36B00"/>
        </w:rPr>
        <w:t>[Assumed]</w:t>
      </w:r>
      <w:r>
        <w:rPr/>
        <w:t>, the untreated stores are on average smaller and less metro, effects may differ).</w:t>
      </w:r>
    </w:p>
    <w:p>
      <w:pPr>
        <w:pStyle w:val="ListBullet"/>
        <w:spacing w:after="40"/>
        <w:ind w:left="357" w:hanging="357"/>
      </w:pPr>
      <w:r>
        <w:rPr>
          <w:b/>
        </w:rPr>
        <w:t>A2 can show</w:t>
      </w:r>
      <w:r>
        <w:rPr/>
        <w:t xml:space="preserve"> the effect in typical untreated stores with randomisation protection, for the pilot window. It cannot show long-run effects beyond the window, effects of design changes to the feature, or national spillovers beyond the measured buffer.</w:t>
      </w:r>
    </w:p>
    <w:p>
      <w:pPr>
        <w:pStyle w:val="ListBullet"/>
        <w:spacing w:after="40"/>
        <w:ind w:left="357" w:hanging="357"/>
      </w:pPr>
      <w:r>
        <w:rPr>
          <w:b/>
        </w:rPr>
        <w:t>Neither</w:t>
      </w:r>
      <w:r>
        <w:rPr/>
        <w:t xml:space="preserve"> identifies which customers benefit (needs A3 on randomised data).</w:t>
      </w:r>
    </w:p>
    <w:p>
      <w:pPr>
        <w:pStyle w:val="Heading2"/>
      </w:pPr>
      <w:r>
        <w:rPr/>
        <w:t>15. Robustness &amp; Sensitivity Tests</w:t>
      </w:r>
    </w:p>
    <w:p>
      <w:pPr>
        <w:pStyle w:val="ListBullet"/>
        <w:spacing w:after="40"/>
        <w:ind w:left="357" w:hanging="357"/>
      </w:pPr>
      <w:r>
        <w:rPr/>
        <w:t>Alternative outcome scales (log, indexed, level); with/without stock-out weeks; with/without festival weeks.</w:t>
      </w:r>
    </w:p>
    <w:p>
      <w:pPr>
        <w:pStyle w:val="ListBullet"/>
        <w:spacing w:after="40"/>
        <w:ind w:left="357" w:hanging="357"/>
      </w:pPr>
      <w:r>
        <w:rPr/>
        <w:t>Metro-only and size-matched subsets; leave-one-region-out.</w:t>
      </w:r>
    </w:p>
    <w:p>
      <w:pPr>
        <w:pStyle w:val="ListBullet"/>
        <w:spacing w:after="40"/>
        <w:ind w:left="357" w:hanging="357"/>
      </w:pPr>
      <w:r>
        <w:rPr/>
        <w:t>Placebo dates (pre-period) and placebo outcomes.</w:t>
      </w:r>
    </w:p>
    <w:p>
      <w:pPr>
        <w:pStyle w:val="ListBullet"/>
        <w:spacing w:after="40"/>
        <w:ind w:left="357" w:hanging="357"/>
      </w:pPr>
      <w:r>
        <w:rPr/>
        <w:t>Exclude stores with other initiatives (Q3).</w:t>
      </w:r>
    </w:p>
    <w:p>
      <w:pPr>
        <w:pStyle w:val="ListBullet"/>
        <w:spacing w:after="40"/>
        <w:ind w:left="357" w:hanging="357"/>
      </w:pPr>
      <w:r>
        <w:rPr/>
        <w:t>Time slices: effect by month since launch (novelty/decay).</w:t>
      </w:r>
    </w:p>
    <w:p>
      <w:pPr>
        <w:pStyle w:val="ListBullet"/>
        <w:spacing w:after="40"/>
        <w:ind w:left="357" w:hanging="357"/>
      </w:pPr>
      <w:r>
        <w:rPr/>
        <w:t xml:space="preserve">Spillover buffers: exclude untreated stores within a distance </w:t>
      </w:r>
      <w:r>
        <w:rPr>
          <w:b/>
          <w:color w:val="C0392B"/>
        </w:rPr>
        <w:t>[TBD with client]</w:t>
      </w:r>
      <w:r>
        <w:rPr/>
        <w:t xml:space="preserve"> of a treated store.</w:t>
      </w:r>
    </w:p>
    <w:p>
      <w:pPr>
        <w:pStyle w:val="ListBullet"/>
        <w:spacing w:after="40"/>
        <w:ind w:left="357" w:hanging="357"/>
      </w:pPr>
      <w:r>
        <w:rPr/>
        <w:t>Compare A1 (quasi-experimental) with A2 (randomised) estimates once available to calibrate how much to trust observational estimates in future.</w:t>
      </w:r>
    </w:p>
    <w:p>
      <w:pPr>
        <w:pStyle w:val="Heading2"/>
      </w:pPr>
      <w:r>
        <w:rPr/>
        <w:t>17. Deployment &amp; Monitoring Strategy</w:t>
      </w:r>
    </w:p>
    <w:p>
      <w:r>
        <w:rPr/>
        <w:t>No model is deployed. The "deployment" is the rollout decision and its measurement:</w:t>
      </w:r>
    </w:p>
    <w:p>
      <w:pPr>
        <w:pStyle w:val="ListBullet"/>
        <w:spacing w:after="40"/>
        <w:ind w:left="357" w:hanging="357"/>
      </w:pPr>
      <w:r>
        <w:rPr>
          <w:b/>
        </w:rPr>
        <w:t>Decision rule:</w:t>
      </w:r>
      <w:r>
        <w:rPr/>
        <w:t xml:space="preserve"> as in §10, agreed before analysis.</w:t>
      </w:r>
    </w:p>
    <w:p>
      <w:pPr>
        <w:pStyle w:val="ListBullet"/>
        <w:spacing w:after="40"/>
        <w:ind w:left="357" w:hanging="357"/>
      </w:pPr>
      <w:r>
        <w:rPr>
          <w:b/>
        </w:rPr>
        <w:t>Rollout:</w:t>
      </w:r>
      <w:r>
        <w:rPr/>
        <w:t xml:space="preserve"> staged waves with randomised order (A2) so every wave remains evaluable.</w:t>
      </w:r>
    </w:p>
    <w:p>
      <w:pPr>
        <w:pStyle w:val="ListBullet"/>
        <w:spacing w:after="40"/>
        <w:ind w:left="357" w:hanging="357"/>
      </w:pPr>
      <w:r>
        <w:rPr>
          <w:b/>
        </w:rPr>
        <w:t>Post-launch monitoring:</w:t>
      </w:r>
      <w:r>
        <w:rPr/>
        <w:t xml:space="preserve"> weekly dashboard of treated vs not-yet-treated stores (effect estimate with CI, margin, discount depth, return rate, redemption share). Alert if the margin effect's CI turns negative or if discount depth rises beyond a limit </w:t>
      </w:r>
      <w:r>
        <w:rPr>
          <w:b/>
          <w:color w:val="C0392B"/>
        </w:rPr>
        <w:t>[TBD with client]</w:t>
      </w:r>
      <w:r>
        <w:rPr/>
        <w:t>.</w:t>
      </w:r>
    </w:p>
    <w:p>
      <w:pPr>
        <w:pStyle w:val="ListBullet"/>
        <w:spacing w:after="40"/>
        <w:ind w:left="357" w:hanging="357"/>
      </w:pPr>
      <w:r>
        <w:rPr>
          <w:b/>
        </w:rPr>
        <w:t>Rollback:</w:t>
      </w:r>
      <w:r>
        <w:rPr/>
        <w:t xml:space="preserve"> the feature can be disabled per store; criteria agreed upfront.</w:t>
      </w:r>
    </w:p>
    <w:p>
      <w:pPr>
        <w:pStyle w:val="ListBullet"/>
        <w:spacing w:after="40"/>
        <w:ind w:left="357" w:hanging="357"/>
      </w:pPr>
      <w:r>
        <w:rPr>
          <w:b/>
        </w:rPr>
        <w:t>Governance:</w:t>
      </w:r>
      <w:r>
        <w:rPr/>
        <w:t xml:space="preserve"> confirm consent for personalised marketing, data-protection obligations (DPDP Act 2023 and Rules if applicable), and fairness of offers across customer groups. </w:t>
      </w:r>
      <w:r>
        <w:rPr>
          <w:i/>
        </w:rPr>
        <w:t>To be verified with the client's legal team.</w:t>
      </w:r>
    </w:p>
    <w:p>
      <w:pPr>
        <w:pStyle w:val="ListBullet"/>
        <w:spacing w:after="40"/>
        <w:ind w:left="357" w:hanging="357"/>
      </w:pPr>
      <w:r>
        <w:rPr>
          <w:b/>
        </w:rPr>
        <w:t>Communication:</w:t>
      </w:r>
      <w:r>
        <w:rPr/>
        <w:t xml:space="preserve"> until A1 diagnostics pass or A2 reports, wording for internal and external statements is "stores with the feature grew faster" rather than "the feature caused".</w:t>
      </w:r>
    </w:p>
    <w:p>
      <w:pPr>
        <w:pStyle w:val="Heading2"/>
      </w:pPr>
      <w:r>
        <w:rPr/>
        <w:t>18. Risks, Mitigations, Dependencies &amp; Open Decisions</w:t>
      </w:r>
    </w:p>
    <w:tbl>
      <w:tblPr>
        <w:tblStyle w:val="TableGrid"/>
        <w:tblW w:type="auto" w:w="0"/>
        <w:jc w:val="center"/>
        <w:tblLayout w:type="fixed"/>
        <w:tblLook w:firstColumn="1" w:firstRow="1" w:lastColumn="0" w:lastRow="0" w:noHBand="0" w:noVBand="1" w:val="04A0"/>
        <w:tblLayout w:type="fixed"/>
      </w:tblPr>
      <w:tblGrid>
        <w:gridCol w:w="2612"/>
        <w:gridCol w:w="1579"/>
        <w:gridCol w:w="1005"/>
        <w:gridCol w:w="3006"/>
        <w:gridCol w:w="1435"/>
      </w:tblGrid>
      <w:tr>
        <w:trPr>
          <w:tblHeader w:val="true"/>
        </w:trPr>
        <w:tc>
          <w:tcPr>
            <w:tcW w:type="dxa" w:w="2612"/>
            <w:shd w:val="clear" w:color="auto" w:fill="1F3A5F"/>
          </w:tcPr>
          <w:p>
            <w:r/>
            <w:r>
              <w:rPr>
                <w:b/>
                <w:color w:val="FFFFFF"/>
                <w:sz w:val="17"/>
              </w:rPr>
              <w:t>Risk</w:t>
            </w:r>
          </w:p>
        </w:tc>
        <w:tc>
          <w:tcPr>
            <w:tcW w:type="dxa" w:w="1579"/>
            <w:shd w:val="clear" w:color="auto" w:fill="1F3A5F"/>
          </w:tcPr>
          <w:p>
            <w:r/>
            <w:r>
              <w:rPr>
                <w:b/>
                <w:color w:val="FFFFFF"/>
                <w:sz w:val="17"/>
              </w:rPr>
              <w:t>Likelihood</w:t>
            </w:r>
          </w:p>
        </w:tc>
        <w:tc>
          <w:tcPr>
            <w:tcW w:type="dxa" w:w="1005"/>
            <w:shd w:val="clear" w:color="auto" w:fill="1F3A5F"/>
          </w:tcPr>
          <w:p>
            <w:r/>
            <w:r>
              <w:rPr>
                <w:b/>
                <w:color w:val="FFFFFF"/>
                <w:sz w:val="17"/>
              </w:rPr>
              <w:t>Impact</w:t>
            </w:r>
          </w:p>
        </w:tc>
        <w:tc>
          <w:tcPr>
            <w:tcW w:type="dxa" w:w="3006"/>
            <w:shd w:val="clear" w:color="auto" w:fill="1F3A5F"/>
          </w:tcPr>
          <w:p>
            <w:r/>
            <w:r>
              <w:rPr>
                <w:b/>
                <w:color w:val="FFFFFF"/>
                <w:sz w:val="17"/>
              </w:rPr>
              <w:t>Mitigation</w:t>
            </w:r>
          </w:p>
        </w:tc>
        <w:tc>
          <w:tcPr>
            <w:tcW w:type="dxa" w:w="1435"/>
            <w:shd w:val="clear" w:color="auto" w:fill="1F3A5F"/>
          </w:tcPr>
          <w:p>
            <w:r/>
            <w:r>
              <w:rPr>
                <w:b/>
                <w:color w:val="FFFFFF"/>
                <w:sz w:val="17"/>
              </w:rPr>
              <w:t>Owner</w:t>
            </w:r>
          </w:p>
        </w:tc>
      </w:tr>
      <w:tr>
        <w:tc>
          <w:tcPr>
            <w:tcW w:type="dxa" w:w="2612"/>
          </w:tcPr>
          <w:p>
            <w:pPr>
              <w:spacing w:after="20"/>
            </w:pPr>
            <w:r/>
            <w:r>
              <w:rPr>
                <w:sz w:val="17"/>
              </w:rPr>
              <w:t>Pre-launch data too short or missing, so parallel trends cannot be tested</w:t>
            </w:r>
          </w:p>
        </w:tc>
        <w:tc>
          <w:tcPr>
            <w:tcW w:type="dxa" w:w="1579"/>
          </w:tcPr>
          <w:p>
            <w:pPr>
              <w:spacing w:after="20"/>
            </w:pPr>
            <w:r/>
            <w:r>
              <w:rPr>
                <w:sz w:val="17"/>
              </w:rPr>
              <w:t>Medium</w:t>
            </w:r>
          </w:p>
        </w:tc>
        <w:tc>
          <w:tcPr>
            <w:tcW w:type="dxa" w:w="1005"/>
          </w:tcPr>
          <w:p>
            <w:pPr>
              <w:spacing w:after="20"/>
            </w:pPr>
            <w:r/>
            <w:r>
              <w:rPr>
                <w:sz w:val="17"/>
              </w:rPr>
              <w:t>High</w:t>
            </w:r>
          </w:p>
        </w:tc>
        <w:tc>
          <w:tcPr>
            <w:tcW w:type="dxa" w:w="3006"/>
          </w:tcPr>
          <w:p>
            <w:pPr>
              <w:spacing w:after="20"/>
            </w:pPr>
            <w:r/>
            <w:r>
              <w:rPr>
                <w:sz w:val="17"/>
              </w:rPr>
              <w:t>Early data audit (Discovery); if unavailable, A1 is reported as descriptive only</w:t>
            </w:r>
          </w:p>
        </w:tc>
        <w:tc>
          <w:tcPr>
            <w:tcW w:type="dxa" w:w="1435"/>
          </w:tcPr>
          <w:p>
            <w:pPr>
              <w:spacing w:after="20"/>
            </w:pPr>
            <w:r/>
            <w:r>
              <w:rPr>
                <w:sz w:val="17"/>
              </w:rPr>
              <w:t>BI / DS</w:t>
            </w:r>
          </w:p>
        </w:tc>
      </w:tr>
      <w:tr>
        <w:tc>
          <w:tcPr>
            <w:tcW w:type="dxa" w:w="2612"/>
            <w:shd w:val="clear" w:color="auto" w:fill="F2F5F9"/>
          </w:tcPr>
          <w:p>
            <w:pPr>
              <w:spacing w:after="20"/>
            </w:pPr>
            <w:r/>
            <w:r>
              <w:rPr>
                <w:sz w:val="17"/>
              </w:rPr>
              <w:t>Treated stores were trending up before launch</w:t>
            </w:r>
          </w:p>
        </w:tc>
        <w:tc>
          <w:tcPr>
            <w:tcW w:type="dxa" w:w="1579"/>
            <w:shd w:val="clear" w:color="auto" w:fill="F2F5F9"/>
          </w:tcPr>
          <w:p>
            <w:pPr>
              <w:spacing w:after="20"/>
            </w:pPr>
            <w:r/>
            <w:r>
              <w:rPr>
                <w:sz w:val="17"/>
              </w:rPr>
              <w:t>Medium–High</w:t>
            </w:r>
          </w:p>
        </w:tc>
        <w:tc>
          <w:tcPr>
            <w:tcW w:type="dxa" w:w="1005"/>
            <w:shd w:val="clear" w:color="auto" w:fill="F2F5F9"/>
          </w:tcPr>
          <w:p>
            <w:pPr>
              <w:spacing w:after="20"/>
            </w:pPr>
            <w:r/>
            <w:r>
              <w:rPr>
                <w:sz w:val="17"/>
              </w:rPr>
              <w:t>High</w:t>
            </w:r>
          </w:p>
        </w:tc>
        <w:tc>
          <w:tcPr>
            <w:tcW w:type="dxa" w:w="3006"/>
            <w:shd w:val="clear" w:color="auto" w:fill="F2F5F9"/>
          </w:tcPr>
          <w:p>
            <w:pPr>
              <w:spacing w:after="20"/>
            </w:pPr>
            <w:r/>
            <w:r>
              <w:rPr>
                <w:sz w:val="17"/>
              </w:rPr>
              <w:t>Event-study and synthetic control; report honestly if A1 fails</w:t>
            </w:r>
          </w:p>
        </w:tc>
        <w:tc>
          <w:tcPr>
            <w:tcW w:type="dxa" w:w="1435"/>
            <w:shd w:val="clear" w:color="auto" w:fill="F2F5F9"/>
          </w:tcPr>
          <w:p>
            <w:pPr>
              <w:spacing w:after="20"/>
            </w:pPr>
            <w:r/>
            <w:r>
              <w:rPr>
                <w:sz w:val="17"/>
              </w:rPr>
              <w:t>DS</w:t>
            </w:r>
          </w:p>
        </w:tc>
      </w:tr>
      <w:tr>
        <w:tc>
          <w:tcPr>
            <w:tcW w:type="dxa" w:w="2612"/>
          </w:tcPr>
          <w:p>
            <w:pPr>
              <w:spacing w:after="20"/>
            </w:pPr>
            <w:r/>
            <w:r>
              <w:rPr>
                <w:sz w:val="17"/>
              </w:rPr>
              <w:t>CMO or stakeholders pressure for a headline number before analysis</w:t>
            </w:r>
          </w:p>
        </w:tc>
        <w:tc>
          <w:tcPr>
            <w:tcW w:type="dxa" w:w="1579"/>
          </w:tcPr>
          <w:p>
            <w:pPr>
              <w:spacing w:after="20"/>
            </w:pPr>
            <w:r/>
            <w:r>
              <w:rPr>
                <w:sz w:val="17"/>
              </w:rPr>
              <w:t>High</w:t>
            </w:r>
          </w:p>
        </w:tc>
        <w:tc>
          <w:tcPr>
            <w:tcW w:type="dxa" w:w="1005"/>
          </w:tcPr>
          <w:p>
            <w:pPr>
              <w:spacing w:after="20"/>
            </w:pPr>
            <w:r/>
            <w:r>
              <w:rPr>
                <w:sz w:val="17"/>
              </w:rPr>
              <w:t>High</w:t>
            </w:r>
          </w:p>
        </w:tc>
        <w:tc>
          <w:tcPr>
            <w:tcW w:type="dxa" w:w="3006"/>
          </w:tcPr>
          <w:p>
            <w:pPr>
              <w:spacing w:after="20"/>
            </w:pPr>
            <w:r/>
            <w:r>
              <w:rPr>
                <w:sz w:val="17"/>
              </w:rPr>
              <w:t>Agree wording and decision rule now; share the "what we can say today" statement</w:t>
            </w:r>
          </w:p>
        </w:tc>
        <w:tc>
          <w:tcPr>
            <w:tcW w:type="dxa" w:w="1435"/>
          </w:tcPr>
          <w:p>
            <w:pPr>
              <w:spacing w:after="20"/>
            </w:pPr>
            <w:r/>
            <w:r>
              <w:rPr>
                <w:sz w:val="17"/>
              </w:rPr>
              <w:t>Engagement lead</w:t>
            </w:r>
          </w:p>
        </w:tc>
      </w:tr>
      <w:tr>
        <w:tc>
          <w:tcPr>
            <w:tcW w:type="dxa" w:w="2612"/>
            <w:shd w:val="clear" w:color="auto" w:fill="F2F5F9"/>
          </w:tcPr>
          <w:p>
            <w:pPr>
              <w:spacing w:after="20"/>
            </w:pPr>
            <w:r/>
            <w:r>
              <w:rPr>
                <w:sz w:val="17"/>
              </w:rPr>
              <w:t>Randomisation rejected for operational or political reasons</w:t>
            </w:r>
          </w:p>
        </w:tc>
        <w:tc>
          <w:tcPr>
            <w:tcW w:type="dxa" w:w="1579"/>
            <w:shd w:val="clear" w:color="auto" w:fill="F2F5F9"/>
          </w:tcPr>
          <w:p>
            <w:pPr>
              <w:spacing w:after="20"/>
            </w:pPr>
            <w:r/>
            <w:r>
              <w:rPr>
                <w:sz w:val="17"/>
              </w:rPr>
              <w:t>Medium</w:t>
            </w:r>
          </w:p>
        </w:tc>
        <w:tc>
          <w:tcPr>
            <w:tcW w:type="dxa" w:w="1005"/>
            <w:shd w:val="clear" w:color="auto" w:fill="F2F5F9"/>
          </w:tcPr>
          <w:p>
            <w:pPr>
              <w:spacing w:after="20"/>
            </w:pPr>
            <w:r/>
            <w:r>
              <w:rPr>
                <w:sz w:val="17"/>
              </w:rPr>
              <w:t>High</w:t>
            </w:r>
          </w:p>
        </w:tc>
        <w:tc>
          <w:tcPr>
            <w:tcW w:type="dxa" w:w="3006"/>
            <w:shd w:val="clear" w:color="auto" w:fill="F2F5F9"/>
          </w:tcPr>
          <w:p>
            <w:pPr>
              <w:spacing w:after="20"/>
            </w:pPr>
            <w:r/>
            <w:r>
              <w:rPr>
                <w:sz w:val="17"/>
              </w:rPr>
              <w:t>Stepped-wedge with regional constraints; or quasi-random rollout using a documented ranking</w:t>
            </w:r>
          </w:p>
        </w:tc>
        <w:tc>
          <w:tcPr>
            <w:tcW w:type="dxa" w:w="1435"/>
            <w:shd w:val="clear" w:color="auto" w:fill="F2F5F9"/>
          </w:tcPr>
          <w:p>
            <w:pPr>
              <w:spacing w:after="20"/>
            </w:pPr>
            <w:r/>
            <w:r>
              <w:rPr>
                <w:sz w:val="17"/>
              </w:rPr>
              <w:t>CMO / COO</w:t>
            </w:r>
          </w:p>
        </w:tc>
      </w:tr>
      <w:tr>
        <w:tc>
          <w:tcPr>
            <w:tcW w:type="dxa" w:w="2612"/>
          </w:tcPr>
          <w:p>
            <w:pPr>
              <w:spacing w:after="20"/>
            </w:pPr>
            <w:r/>
            <w:r>
              <w:rPr>
                <w:sz w:val="17"/>
              </w:rPr>
              <w:t>Pilot under-powered</w:t>
            </w:r>
          </w:p>
        </w:tc>
        <w:tc>
          <w:tcPr>
            <w:tcW w:type="dxa" w:w="1579"/>
          </w:tcPr>
          <w:p>
            <w:pPr>
              <w:spacing w:after="20"/>
            </w:pPr>
            <w:r/>
            <w:r>
              <w:rPr>
                <w:sz w:val="17"/>
              </w:rPr>
              <w:t>Medium</w:t>
            </w:r>
          </w:p>
        </w:tc>
        <w:tc>
          <w:tcPr>
            <w:tcW w:type="dxa" w:w="1005"/>
          </w:tcPr>
          <w:p>
            <w:pPr>
              <w:spacing w:after="20"/>
            </w:pPr>
            <w:r/>
            <w:r>
              <w:rPr>
                <w:sz w:val="17"/>
              </w:rPr>
              <w:t>Medium</w:t>
            </w:r>
          </w:p>
        </w:tc>
        <w:tc>
          <w:tcPr>
            <w:tcW w:type="dxa" w:w="3006"/>
          </w:tcPr>
          <w:p>
            <w:pPr>
              <w:spacing w:after="20"/>
            </w:pPr>
            <w:r/>
            <w:r>
              <w:rPr>
                <w:sz w:val="17"/>
              </w:rPr>
              <w:t>Simulation-based power analysis before commit; consider customer-level design</w:t>
            </w:r>
          </w:p>
        </w:tc>
        <w:tc>
          <w:tcPr>
            <w:tcW w:type="dxa" w:w="1435"/>
          </w:tcPr>
          <w:p>
            <w:pPr>
              <w:spacing w:after="20"/>
            </w:pPr>
            <w:r/>
            <w:r>
              <w:rPr>
                <w:sz w:val="17"/>
              </w:rPr>
              <w:t>DS</w:t>
            </w:r>
          </w:p>
        </w:tc>
      </w:tr>
      <w:tr>
        <w:tc>
          <w:tcPr>
            <w:tcW w:type="dxa" w:w="2612"/>
            <w:shd w:val="clear" w:color="auto" w:fill="F2F5F9"/>
          </w:tcPr>
          <w:p>
            <w:pPr>
              <w:spacing w:after="20"/>
            </w:pPr>
            <w:r/>
            <w:r>
              <w:rPr>
                <w:sz w:val="17"/>
              </w:rPr>
              <w:t>Sales lift achieved through discounts that erode margin</w:t>
            </w:r>
          </w:p>
        </w:tc>
        <w:tc>
          <w:tcPr>
            <w:tcW w:type="dxa" w:w="1579"/>
            <w:shd w:val="clear" w:color="auto" w:fill="F2F5F9"/>
          </w:tcPr>
          <w:p>
            <w:pPr>
              <w:spacing w:after="20"/>
            </w:pPr>
            <w:r/>
            <w:r>
              <w:rPr>
                <w:sz w:val="17"/>
              </w:rPr>
              <w:t>Medium</w:t>
            </w:r>
          </w:p>
        </w:tc>
        <w:tc>
          <w:tcPr>
            <w:tcW w:type="dxa" w:w="1005"/>
            <w:shd w:val="clear" w:color="auto" w:fill="F2F5F9"/>
          </w:tcPr>
          <w:p>
            <w:pPr>
              <w:spacing w:after="20"/>
            </w:pPr>
            <w:r/>
            <w:r>
              <w:rPr>
                <w:sz w:val="17"/>
              </w:rPr>
              <w:t>High</w:t>
            </w:r>
          </w:p>
        </w:tc>
        <w:tc>
          <w:tcPr>
            <w:tcW w:type="dxa" w:w="3006"/>
            <w:shd w:val="clear" w:color="auto" w:fill="F2F5F9"/>
          </w:tcPr>
          <w:p>
            <w:pPr>
              <w:spacing w:after="20"/>
            </w:pPr>
            <w:r/>
            <w:r>
              <w:rPr>
                <w:sz w:val="17"/>
              </w:rPr>
              <w:t>Margin as primary outcome</w:t>
            </w:r>
          </w:p>
        </w:tc>
        <w:tc>
          <w:tcPr>
            <w:tcW w:type="dxa" w:w="1435"/>
            <w:shd w:val="clear" w:color="auto" w:fill="F2F5F9"/>
          </w:tcPr>
          <w:p>
            <w:pPr>
              <w:spacing w:after="20"/>
            </w:pPr>
            <w:r/>
            <w:r>
              <w:rPr>
                <w:sz w:val="17"/>
              </w:rPr>
              <w:t>Finance</w:t>
            </w:r>
          </w:p>
        </w:tc>
      </w:tr>
      <w:tr>
        <w:tc>
          <w:tcPr>
            <w:tcW w:type="dxa" w:w="2612"/>
          </w:tcPr>
          <w:p>
            <w:pPr>
              <w:spacing w:after="20"/>
            </w:pPr>
            <w:r/>
            <w:r>
              <w:rPr>
                <w:sz w:val="17"/>
              </w:rPr>
              <w:t>Spillover between nearby stores</w:t>
            </w:r>
          </w:p>
        </w:tc>
        <w:tc>
          <w:tcPr>
            <w:tcW w:type="dxa" w:w="1579"/>
          </w:tcPr>
          <w:p>
            <w:pPr>
              <w:spacing w:after="20"/>
            </w:pPr>
            <w:r/>
            <w:r>
              <w:rPr>
                <w:sz w:val="17"/>
              </w:rPr>
              <w:t>Medium</w:t>
            </w:r>
          </w:p>
        </w:tc>
        <w:tc>
          <w:tcPr>
            <w:tcW w:type="dxa" w:w="1005"/>
          </w:tcPr>
          <w:p>
            <w:pPr>
              <w:spacing w:after="20"/>
            </w:pPr>
            <w:r/>
            <w:r>
              <w:rPr>
                <w:sz w:val="17"/>
              </w:rPr>
              <w:t>Medium</w:t>
            </w:r>
          </w:p>
        </w:tc>
        <w:tc>
          <w:tcPr>
            <w:tcW w:type="dxa" w:w="3006"/>
          </w:tcPr>
          <w:p>
            <w:pPr>
              <w:spacing w:after="20"/>
            </w:pPr>
            <w:r/>
            <w:r>
              <w:rPr>
                <w:sz w:val="17"/>
              </w:rPr>
              <w:t>Buffers, guardrail analysis</w:t>
            </w:r>
          </w:p>
        </w:tc>
        <w:tc>
          <w:tcPr>
            <w:tcW w:type="dxa" w:w="1435"/>
          </w:tcPr>
          <w:p>
            <w:pPr>
              <w:spacing w:after="20"/>
            </w:pPr>
            <w:r/>
            <w:r>
              <w:rPr>
                <w:sz w:val="17"/>
              </w:rPr>
              <w:t>DS</w:t>
            </w:r>
          </w:p>
        </w:tc>
      </w:tr>
      <w:tr>
        <w:tc>
          <w:tcPr>
            <w:tcW w:type="dxa" w:w="2612"/>
            <w:shd w:val="clear" w:color="auto" w:fill="F2F5F9"/>
          </w:tcPr>
          <w:p>
            <w:pPr>
              <w:spacing w:after="20"/>
            </w:pPr>
            <w:r/>
            <w:r>
              <w:rPr>
                <w:sz w:val="17"/>
              </w:rPr>
              <w:t>Co-occurring initiatives (confounding)</w:t>
            </w:r>
          </w:p>
        </w:tc>
        <w:tc>
          <w:tcPr>
            <w:tcW w:type="dxa" w:w="1579"/>
            <w:shd w:val="clear" w:color="auto" w:fill="F2F5F9"/>
          </w:tcPr>
          <w:p>
            <w:pPr>
              <w:spacing w:after="20"/>
            </w:pPr>
            <w:r/>
            <w:r>
              <w:rPr>
                <w:sz w:val="17"/>
              </w:rPr>
              <w:t>Medium</w:t>
            </w:r>
          </w:p>
        </w:tc>
        <w:tc>
          <w:tcPr>
            <w:tcW w:type="dxa" w:w="1005"/>
            <w:shd w:val="clear" w:color="auto" w:fill="F2F5F9"/>
          </w:tcPr>
          <w:p>
            <w:pPr>
              <w:spacing w:after="20"/>
            </w:pPr>
            <w:r/>
            <w:r>
              <w:rPr>
                <w:sz w:val="17"/>
              </w:rPr>
              <w:t>High</w:t>
            </w:r>
          </w:p>
        </w:tc>
        <w:tc>
          <w:tcPr>
            <w:tcW w:type="dxa" w:w="3006"/>
            <w:shd w:val="clear" w:color="auto" w:fill="F2F5F9"/>
          </w:tcPr>
          <w:p>
            <w:pPr>
              <w:spacing w:after="20"/>
            </w:pPr>
            <w:r/>
            <w:r>
              <w:rPr>
                <w:sz w:val="17"/>
              </w:rPr>
              <w:t>Initiative calendar (Q3); exclusions; sensitivity</w:t>
            </w:r>
          </w:p>
        </w:tc>
        <w:tc>
          <w:tcPr>
            <w:tcW w:type="dxa" w:w="1435"/>
            <w:shd w:val="clear" w:color="auto" w:fill="F2F5F9"/>
          </w:tcPr>
          <w:p>
            <w:pPr>
              <w:spacing w:after="20"/>
            </w:pPr>
            <w:r/>
            <w:r>
              <w:rPr>
                <w:sz w:val="17"/>
              </w:rPr>
              <w:t>Marketing / DS</w:t>
            </w:r>
          </w:p>
        </w:tc>
      </w:tr>
      <w:tr>
        <w:tc>
          <w:tcPr>
            <w:tcW w:type="dxa" w:w="2612"/>
          </w:tcPr>
          <w:p>
            <w:pPr>
              <w:spacing w:after="20"/>
            </w:pPr>
            <w:r/>
            <w:r>
              <w:rPr>
                <w:sz w:val="17"/>
              </w:rPr>
              <w:t>Novelty effect inflates the six-month result</w:t>
            </w:r>
          </w:p>
        </w:tc>
        <w:tc>
          <w:tcPr>
            <w:tcW w:type="dxa" w:w="1579"/>
          </w:tcPr>
          <w:p>
            <w:pPr>
              <w:spacing w:after="20"/>
            </w:pPr>
            <w:r/>
            <w:r>
              <w:rPr>
                <w:sz w:val="17"/>
              </w:rPr>
              <w:t>Medium</w:t>
            </w:r>
          </w:p>
        </w:tc>
        <w:tc>
          <w:tcPr>
            <w:tcW w:type="dxa" w:w="1005"/>
          </w:tcPr>
          <w:p>
            <w:pPr>
              <w:spacing w:after="20"/>
            </w:pPr>
            <w:r/>
            <w:r>
              <w:rPr>
                <w:sz w:val="17"/>
              </w:rPr>
              <w:t>Medium</w:t>
            </w:r>
          </w:p>
        </w:tc>
        <w:tc>
          <w:tcPr>
            <w:tcW w:type="dxa" w:w="3006"/>
          </w:tcPr>
          <w:p>
            <w:pPr>
              <w:spacing w:after="20"/>
            </w:pPr>
            <w:r/>
            <w:r>
              <w:rPr>
                <w:sz w:val="17"/>
              </w:rPr>
              <w:t>Monthly event study; 26–52 week pilot</w:t>
            </w:r>
          </w:p>
        </w:tc>
        <w:tc>
          <w:tcPr>
            <w:tcW w:type="dxa" w:w="1435"/>
          </w:tcPr>
          <w:p>
            <w:pPr>
              <w:spacing w:after="20"/>
            </w:pPr>
            <w:r/>
            <w:r>
              <w:rPr>
                <w:sz w:val="17"/>
              </w:rPr>
              <w:t>DS</w:t>
            </w:r>
          </w:p>
        </w:tc>
      </w:tr>
      <w:tr>
        <w:tc>
          <w:tcPr>
            <w:tcW w:type="dxa" w:w="2612"/>
            <w:shd w:val="clear" w:color="auto" w:fill="F2F5F9"/>
          </w:tcPr>
          <w:p>
            <w:pPr>
              <w:spacing w:after="20"/>
            </w:pPr>
            <w:r/>
            <w:r>
              <w:rPr>
                <w:sz w:val="17"/>
              </w:rPr>
              <w:t>Time confounding in the stepped-wedge</w:t>
            </w:r>
          </w:p>
        </w:tc>
        <w:tc>
          <w:tcPr>
            <w:tcW w:type="dxa" w:w="1579"/>
            <w:shd w:val="clear" w:color="auto" w:fill="F2F5F9"/>
          </w:tcPr>
          <w:p>
            <w:pPr>
              <w:spacing w:after="20"/>
            </w:pPr>
            <w:r/>
            <w:r>
              <w:rPr>
                <w:sz w:val="17"/>
              </w:rPr>
              <w:t>Medium</w:t>
            </w:r>
          </w:p>
        </w:tc>
        <w:tc>
          <w:tcPr>
            <w:tcW w:type="dxa" w:w="1005"/>
            <w:shd w:val="clear" w:color="auto" w:fill="F2F5F9"/>
          </w:tcPr>
          <w:p>
            <w:pPr>
              <w:spacing w:after="20"/>
            </w:pPr>
            <w:r/>
            <w:r>
              <w:rPr>
                <w:sz w:val="17"/>
              </w:rPr>
              <w:t>Medium</w:t>
            </w:r>
          </w:p>
        </w:tc>
        <w:tc>
          <w:tcPr>
            <w:tcW w:type="dxa" w:w="3006"/>
            <w:shd w:val="clear" w:color="auto" w:fill="F2F5F9"/>
          </w:tcPr>
          <w:p>
            <w:pPr>
              <w:spacing w:after="20"/>
            </w:pPr>
            <w:r/>
            <w:r>
              <w:rPr>
                <w:sz w:val="17"/>
              </w:rPr>
              <w:t>Stratified waves; secular-trend model; compare with a parallel-arm check</w:t>
            </w:r>
          </w:p>
        </w:tc>
        <w:tc>
          <w:tcPr>
            <w:tcW w:type="dxa" w:w="1435"/>
            <w:shd w:val="clear" w:color="auto" w:fill="F2F5F9"/>
          </w:tcPr>
          <w:p>
            <w:pPr>
              <w:spacing w:after="20"/>
            </w:pPr>
            <w:r/>
            <w:r>
              <w:rPr>
                <w:sz w:val="17"/>
              </w:rPr>
              <w:t>DS</w:t>
            </w:r>
          </w:p>
        </w:tc>
      </w:tr>
      <w:tr>
        <w:tc>
          <w:tcPr>
            <w:tcW w:type="dxa" w:w="2612"/>
          </w:tcPr>
          <w:p>
            <w:pPr>
              <w:spacing w:after="20"/>
            </w:pPr>
            <w:r/>
            <w:r>
              <w:rPr>
                <w:sz w:val="17"/>
              </w:rPr>
              <w:t>A2 pilot contaminates A1 controls</w:t>
            </w:r>
          </w:p>
        </w:tc>
        <w:tc>
          <w:tcPr>
            <w:tcW w:type="dxa" w:w="1579"/>
          </w:tcPr>
          <w:p>
            <w:pPr>
              <w:spacing w:after="20"/>
            </w:pPr>
            <w:r/>
            <w:r>
              <w:rPr>
                <w:sz w:val="17"/>
              </w:rPr>
              <w:t>Medium</w:t>
            </w:r>
          </w:p>
        </w:tc>
        <w:tc>
          <w:tcPr>
            <w:tcW w:type="dxa" w:w="1005"/>
          </w:tcPr>
          <w:p>
            <w:pPr>
              <w:spacing w:after="20"/>
            </w:pPr>
            <w:r/>
            <w:r>
              <w:rPr>
                <w:sz w:val="17"/>
              </w:rPr>
              <w:t>Medium</w:t>
            </w:r>
          </w:p>
        </w:tc>
        <w:tc>
          <w:tcPr>
            <w:tcW w:type="dxa" w:w="3006"/>
          </w:tcPr>
          <w:p>
            <w:pPr>
              <w:spacing w:after="20"/>
            </w:pPr>
            <w:r/>
            <w:r>
              <w:rPr>
                <w:sz w:val="17"/>
              </w:rPr>
              <w:t>Sequence A1 first or freeze its control set</w:t>
            </w:r>
          </w:p>
        </w:tc>
        <w:tc>
          <w:tcPr>
            <w:tcW w:type="dxa" w:w="1435"/>
          </w:tcPr>
          <w:p>
            <w:pPr>
              <w:spacing w:after="20"/>
            </w:pPr>
            <w:r/>
            <w:r>
              <w:rPr>
                <w:sz w:val="17"/>
              </w:rPr>
              <w:t>DS</w:t>
            </w:r>
          </w:p>
        </w:tc>
      </w:tr>
      <w:tr>
        <w:tc>
          <w:tcPr>
            <w:tcW w:type="dxa" w:w="2612"/>
            <w:shd w:val="clear" w:color="auto" w:fill="F2F5F9"/>
          </w:tcPr>
          <w:p>
            <w:pPr>
              <w:spacing w:after="20"/>
            </w:pPr>
            <w:r/>
            <w:r>
              <w:rPr>
                <w:sz w:val="17"/>
              </w:rPr>
              <w:t>Privacy and marketing-consent compliance</w:t>
            </w:r>
          </w:p>
        </w:tc>
        <w:tc>
          <w:tcPr>
            <w:tcW w:type="dxa" w:w="1579"/>
            <w:shd w:val="clear" w:color="auto" w:fill="F2F5F9"/>
          </w:tcPr>
          <w:p>
            <w:pPr>
              <w:spacing w:after="20"/>
            </w:pPr>
            <w:r/>
            <w:r>
              <w:rPr>
                <w:sz w:val="17"/>
              </w:rPr>
              <w:t>Low–Medium</w:t>
            </w:r>
          </w:p>
        </w:tc>
        <w:tc>
          <w:tcPr>
            <w:tcW w:type="dxa" w:w="1005"/>
            <w:shd w:val="clear" w:color="auto" w:fill="F2F5F9"/>
          </w:tcPr>
          <w:p>
            <w:pPr>
              <w:spacing w:after="20"/>
            </w:pPr>
            <w:r/>
            <w:r>
              <w:rPr>
                <w:sz w:val="17"/>
              </w:rPr>
              <w:t>High</w:t>
            </w:r>
          </w:p>
        </w:tc>
        <w:tc>
          <w:tcPr>
            <w:tcW w:type="dxa" w:w="3006"/>
            <w:shd w:val="clear" w:color="auto" w:fill="F2F5F9"/>
          </w:tcPr>
          <w:p>
            <w:pPr>
              <w:spacing w:after="20"/>
            </w:pPr>
            <w:r/>
            <w:r>
              <w:rPr>
                <w:sz w:val="17"/>
              </w:rPr>
              <w:t>Legal review</w:t>
            </w:r>
          </w:p>
        </w:tc>
        <w:tc>
          <w:tcPr>
            <w:tcW w:type="dxa" w:w="1435"/>
            <w:shd w:val="clear" w:color="auto" w:fill="F2F5F9"/>
          </w:tcPr>
          <w:p>
            <w:pPr>
              <w:spacing w:after="20"/>
            </w:pPr>
            <w:r/>
            <w:r>
              <w:rPr>
                <w:sz w:val="17"/>
              </w:rPr>
              <w:t>Legal</w:t>
            </w:r>
          </w:p>
        </w:tc>
      </w:tr>
    </w:tbl>
    <w:p>
      <w:pPr>
        <w:spacing w:after="40"/>
      </w:pPr>
    </w:p>
    <w:p>
      <w:pPr>
        <w:pStyle w:val="Heading2"/>
      </w:pPr>
      <w:r>
        <w:rPr/>
        <w:t>19. Phased Implementation Roadmap (provisional effort)</w:t>
      </w:r>
    </w:p>
    <w:tbl>
      <w:tblPr>
        <w:tblStyle w:val="TableGrid"/>
        <w:tblW w:type="auto" w:w="0"/>
        <w:jc w:val="center"/>
        <w:tblLayout w:type="fixed"/>
        <w:tblLook w:firstColumn="1" w:firstRow="1" w:lastColumn="0" w:lastRow="0" w:noHBand="0" w:noVBand="1" w:val="04A0"/>
        <w:tblLayout w:type="fixed"/>
      </w:tblPr>
      <w:tblGrid>
        <w:gridCol w:w="1049"/>
        <w:gridCol w:w="2121"/>
        <w:gridCol w:w="1144"/>
        <w:gridCol w:w="1535"/>
        <w:gridCol w:w="2549"/>
        <w:gridCol w:w="1239"/>
      </w:tblGrid>
      <w:tr>
        <w:trPr>
          <w:tblHeader w:val="true"/>
        </w:trPr>
        <w:tc>
          <w:tcPr>
            <w:tcW w:type="dxa" w:w="1049"/>
            <w:shd w:val="clear" w:color="auto" w:fill="1F3A5F"/>
          </w:tcPr>
          <w:p>
            <w:r/>
            <w:r>
              <w:rPr>
                <w:b/>
                <w:color w:val="FFFFFF"/>
                <w:sz w:val="17"/>
              </w:rPr>
              <w:t>Phase</w:t>
            </w:r>
          </w:p>
        </w:tc>
        <w:tc>
          <w:tcPr>
            <w:tcW w:type="dxa" w:w="2121"/>
            <w:shd w:val="clear" w:color="auto" w:fill="1F3A5F"/>
          </w:tcPr>
          <w:p>
            <w:r/>
            <w:r>
              <w:rPr>
                <w:b/>
                <w:color w:val="FFFFFF"/>
                <w:sz w:val="17"/>
              </w:rPr>
              <w:t>Work package</w:t>
            </w:r>
          </w:p>
        </w:tc>
        <w:tc>
          <w:tcPr>
            <w:tcW w:type="dxa" w:w="1144"/>
            <w:shd w:val="clear" w:color="auto" w:fill="1F3A5F"/>
          </w:tcPr>
          <w:p>
            <w:r/>
            <w:r>
              <w:rPr>
                <w:b/>
                <w:color w:val="FFFFFF"/>
                <w:sz w:val="17"/>
              </w:rPr>
              <w:t>Dependencies</w:t>
            </w:r>
          </w:p>
        </w:tc>
        <w:tc>
          <w:tcPr>
            <w:tcW w:type="dxa" w:w="1535"/>
            <w:shd w:val="clear" w:color="auto" w:fill="1F3A5F"/>
          </w:tcPr>
          <w:p>
            <w:r/>
            <w:r>
              <w:rPr>
                <w:b/>
                <w:color w:val="FFFFFF"/>
                <w:sz w:val="17"/>
              </w:rPr>
              <w:t>Deliverables</w:t>
            </w:r>
          </w:p>
        </w:tc>
        <w:tc>
          <w:tcPr>
            <w:tcW w:type="dxa" w:w="2549"/>
            <w:shd w:val="clear" w:color="auto" w:fill="1F3A5F"/>
          </w:tcPr>
          <w:p>
            <w:r/>
            <w:r>
              <w:rPr>
                <w:b/>
                <w:color w:val="FFFFFF"/>
                <w:sz w:val="17"/>
              </w:rPr>
              <w:t>Acceptance criteria</w:t>
            </w:r>
          </w:p>
        </w:tc>
        <w:tc>
          <w:tcPr>
            <w:tcW w:type="dxa" w:w="1239"/>
            <w:shd w:val="clear" w:color="auto" w:fill="1F3A5F"/>
          </w:tcPr>
          <w:p>
            <w:r/>
            <w:r>
              <w:rPr>
                <w:b/>
                <w:color w:val="FFFFFF"/>
                <w:sz w:val="17"/>
              </w:rPr>
              <w:t>Indicative effort (provisional)</w:t>
            </w:r>
          </w:p>
        </w:tc>
      </w:tr>
      <w:tr>
        <w:tc>
          <w:tcPr>
            <w:tcW w:type="dxa" w:w="1049"/>
          </w:tcPr>
          <w:p>
            <w:pPr>
              <w:spacing w:after="20"/>
            </w:pPr>
            <w:r/>
            <w:r>
              <w:rPr>
                <w:sz w:val="17"/>
              </w:rPr>
              <w:t>Discovery</w:t>
            </w:r>
          </w:p>
        </w:tc>
        <w:tc>
          <w:tcPr>
            <w:tcW w:type="dxa" w:w="2121"/>
          </w:tcPr>
          <w:p>
            <w:pPr>
              <w:spacing w:after="20"/>
            </w:pPr>
            <w:r/>
            <w:r>
              <w:rPr>
                <w:sz w:val="17"/>
              </w:rPr>
              <w:t>Resolve Q1–Q8 (all needed by Week 2); agree decision rule and wording; data audit</w:t>
            </w:r>
          </w:p>
        </w:tc>
        <w:tc>
          <w:tcPr>
            <w:tcW w:type="dxa" w:w="1144"/>
          </w:tcPr>
          <w:p>
            <w:pPr>
              <w:spacing w:after="20"/>
            </w:pPr>
            <w:r/>
            <w:r>
              <w:rPr>
                <w:sz w:val="17"/>
              </w:rPr>
              <w:t>Client access to owners</w:t>
            </w:r>
          </w:p>
        </w:tc>
        <w:tc>
          <w:tcPr>
            <w:tcW w:type="dxa" w:w="1535"/>
          </w:tcPr>
          <w:p>
            <w:pPr>
              <w:spacing w:after="20"/>
            </w:pPr>
            <w:r/>
            <w:r>
              <w:rPr>
                <w:sz w:val="17"/>
              </w:rPr>
              <w:t>Signed-off analysis plan; data request</w:t>
            </w:r>
          </w:p>
        </w:tc>
        <w:tc>
          <w:tcPr>
            <w:tcW w:type="dxa" w:w="2549"/>
          </w:tcPr>
          <w:p>
            <w:pPr>
              <w:spacing w:after="20"/>
            </w:pPr>
            <w:r/>
            <w:r>
              <w:rPr>
                <w:sz w:val="17"/>
              </w:rPr>
              <w:t>All blocking questions (Q1–Q6) answered or closed by a labelled assumption signed off by the CMO office</w:t>
            </w:r>
          </w:p>
        </w:tc>
        <w:tc>
          <w:tcPr>
            <w:tcW w:type="dxa" w:w="1239"/>
          </w:tcPr>
          <w:p>
            <w:pPr>
              <w:spacing w:after="20"/>
            </w:pPr>
            <w:r/>
            <w:r>
              <w:rPr>
                <w:sz w:val="17"/>
              </w:rPr>
              <w:t>1–2 weeks</w:t>
            </w:r>
          </w:p>
        </w:tc>
      </w:tr>
      <w:tr>
        <w:tc>
          <w:tcPr>
            <w:tcW w:type="dxa" w:w="1049"/>
            <w:shd w:val="clear" w:color="auto" w:fill="F2F5F9"/>
          </w:tcPr>
          <w:p>
            <w:pPr>
              <w:spacing w:after="20"/>
            </w:pPr>
            <w:r/>
            <w:r>
              <w:rPr>
                <w:sz w:val="17"/>
              </w:rPr>
              <w:t>Data engineering</w:t>
            </w:r>
          </w:p>
        </w:tc>
        <w:tc>
          <w:tcPr>
            <w:tcW w:type="dxa" w:w="2121"/>
            <w:shd w:val="clear" w:color="auto" w:fill="F2F5F9"/>
          </w:tcPr>
          <w:p>
            <w:pPr>
              <w:spacing w:after="20"/>
            </w:pPr>
            <w:r/>
            <w:r>
              <w:rPr>
                <w:sz w:val="17"/>
              </w:rPr>
              <w:t>Build store × week panel, initiative calendar, margin join</w:t>
            </w:r>
          </w:p>
        </w:tc>
        <w:tc>
          <w:tcPr>
            <w:tcW w:type="dxa" w:w="1144"/>
            <w:shd w:val="clear" w:color="auto" w:fill="F2F5F9"/>
          </w:tcPr>
          <w:p>
            <w:pPr>
              <w:spacing w:after="20"/>
            </w:pPr>
            <w:r/>
            <w:r>
              <w:rPr>
                <w:sz w:val="17"/>
              </w:rPr>
              <w:t>Discovery</w:t>
            </w:r>
          </w:p>
        </w:tc>
        <w:tc>
          <w:tcPr>
            <w:tcW w:type="dxa" w:w="1535"/>
            <w:shd w:val="clear" w:color="auto" w:fill="F2F5F9"/>
          </w:tcPr>
          <w:p>
            <w:pPr>
              <w:spacing w:after="20"/>
            </w:pPr>
            <w:r/>
            <w:r>
              <w:rPr>
                <w:sz w:val="17"/>
              </w:rPr>
              <w:t>Validated panel and data-quality report</w:t>
            </w:r>
          </w:p>
        </w:tc>
        <w:tc>
          <w:tcPr>
            <w:tcW w:type="dxa" w:w="2549"/>
            <w:shd w:val="clear" w:color="auto" w:fill="F2F5F9"/>
          </w:tcPr>
          <w:p>
            <w:pPr>
              <w:spacing w:after="20"/>
            </w:pPr>
            <w:r/>
            <w:r>
              <w:rPr>
                <w:sz w:val="17"/>
              </w:rPr>
              <w:t>Reconciles to reported 12% and 5% figures within an agreed tolerance</w:t>
            </w:r>
          </w:p>
        </w:tc>
        <w:tc>
          <w:tcPr>
            <w:tcW w:type="dxa" w:w="1239"/>
            <w:shd w:val="clear" w:color="auto" w:fill="F2F5F9"/>
          </w:tcPr>
          <w:p>
            <w:pPr>
              <w:spacing w:after="20"/>
            </w:pPr>
            <w:r/>
            <w:r>
              <w:rPr>
                <w:sz w:val="17"/>
              </w:rPr>
              <w:t>2–3 weeks</w:t>
            </w:r>
          </w:p>
        </w:tc>
      </w:tr>
      <w:tr>
        <w:tc>
          <w:tcPr>
            <w:tcW w:type="dxa" w:w="1049"/>
          </w:tcPr>
          <w:p>
            <w:pPr>
              <w:spacing w:after="20"/>
            </w:pPr>
            <w:r/>
            <w:r>
              <w:rPr>
                <w:sz w:val="17"/>
              </w:rPr>
              <w:t>Analysis / EDA (A1)</w:t>
            </w:r>
          </w:p>
        </w:tc>
        <w:tc>
          <w:tcPr>
            <w:tcW w:type="dxa" w:w="2121"/>
          </w:tcPr>
          <w:p>
            <w:pPr>
              <w:spacing w:after="20"/>
            </w:pPr>
            <w:r/>
            <w:r>
              <w:rPr>
                <w:sz w:val="17"/>
              </w:rPr>
              <w:t>Pre-trend diagnostics; DiD, synthetic control; sensitivity</w:t>
            </w:r>
          </w:p>
        </w:tc>
        <w:tc>
          <w:tcPr>
            <w:tcW w:type="dxa" w:w="1144"/>
          </w:tcPr>
          <w:p>
            <w:pPr>
              <w:spacing w:after="20"/>
            </w:pPr>
            <w:r/>
            <w:r>
              <w:rPr>
                <w:sz w:val="17"/>
              </w:rPr>
              <w:t>Data engineering</w:t>
            </w:r>
          </w:p>
        </w:tc>
        <w:tc>
          <w:tcPr>
            <w:tcW w:type="dxa" w:w="1535"/>
          </w:tcPr>
          <w:p>
            <w:pPr>
              <w:spacing w:after="20"/>
            </w:pPr>
            <w:r/>
            <w:r>
              <w:rPr>
                <w:sz w:val="17"/>
              </w:rPr>
              <w:t>A1 report with effect, CI, diagnostics, verdict</w:t>
            </w:r>
          </w:p>
        </w:tc>
        <w:tc>
          <w:tcPr>
            <w:tcW w:type="dxa" w:w="2549"/>
          </w:tcPr>
          <w:p>
            <w:pPr>
              <w:spacing w:after="20"/>
            </w:pPr>
            <w:r/>
            <w:r>
              <w:rPr>
                <w:sz w:val="17"/>
              </w:rPr>
              <w:t>Diagnostics reported; claim wording matches evidence</w:t>
            </w:r>
          </w:p>
        </w:tc>
        <w:tc>
          <w:tcPr>
            <w:tcW w:type="dxa" w:w="1239"/>
          </w:tcPr>
          <w:p>
            <w:pPr>
              <w:spacing w:after="20"/>
            </w:pPr>
            <w:r/>
            <w:r>
              <w:rPr>
                <w:sz w:val="17"/>
              </w:rPr>
              <w:t>3–4 weeks</w:t>
            </w:r>
          </w:p>
        </w:tc>
      </w:tr>
      <w:tr>
        <w:tc>
          <w:tcPr>
            <w:tcW w:type="dxa" w:w="1049"/>
            <w:shd w:val="clear" w:color="auto" w:fill="F2F5F9"/>
          </w:tcPr>
          <w:p>
            <w:pPr>
              <w:spacing w:after="20"/>
            </w:pPr>
            <w:r/>
            <w:r>
              <w:rPr>
                <w:sz w:val="17"/>
              </w:rPr>
              <w:t>Pilot design (A2)</w:t>
            </w:r>
          </w:p>
        </w:tc>
        <w:tc>
          <w:tcPr>
            <w:tcW w:type="dxa" w:w="2121"/>
            <w:shd w:val="clear" w:color="auto" w:fill="F2F5F9"/>
          </w:tcPr>
          <w:p>
            <w:pPr>
              <w:spacing w:after="20"/>
            </w:pPr>
            <w:r/>
            <w:r>
              <w:rPr>
                <w:sz w:val="17"/>
              </w:rPr>
              <w:t>Simulation-based power; randomisation scheme; pre-registration</w:t>
            </w:r>
          </w:p>
        </w:tc>
        <w:tc>
          <w:tcPr>
            <w:tcW w:type="dxa" w:w="1144"/>
            <w:shd w:val="clear" w:color="auto" w:fill="F2F5F9"/>
          </w:tcPr>
          <w:p>
            <w:pPr>
              <w:spacing w:after="20"/>
            </w:pPr>
            <w:r/>
            <w:r>
              <w:rPr>
                <w:sz w:val="17"/>
              </w:rPr>
              <w:t>Analysis/EDA findings, Q5</w:t>
            </w:r>
          </w:p>
        </w:tc>
        <w:tc>
          <w:tcPr>
            <w:tcW w:type="dxa" w:w="1535"/>
            <w:shd w:val="clear" w:color="auto" w:fill="F2F5F9"/>
          </w:tcPr>
          <w:p>
            <w:pPr>
              <w:spacing w:after="20"/>
            </w:pPr>
            <w:r/>
            <w:r>
              <w:rPr>
                <w:sz w:val="17"/>
              </w:rPr>
              <w:t>Pilot protocol and randomised store list</w:t>
            </w:r>
          </w:p>
        </w:tc>
        <w:tc>
          <w:tcPr>
            <w:tcW w:type="dxa" w:w="2549"/>
            <w:shd w:val="clear" w:color="auto" w:fill="F2F5F9"/>
          </w:tcPr>
          <w:p>
            <w:pPr>
              <w:spacing w:after="20"/>
            </w:pPr>
            <w:r/>
            <w:r>
              <w:rPr>
                <w:sz w:val="17"/>
              </w:rPr>
              <w:t>Simulated MDE no larger than the minimum worthwhile effect δ (Q6), or the shortfall is accepted in writing; SMD balance within the agreed threshold; client approval</w:t>
            </w:r>
          </w:p>
        </w:tc>
        <w:tc>
          <w:tcPr>
            <w:tcW w:type="dxa" w:w="1239"/>
            <w:shd w:val="clear" w:color="auto" w:fill="F2F5F9"/>
          </w:tcPr>
          <w:p>
            <w:pPr>
              <w:spacing w:after="20"/>
            </w:pPr>
            <w:r/>
            <w:r>
              <w:rPr>
                <w:sz w:val="17"/>
              </w:rPr>
              <w:t>2–3 weeks</w:t>
            </w:r>
          </w:p>
        </w:tc>
      </w:tr>
      <w:tr>
        <w:tc>
          <w:tcPr>
            <w:tcW w:type="dxa" w:w="1049"/>
          </w:tcPr>
          <w:p>
            <w:pPr>
              <w:spacing w:after="20"/>
            </w:pPr>
            <w:r/>
            <w:r>
              <w:rPr>
                <w:sz w:val="17"/>
              </w:rPr>
              <w:t>Pilot run and monitoring (A2)</w:t>
            </w:r>
          </w:p>
        </w:tc>
        <w:tc>
          <w:tcPr>
            <w:tcW w:type="dxa" w:w="2121"/>
          </w:tcPr>
          <w:p>
            <w:pPr>
              <w:spacing w:after="20"/>
            </w:pPr>
            <w:r/>
            <w:r>
              <w:rPr>
                <w:sz w:val="17"/>
              </w:rPr>
              <w:t>Staged rollout and weekly monitoring</w:t>
            </w:r>
          </w:p>
        </w:tc>
        <w:tc>
          <w:tcPr>
            <w:tcW w:type="dxa" w:w="1144"/>
          </w:tcPr>
          <w:p>
            <w:pPr>
              <w:spacing w:after="20"/>
            </w:pPr>
            <w:r/>
            <w:r>
              <w:rPr>
                <w:sz w:val="17"/>
              </w:rPr>
              <w:t>Protocol approval</w:t>
            </w:r>
          </w:p>
        </w:tc>
        <w:tc>
          <w:tcPr>
            <w:tcW w:type="dxa" w:w="1535"/>
          </w:tcPr>
          <w:p>
            <w:pPr>
              <w:spacing w:after="20"/>
            </w:pPr>
            <w:r/>
            <w:r>
              <w:rPr>
                <w:sz w:val="17"/>
              </w:rPr>
              <w:t>Dashboard; interim checks under alpha-spending plan</w:t>
            </w:r>
          </w:p>
        </w:tc>
        <w:tc>
          <w:tcPr>
            <w:tcW w:type="dxa" w:w="2549"/>
          </w:tcPr>
          <w:p>
            <w:pPr>
              <w:spacing w:after="20"/>
            </w:pPr>
            <w:r/>
            <w:r>
              <w:rPr>
                <w:sz w:val="17"/>
              </w:rPr>
              <w:t>SRM passes; baseline covariate balance within the agreed SMD threshold; guardrails within limits</w:t>
            </w:r>
          </w:p>
        </w:tc>
        <w:tc>
          <w:tcPr>
            <w:tcW w:type="dxa" w:w="1239"/>
          </w:tcPr>
          <w:p>
            <w:pPr>
              <w:spacing w:after="20"/>
            </w:pPr>
            <w:r/>
            <w:r>
              <w:rPr>
                <w:sz w:val="17"/>
              </w:rPr>
              <w:t>26–52 weeks</w:t>
            </w:r>
          </w:p>
        </w:tc>
      </w:tr>
      <w:tr>
        <w:tc>
          <w:tcPr>
            <w:tcW w:type="dxa" w:w="1049"/>
            <w:shd w:val="clear" w:color="auto" w:fill="F2F5F9"/>
          </w:tcPr>
          <w:p>
            <w:pPr>
              <w:spacing w:after="20"/>
            </w:pPr>
            <w:r/>
            <w:r>
              <w:rPr>
                <w:sz w:val="17"/>
              </w:rPr>
              <w:t>Validation / readout</w:t>
            </w:r>
          </w:p>
        </w:tc>
        <w:tc>
          <w:tcPr>
            <w:tcW w:type="dxa" w:w="2121"/>
            <w:shd w:val="clear" w:color="auto" w:fill="F2F5F9"/>
          </w:tcPr>
          <w:p>
            <w:pPr>
              <w:spacing w:after="20"/>
            </w:pPr>
            <w:r/>
            <w:r>
              <w:rPr>
                <w:sz w:val="17"/>
              </w:rPr>
              <w:t>Final A2 analysis; compare with A1; rollout recommendation</w:t>
            </w:r>
          </w:p>
        </w:tc>
        <w:tc>
          <w:tcPr>
            <w:tcW w:type="dxa" w:w="1144"/>
            <w:shd w:val="clear" w:color="auto" w:fill="F2F5F9"/>
          </w:tcPr>
          <w:p>
            <w:pPr>
              <w:spacing w:after="20"/>
            </w:pPr>
            <w:r/>
            <w:r>
              <w:rPr>
                <w:sz w:val="17"/>
              </w:rPr>
              <w:t>Pilot complete</w:t>
            </w:r>
          </w:p>
        </w:tc>
        <w:tc>
          <w:tcPr>
            <w:tcW w:type="dxa" w:w="1535"/>
            <w:shd w:val="clear" w:color="auto" w:fill="F2F5F9"/>
          </w:tcPr>
          <w:p>
            <w:pPr>
              <w:spacing w:after="20"/>
            </w:pPr>
            <w:r/>
            <w:r>
              <w:rPr>
                <w:sz w:val="17"/>
              </w:rPr>
              <w:t>Decision memo to CMO</w:t>
            </w:r>
          </w:p>
        </w:tc>
        <w:tc>
          <w:tcPr>
            <w:tcW w:type="dxa" w:w="2549"/>
            <w:shd w:val="clear" w:color="auto" w:fill="F2F5F9"/>
          </w:tcPr>
          <w:p>
            <w:pPr>
              <w:spacing w:after="20"/>
            </w:pPr>
            <w:r/>
            <w:r>
              <w:rPr>
                <w:sz w:val="17"/>
              </w:rPr>
              <w:t>Decision rule applied as pre-agreed</w:t>
            </w:r>
          </w:p>
        </w:tc>
        <w:tc>
          <w:tcPr>
            <w:tcW w:type="dxa" w:w="1239"/>
            <w:shd w:val="clear" w:color="auto" w:fill="F2F5F9"/>
          </w:tcPr>
          <w:p>
            <w:pPr>
              <w:spacing w:after="20"/>
            </w:pPr>
            <w:r/>
            <w:r>
              <w:rPr>
                <w:sz w:val="17"/>
              </w:rPr>
              <w:t>2 weeks</w:t>
            </w:r>
          </w:p>
        </w:tc>
      </w:tr>
      <w:tr>
        <w:tc>
          <w:tcPr>
            <w:tcW w:type="dxa" w:w="1049"/>
          </w:tcPr>
          <w:p>
            <w:pPr>
              <w:spacing w:after="20"/>
            </w:pPr>
            <w:r/>
            <w:r>
              <w:rPr>
                <w:sz w:val="17"/>
              </w:rPr>
              <w:t>Deployment and monitoring</w:t>
            </w:r>
          </w:p>
        </w:tc>
        <w:tc>
          <w:tcPr>
            <w:tcW w:type="dxa" w:w="2121"/>
          </w:tcPr>
          <w:p>
            <w:pPr>
              <w:spacing w:after="20"/>
            </w:pPr>
            <w:r/>
            <w:r>
              <w:rPr>
                <w:sz w:val="17"/>
              </w:rPr>
              <w:t>Staged rollout to remaining stores in randomised order; weekly monitoring per §17</w:t>
            </w:r>
          </w:p>
        </w:tc>
        <w:tc>
          <w:tcPr>
            <w:tcW w:type="dxa" w:w="1144"/>
          </w:tcPr>
          <w:p>
            <w:pPr>
              <w:spacing w:after="20"/>
            </w:pPr>
            <w:r/>
            <w:r>
              <w:rPr>
                <w:sz w:val="17"/>
              </w:rPr>
              <w:t>Decision memo</w:t>
            </w:r>
          </w:p>
        </w:tc>
        <w:tc>
          <w:tcPr>
            <w:tcW w:type="dxa" w:w="1535"/>
          </w:tcPr>
          <w:p>
            <w:pPr>
              <w:spacing w:after="20"/>
            </w:pPr>
            <w:r/>
            <w:r>
              <w:rPr>
                <w:sz w:val="17"/>
              </w:rPr>
              <w:t>Rollout plan; monitoring dashboard</w:t>
            </w:r>
          </w:p>
        </w:tc>
        <w:tc>
          <w:tcPr>
            <w:tcW w:type="dxa" w:w="2549"/>
          </w:tcPr>
          <w:p>
            <w:pPr>
              <w:spacing w:after="20"/>
            </w:pPr>
            <w:r/>
            <w:r>
              <w:rPr>
                <w:sz w:val="17"/>
              </w:rPr>
              <w:t>Guardrails within limits; effect CI tracked</w:t>
            </w:r>
          </w:p>
        </w:tc>
        <w:tc>
          <w:tcPr>
            <w:tcW w:type="dxa" w:w="1239"/>
          </w:tcPr>
          <w:p>
            <w:pPr>
              <w:spacing w:after="20"/>
            </w:pPr>
            <w:r/>
            <w:r>
              <w:rPr>
                <w:sz w:val="17"/>
              </w:rPr>
              <w:t>Ongoing, outside the totals below; owner: CMO / Operations</w:t>
            </w:r>
          </w:p>
        </w:tc>
      </w:tr>
    </w:tbl>
    <w:p>
      <w:pPr>
        <w:spacing w:after="40"/>
      </w:pPr>
    </w:p>
    <w:p>
      <w:r>
        <w:rPr>
          <w:b/>
        </w:rPr>
        <w:t>Totals (sum of the six phases above, run sequentially, excluding the ongoing rollout phase):</w:t>
      </w:r>
      <w:r>
        <w:rPr/>
        <w:t xml:space="preserve"> 36–66 weeks, computed as 1+2+3+2+26+2 = 36 and 2+3+4+3+52+2 = 66. Pilot design could overlap with the A1 analysis, which would shorten the lower bound. Effort ranges are provisional placeholders: they depend on team size, data readiness, and approvals, none of which are known. A1 results are available about 6–9 weeks from the start (1+2+3 and 2+3+4), well before the pilot ends.</w:t>
      </w:r>
    </w:p>
    <w:p>
      <w:pPr>
        <w:pStyle w:val="Heading2"/>
      </w:pPr>
      <w:r>
        <w:rPr/>
        <w:t>20. Decision Log</w:t>
      </w:r>
    </w:p>
    <w:tbl>
      <w:tblPr>
        <w:tblStyle w:val="TableGrid"/>
        <w:tblW w:type="auto" w:w="0"/>
        <w:jc w:val="center"/>
        <w:tblLayout w:type="fixed"/>
        <w:tblLook w:firstColumn="1" w:firstRow="1" w:lastColumn="0" w:lastRow="0" w:noHBand="0" w:noVBand="1" w:val="04A0"/>
        <w:tblLayout w:type="fixed"/>
      </w:tblPr>
      <w:tblGrid>
        <w:gridCol w:w="764"/>
        <w:gridCol w:w="2054"/>
        <w:gridCol w:w="1668"/>
        <w:gridCol w:w="1393"/>
        <w:gridCol w:w="1118"/>
        <w:gridCol w:w="1321"/>
        <w:gridCol w:w="1321"/>
      </w:tblGrid>
      <w:tr>
        <w:trPr>
          <w:tblHeader w:val="true"/>
        </w:trPr>
        <w:tc>
          <w:tcPr>
            <w:tcW w:type="dxa" w:w="764"/>
            <w:shd w:val="clear" w:color="auto" w:fill="1F3A5F"/>
          </w:tcPr>
          <w:p>
            <w:r/>
            <w:r>
              <w:rPr>
                <w:b/>
                <w:color w:val="FFFFFF"/>
                <w:sz w:val="15"/>
              </w:rPr>
              <w:t>#</w:t>
            </w:r>
          </w:p>
        </w:tc>
        <w:tc>
          <w:tcPr>
            <w:tcW w:type="dxa" w:w="2054"/>
            <w:shd w:val="clear" w:color="auto" w:fill="1F3A5F"/>
          </w:tcPr>
          <w:p>
            <w:r/>
            <w:r>
              <w:rPr>
                <w:b/>
                <w:color w:val="FFFFFF"/>
                <w:sz w:val="15"/>
              </w:rPr>
              <w:t>Decision / recommendation</w:t>
            </w:r>
          </w:p>
        </w:tc>
        <w:tc>
          <w:tcPr>
            <w:tcW w:type="dxa" w:w="1668"/>
            <w:shd w:val="clear" w:color="auto" w:fill="1F3A5F"/>
          </w:tcPr>
          <w:p>
            <w:r/>
            <w:r>
              <w:rPr>
                <w:b/>
                <w:color w:val="FFFFFF"/>
                <w:sz w:val="15"/>
              </w:rPr>
              <w:t>Rationale</w:t>
            </w:r>
          </w:p>
        </w:tc>
        <w:tc>
          <w:tcPr>
            <w:tcW w:type="dxa" w:w="1393"/>
            <w:shd w:val="clear" w:color="auto" w:fill="1F3A5F"/>
          </w:tcPr>
          <w:p>
            <w:r/>
            <w:r>
              <w:rPr>
                <w:b/>
                <w:color w:val="FFFFFF"/>
                <w:sz w:val="15"/>
              </w:rPr>
              <w:t>Alternatives considered</w:t>
            </w:r>
          </w:p>
        </w:tc>
        <w:tc>
          <w:tcPr>
            <w:tcW w:type="dxa" w:w="1118"/>
            <w:shd w:val="clear" w:color="auto" w:fill="1F3A5F"/>
          </w:tcPr>
          <w:p>
            <w:r/>
            <w:r>
              <w:rPr>
                <w:b/>
                <w:color w:val="FFFFFF"/>
                <w:sz w:val="15"/>
              </w:rPr>
              <w:t>Key assumptions</w:t>
            </w:r>
          </w:p>
        </w:tc>
        <w:tc>
          <w:tcPr>
            <w:tcW w:type="dxa" w:w="1321"/>
            <w:shd w:val="clear" w:color="auto" w:fill="1F3A5F"/>
          </w:tcPr>
          <w:p>
            <w:r/>
            <w:r>
              <w:rPr>
                <w:b/>
                <w:color w:val="FFFFFF"/>
                <w:sz w:val="15"/>
              </w:rPr>
              <w:t>Risk</w:t>
            </w:r>
          </w:p>
        </w:tc>
        <w:tc>
          <w:tcPr>
            <w:tcW w:type="dxa" w:w="1321"/>
            <w:shd w:val="clear" w:color="auto" w:fill="1F3A5F"/>
          </w:tcPr>
          <w:p>
            <w:r/>
            <w:r>
              <w:rPr>
                <w:b/>
                <w:color w:val="FFFFFF"/>
                <w:sz w:val="15"/>
              </w:rPr>
              <w:t>Validation method</w:t>
            </w:r>
          </w:p>
        </w:tc>
      </w:tr>
      <w:tr>
        <w:tc>
          <w:tcPr>
            <w:tcW w:type="dxa" w:w="764"/>
          </w:tcPr>
          <w:p>
            <w:pPr>
              <w:spacing w:after="20"/>
            </w:pPr>
            <w:r/>
            <w:r>
              <w:rPr>
                <w:sz w:val="15"/>
              </w:rPr>
              <w:t>D1</w:t>
            </w:r>
          </w:p>
        </w:tc>
        <w:tc>
          <w:tcPr>
            <w:tcW w:type="dxa" w:w="2054"/>
          </w:tcPr>
          <w:p>
            <w:pPr>
              <w:spacing w:after="20"/>
            </w:pPr>
            <w:r/>
            <w:r>
              <w:rPr>
                <w:sz w:val="15"/>
              </w:rPr>
              <w:t>Do not state "caused a 7-point lift" yet</w:t>
            </w:r>
          </w:p>
        </w:tc>
        <w:tc>
          <w:tcPr>
            <w:tcW w:type="dxa" w:w="1668"/>
          </w:tcPr>
          <w:p>
            <w:pPr>
              <w:spacing w:after="20"/>
            </w:pPr>
            <w:r/>
            <w:r>
              <w:rPr>
                <w:sz w:val="15"/>
              </w:rPr>
              <w:t>The gap is confounded by non-random store selection</w:t>
            </w:r>
          </w:p>
        </w:tc>
        <w:tc>
          <w:tcPr>
            <w:tcW w:type="dxa" w:w="1393"/>
          </w:tcPr>
          <w:p>
            <w:pPr>
              <w:spacing w:after="20"/>
            </w:pPr>
            <w:r/>
            <w:r>
              <w:rPr>
                <w:sz w:val="15"/>
              </w:rPr>
              <w:t>Publish the naive figure</w:t>
            </w:r>
          </w:p>
        </w:tc>
        <w:tc>
          <w:tcPr>
            <w:tcW w:type="dxa" w:w="1118"/>
          </w:tcPr>
          <w:p>
            <w:pPr>
              <w:spacing w:after="20"/>
            </w:pPr>
            <w:r/>
            <w:r>
              <w:rPr>
                <w:sz w:val="15"/>
              </w:rPr>
              <w:t>F2</w:t>
            </w:r>
          </w:p>
        </w:tc>
        <w:tc>
          <w:tcPr>
            <w:tcW w:type="dxa" w:w="1321"/>
          </w:tcPr>
          <w:p>
            <w:pPr>
              <w:spacing w:after="20"/>
            </w:pPr>
            <w:r/>
            <w:r>
              <w:rPr>
                <w:sz w:val="15"/>
              </w:rPr>
              <w:t>Reputational; wrong rollout</w:t>
            </w:r>
          </w:p>
        </w:tc>
        <w:tc>
          <w:tcPr>
            <w:tcW w:type="dxa" w:w="1321"/>
          </w:tcPr>
          <w:p>
            <w:pPr>
              <w:spacing w:after="20"/>
            </w:pPr>
            <w:r/>
            <w:r>
              <w:rPr>
                <w:sz w:val="15"/>
              </w:rPr>
              <w:t>A1 diagnostics, A2</w:t>
            </w:r>
          </w:p>
        </w:tc>
      </w:tr>
      <w:tr>
        <w:tc>
          <w:tcPr>
            <w:tcW w:type="dxa" w:w="764"/>
            <w:shd w:val="clear" w:color="auto" w:fill="F2F5F9"/>
          </w:tcPr>
          <w:p>
            <w:pPr>
              <w:spacing w:after="20"/>
            </w:pPr>
            <w:r/>
            <w:r>
              <w:rPr>
                <w:sz w:val="15"/>
              </w:rPr>
              <w:t>D2</w:t>
            </w:r>
          </w:p>
        </w:tc>
        <w:tc>
          <w:tcPr>
            <w:tcW w:type="dxa" w:w="2054"/>
            <w:shd w:val="clear" w:color="auto" w:fill="F2F5F9"/>
          </w:tcPr>
          <w:p>
            <w:pPr>
              <w:spacing w:after="20"/>
            </w:pPr>
            <w:r/>
            <w:r>
              <w:rPr>
                <w:sz w:val="15"/>
              </w:rPr>
              <w:t>Treat as a causal problem, not a predictive one</w:t>
            </w:r>
          </w:p>
        </w:tc>
        <w:tc>
          <w:tcPr>
            <w:tcW w:type="dxa" w:w="1668"/>
            <w:shd w:val="clear" w:color="auto" w:fill="F2F5F9"/>
          </w:tcPr>
          <w:p>
            <w:pPr>
              <w:spacing w:after="20"/>
            </w:pPr>
            <w:r/>
            <w:r>
              <w:rPr>
                <w:sz w:val="15"/>
              </w:rPr>
              <w:t>Question is about the effect of an action</w:t>
            </w:r>
          </w:p>
        </w:tc>
        <w:tc>
          <w:tcPr>
            <w:tcW w:type="dxa" w:w="1393"/>
            <w:shd w:val="clear" w:color="auto" w:fill="F2F5F9"/>
          </w:tcPr>
          <w:p>
            <w:pPr>
              <w:spacing w:after="20"/>
            </w:pPr>
            <w:r/>
            <w:r>
              <w:rPr>
                <w:sz w:val="15"/>
              </w:rPr>
              <w:t>Predictive model with a treated flag</w:t>
            </w:r>
          </w:p>
        </w:tc>
        <w:tc>
          <w:tcPr>
            <w:tcW w:type="dxa" w:w="1118"/>
            <w:shd w:val="clear" w:color="auto" w:fill="F2F5F9"/>
          </w:tcPr>
          <w:p>
            <w:pPr>
              <w:spacing w:after="20"/>
            </w:pPr>
            <w:r/>
            <w:r>
              <w:rPr>
                <w:sz w:val="15"/>
              </w:rPr>
              <w:t>—</w:t>
            </w:r>
          </w:p>
        </w:tc>
        <w:tc>
          <w:tcPr>
            <w:tcW w:type="dxa" w:w="1321"/>
            <w:shd w:val="clear" w:color="auto" w:fill="F2F5F9"/>
          </w:tcPr>
          <w:p>
            <w:pPr>
              <w:spacing w:after="20"/>
            </w:pPr>
            <w:r/>
            <w:r>
              <w:rPr>
                <w:sz w:val="15"/>
              </w:rPr>
              <w:t>—</w:t>
            </w:r>
          </w:p>
        </w:tc>
        <w:tc>
          <w:tcPr>
            <w:tcW w:type="dxa" w:w="1321"/>
            <w:shd w:val="clear" w:color="auto" w:fill="F2F5F9"/>
          </w:tcPr>
          <w:p>
            <w:pPr>
              <w:spacing w:after="20"/>
            </w:pPr>
            <w:r/>
            <w:r>
              <w:rPr>
                <w:sz w:val="15"/>
              </w:rPr>
              <w:t>Framing review</w:t>
            </w:r>
          </w:p>
        </w:tc>
      </w:tr>
      <w:tr>
        <w:tc>
          <w:tcPr>
            <w:tcW w:type="dxa" w:w="764"/>
          </w:tcPr>
          <w:p>
            <w:pPr>
              <w:spacing w:after="20"/>
            </w:pPr>
            <w:r/>
            <w:r>
              <w:rPr>
                <w:sz w:val="15"/>
              </w:rPr>
              <w:t>D3</w:t>
            </w:r>
          </w:p>
        </w:tc>
        <w:tc>
          <w:tcPr>
            <w:tcW w:type="dxa" w:w="2054"/>
          </w:tcPr>
          <w:p>
            <w:pPr>
              <w:spacing w:after="20"/>
            </w:pPr>
            <w:r/>
            <w:r>
              <w:rPr>
                <w:sz w:val="15"/>
              </w:rPr>
              <w:t>A1 with DiD + synthetic control</w:t>
            </w:r>
          </w:p>
        </w:tc>
        <w:tc>
          <w:tcPr>
            <w:tcW w:type="dxa" w:w="1668"/>
          </w:tcPr>
          <w:p>
            <w:pPr>
              <w:spacing w:after="20"/>
            </w:pPr>
            <w:r/>
            <w:r>
              <w:rPr>
                <w:sz w:val="15"/>
              </w:rPr>
              <w:t>Treatment at known date, pre/post data, many comparison stores</w:t>
            </w:r>
          </w:p>
        </w:tc>
        <w:tc>
          <w:tcPr>
            <w:tcW w:type="dxa" w:w="1393"/>
          </w:tcPr>
          <w:p>
            <w:pPr>
              <w:spacing w:after="20"/>
            </w:pPr>
            <w:r/>
            <w:r>
              <w:rPr>
                <w:sz w:val="15"/>
              </w:rPr>
              <w:t>Naive comparison, regression only, interrupted time series</w:t>
            </w:r>
          </w:p>
        </w:tc>
        <w:tc>
          <w:tcPr>
            <w:tcW w:type="dxa" w:w="1118"/>
          </w:tcPr>
          <w:p>
            <w:pPr>
              <w:spacing w:after="20"/>
            </w:pPr>
            <w:r/>
            <w:r>
              <w:rPr>
                <w:sz w:val="15"/>
              </w:rPr>
              <w:t>AS3, AS4, AS5</w:t>
            </w:r>
          </w:p>
        </w:tc>
        <w:tc>
          <w:tcPr>
            <w:tcW w:type="dxa" w:w="1321"/>
          </w:tcPr>
          <w:p>
            <w:pPr>
              <w:spacing w:after="20"/>
            </w:pPr>
            <w:r/>
            <w:r>
              <w:rPr>
                <w:sz w:val="15"/>
              </w:rPr>
              <w:t>Parallel trends fail</w:t>
            </w:r>
          </w:p>
        </w:tc>
        <w:tc>
          <w:tcPr>
            <w:tcW w:type="dxa" w:w="1321"/>
          </w:tcPr>
          <w:p>
            <w:pPr>
              <w:spacing w:after="20"/>
            </w:pPr>
            <w:r/>
            <w:r>
              <w:rPr>
                <w:sz w:val="15"/>
              </w:rPr>
              <w:t>Event study, placebos</w:t>
            </w:r>
          </w:p>
        </w:tc>
      </w:tr>
      <w:tr>
        <w:tc>
          <w:tcPr>
            <w:tcW w:type="dxa" w:w="764"/>
            <w:shd w:val="clear" w:color="auto" w:fill="F2F5F9"/>
          </w:tcPr>
          <w:p>
            <w:pPr>
              <w:spacing w:after="20"/>
            </w:pPr>
            <w:r/>
            <w:r>
              <w:rPr>
                <w:sz w:val="15"/>
              </w:rPr>
              <w:t>D4</w:t>
            </w:r>
          </w:p>
        </w:tc>
        <w:tc>
          <w:tcPr>
            <w:tcW w:type="dxa" w:w="2054"/>
            <w:shd w:val="clear" w:color="auto" w:fill="F2F5F9"/>
          </w:tcPr>
          <w:p>
            <w:pPr>
              <w:spacing w:after="20"/>
            </w:pPr>
            <w:r/>
            <w:r>
              <w:rPr>
                <w:sz w:val="15"/>
              </w:rPr>
              <w:t>Margin net of offer cost as the primary decision outcome, level scale</w:t>
            </w:r>
          </w:p>
        </w:tc>
        <w:tc>
          <w:tcPr>
            <w:tcW w:type="dxa" w:w="1668"/>
            <w:shd w:val="clear" w:color="auto" w:fill="F2F5F9"/>
          </w:tcPr>
          <w:p>
            <w:pPr>
              <w:spacing w:after="20"/>
            </w:pPr>
            <w:r/>
            <w:r>
              <w:rPr>
                <w:sz w:val="15"/>
              </w:rPr>
              <w:t>Sales can be bought with discounts; margin can be negative</w:t>
            </w:r>
          </w:p>
        </w:tc>
        <w:tc>
          <w:tcPr>
            <w:tcW w:type="dxa" w:w="1393"/>
            <w:shd w:val="clear" w:color="auto" w:fill="F2F5F9"/>
          </w:tcPr>
          <w:p>
            <w:pPr>
              <w:spacing w:after="20"/>
            </w:pPr>
            <w:r/>
            <w:r>
              <w:rPr>
                <w:sz w:val="15"/>
              </w:rPr>
              <w:t>Sales only; log margin</w:t>
            </w:r>
          </w:p>
        </w:tc>
        <w:tc>
          <w:tcPr>
            <w:tcW w:type="dxa" w:w="1118"/>
            <w:shd w:val="clear" w:color="auto" w:fill="F2F5F9"/>
          </w:tcPr>
          <w:p>
            <w:pPr>
              <w:spacing w:after="20"/>
            </w:pPr>
            <w:r/>
            <w:r>
              <w:rPr>
                <w:sz w:val="15"/>
              </w:rPr>
              <w:t>Q2</w:t>
            </w:r>
          </w:p>
        </w:tc>
        <w:tc>
          <w:tcPr>
            <w:tcW w:type="dxa" w:w="1321"/>
            <w:shd w:val="clear" w:color="auto" w:fill="F2F5F9"/>
          </w:tcPr>
          <w:p>
            <w:pPr>
              <w:spacing w:after="20"/>
            </w:pPr>
            <w:r/>
            <w:r>
              <w:rPr>
                <w:sz w:val="15"/>
              </w:rPr>
              <w:t>Data not available (fallback: sales × agreed margin rate)</w:t>
            </w:r>
          </w:p>
        </w:tc>
        <w:tc>
          <w:tcPr>
            <w:tcW w:type="dxa" w:w="1321"/>
            <w:shd w:val="clear" w:color="auto" w:fill="F2F5F9"/>
          </w:tcPr>
          <w:p>
            <w:pPr>
              <w:spacing w:after="20"/>
            </w:pPr>
            <w:r/>
            <w:r>
              <w:rPr>
                <w:sz w:val="15"/>
              </w:rPr>
              <w:t>Data audit</w:t>
            </w:r>
          </w:p>
        </w:tc>
      </w:tr>
      <w:tr>
        <w:tc>
          <w:tcPr>
            <w:tcW w:type="dxa" w:w="764"/>
          </w:tcPr>
          <w:p>
            <w:pPr>
              <w:spacing w:after="20"/>
            </w:pPr>
            <w:r/>
            <w:r>
              <w:rPr>
                <w:sz w:val="15"/>
              </w:rPr>
              <w:t>D5</w:t>
            </w:r>
          </w:p>
        </w:tc>
        <w:tc>
          <w:tcPr>
            <w:tcW w:type="dxa" w:w="2054"/>
          </w:tcPr>
          <w:p>
            <w:pPr>
              <w:spacing w:after="20"/>
            </w:pPr>
            <w:r/>
            <w:r>
              <w:rPr>
                <w:sz w:val="15"/>
              </w:rPr>
              <w:t>Randomise rollout among the 180 untreated stores (A2)</w:t>
            </w:r>
          </w:p>
        </w:tc>
        <w:tc>
          <w:tcPr>
            <w:tcW w:type="dxa" w:w="1668"/>
          </w:tcPr>
          <w:p>
            <w:pPr>
              <w:spacing w:after="20"/>
            </w:pPr>
            <w:r/>
            <w:r>
              <w:rPr>
                <w:sz w:val="15"/>
              </w:rPr>
              <w:t>Removes selection bias</w:t>
            </w:r>
          </w:p>
        </w:tc>
        <w:tc>
          <w:tcPr>
            <w:tcW w:type="dxa" w:w="1393"/>
          </w:tcPr>
          <w:p>
            <w:pPr>
              <w:spacing w:after="20"/>
            </w:pPr>
            <w:r/>
            <w:r>
              <w:rPr>
                <w:sz w:val="15"/>
              </w:rPr>
              <w:t>Further observational analysis only</w:t>
            </w:r>
          </w:p>
        </w:tc>
        <w:tc>
          <w:tcPr>
            <w:tcW w:type="dxa" w:w="1118"/>
          </w:tcPr>
          <w:p>
            <w:pPr>
              <w:spacing w:after="20"/>
            </w:pPr>
            <w:r/>
            <w:r>
              <w:rPr>
                <w:sz w:val="15"/>
              </w:rPr>
              <w:t>AS6</w:t>
            </w:r>
          </w:p>
        </w:tc>
        <w:tc>
          <w:tcPr>
            <w:tcW w:type="dxa" w:w="1321"/>
          </w:tcPr>
          <w:p>
            <w:pPr>
              <w:spacing w:after="20"/>
            </w:pPr>
            <w:r/>
            <w:r>
              <w:rPr>
                <w:sz w:val="15"/>
              </w:rPr>
              <w:t>Operational resistance</w:t>
            </w:r>
          </w:p>
        </w:tc>
        <w:tc>
          <w:tcPr>
            <w:tcW w:type="dxa" w:w="1321"/>
          </w:tcPr>
          <w:p>
            <w:pPr>
              <w:spacing w:after="20"/>
            </w:pPr>
            <w:r/>
            <w:r>
              <w:rPr>
                <w:sz w:val="15"/>
              </w:rPr>
              <w:t>Balance, SRM</w:t>
            </w:r>
          </w:p>
        </w:tc>
      </w:tr>
      <w:tr>
        <w:tc>
          <w:tcPr>
            <w:tcW w:type="dxa" w:w="764"/>
            <w:shd w:val="clear" w:color="auto" w:fill="F2F5F9"/>
          </w:tcPr>
          <w:p>
            <w:pPr>
              <w:spacing w:after="20"/>
            </w:pPr>
            <w:r/>
            <w:r>
              <w:rPr>
                <w:sz w:val="15"/>
              </w:rPr>
              <w:t>D6</w:t>
            </w:r>
          </w:p>
        </w:tc>
        <w:tc>
          <w:tcPr>
            <w:tcW w:type="dxa" w:w="2054"/>
            <w:shd w:val="clear" w:color="auto" w:fill="F2F5F9"/>
          </w:tcPr>
          <w:p>
            <w:pPr>
              <w:spacing w:after="20"/>
            </w:pPr>
            <w:r/>
            <w:r>
              <w:rPr>
                <w:sz w:val="15"/>
              </w:rPr>
              <w:t>Stepped-wedge preferred when full rollout is intended; parallel-arm as alternative</w:t>
            </w:r>
          </w:p>
        </w:tc>
        <w:tc>
          <w:tcPr>
            <w:tcW w:type="dxa" w:w="1668"/>
            <w:shd w:val="clear" w:color="auto" w:fill="F2F5F9"/>
          </w:tcPr>
          <w:p>
            <w:pPr>
              <w:spacing w:after="20"/>
            </w:pPr>
            <w:r/>
            <w:r>
              <w:rPr>
                <w:sz w:val="15"/>
              </w:rPr>
              <w:t>Everyone gets the feature eventually</w:t>
            </w:r>
          </w:p>
        </w:tc>
        <w:tc>
          <w:tcPr>
            <w:tcW w:type="dxa" w:w="1393"/>
            <w:shd w:val="clear" w:color="auto" w:fill="F2F5F9"/>
          </w:tcPr>
          <w:p>
            <w:pPr>
              <w:spacing w:after="20"/>
            </w:pPr>
            <w:r/>
            <w:r>
              <w:rPr>
                <w:sz w:val="15"/>
              </w:rPr>
              <w:t>Parallel arm</w:t>
            </w:r>
          </w:p>
        </w:tc>
        <w:tc>
          <w:tcPr>
            <w:tcW w:type="dxa" w:w="1118"/>
            <w:shd w:val="clear" w:color="auto" w:fill="F2F5F9"/>
          </w:tcPr>
          <w:p>
            <w:pPr>
              <w:spacing w:after="20"/>
            </w:pPr>
            <w:r/>
            <w:r>
              <w:rPr>
                <w:sz w:val="15"/>
              </w:rPr>
              <w:t>Time-trend model is credible</w:t>
            </w:r>
          </w:p>
        </w:tc>
        <w:tc>
          <w:tcPr>
            <w:tcW w:type="dxa" w:w="1321"/>
            <w:shd w:val="clear" w:color="auto" w:fill="F2F5F9"/>
          </w:tcPr>
          <w:p>
            <w:pPr>
              <w:spacing w:after="20"/>
            </w:pPr>
            <w:r/>
            <w:r>
              <w:rPr>
                <w:sz w:val="15"/>
              </w:rPr>
              <w:t>Time confounding</w:t>
            </w:r>
          </w:p>
        </w:tc>
        <w:tc>
          <w:tcPr>
            <w:tcW w:type="dxa" w:w="1321"/>
            <w:shd w:val="clear" w:color="auto" w:fill="F2F5F9"/>
          </w:tcPr>
          <w:p>
            <w:pPr>
              <w:spacing w:after="20"/>
            </w:pPr>
            <w:r/>
            <w:r>
              <w:rPr>
                <w:sz w:val="15"/>
              </w:rPr>
              <w:t>Simulation, secular-trend checks</w:t>
            </w:r>
          </w:p>
        </w:tc>
      </w:tr>
      <w:tr>
        <w:tc>
          <w:tcPr>
            <w:tcW w:type="dxa" w:w="764"/>
          </w:tcPr>
          <w:p>
            <w:pPr>
              <w:spacing w:after="20"/>
            </w:pPr>
            <w:r/>
            <w:r>
              <w:rPr>
                <w:sz w:val="15"/>
              </w:rPr>
              <w:t>D7</w:t>
            </w:r>
          </w:p>
        </w:tc>
        <w:tc>
          <w:tcPr>
            <w:tcW w:type="dxa" w:w="2054"/>
          </w:tcPr>
          <w:p>
            <w:pPr>
              <w:spacing w:after="20"/>
            </w:pPr>
            <w:r/>
            <w:r>
              <w:rPr>
                <w:sz w:val="15"/>
              </w:rPr>
              <w:t>Power via simulation on real pre-period data</w:t>
            </w:r>
          </w:p>
        </w:tc>
        <w:tc>
          <w:tcPr>
            <w:tcW w:type="dxa" w:w="1668"/>
          </w:tcPr>
          <w:p>
            <w:pPr>
              <w:spacing w:after="20"/>
            </w:pPr>
            <w:r/>
            <w:r>
              <w:rPr>
                <w:sz w:val="15"/>
              </w:rPr>
              <w:t>No invented variance inputs</w:t>
            </w:r>
          </w:p>
        </w:tc>
        <w:tc>
          <w:tcPr>
            <w:tcW w:type="dxa" w:w="1393"/>
          </w:tcPr>
          <w:p>
            <w:pPr>
              <w:spacing w:after="20"/>
            </w:pPr>
            <w:r/>
            <w:r>
              <w:rPr>
                <w:sz w:val="15"/>
              </w:rPr>
              <w:t>Closed-form with assumed ICC</w:t>
            </w:r>
          </w:p>
        </w:tc>
        <w:tc>
          <w:tcPr>
            <w:tcW w:type="dxa" w:w="1118"/>
          </w:tcPr>
          <w:p>
            <w:pPr>
              <w:spacing w:after="20"/>
            </w:pPr>
            <w:r/>
            <w:r>
              <w:rPr>
                <w:sz w:val="15"/>
              </w:rPr>
              <w:t>AS3</w:t>
            </w:r>
          </w:p>
        </w:tc>
        <w:tc>
          <w:tcPr>
            <w:tcW w:type="dxa" w:w="1321"/>
          </w:tcPr>
          <w:p>
            <w:pPr>
              <w:spacing w:after="20"/>
            </w:pPr>
            <w:r/>
            <w:r>
              <w:rPr>
                <w:sz w:val="15"/>
              </w:rPr>
              <w:t>Under-powered</w:t>
            </w:r>
          </w:p>
        </w:tc>
        <w:tc>
          <w:tcPr>
            <w:tcW w:type="dxa" w:w="1321"/>
          </w:tcPr>
          <w:p>
            <w:pPr>
              <w:spacing w:after="20"/>
            </w:pPr>
            <w:r/>
            <w:r>
              <w:rPr>
                <w:sz w:val="15"/>
              </w:rPr>
              <w:t>Simulation</w:t>
            </w:r>
          </w:p>
        </w:tc>
      </w:tr>
      <w:tr>
        <w:tc>
          <w:tcPr>
            <w:tcW w:type="dxa" w:w="764"/>
            <w:shd w:val="clear" w:color="auto" w:fill="F2F5F9"/>
          </w:tcPr>
          <w:p>
            <w:pPr>
              <w:spacing w:after="20"/>
            </w:pPr>
            <w:r/>
            <w:r>
              <w:rPr>
                <w:sz w:val="15"/>
              </w:rPr>
              <w:t>D8</w:t>
            </w:r>
          </w:p>
        </w:tc>
        <w:tc>
          <w:tcPr>
            <w:tcW w:type="dxa" w:w="2054"/>
            <w:shd w:val="clear" w:color="auto" w:fill="F2F5F9"/>
          </w:tcPr>
          <w:p>
            <w:pPr>
              <w:spacing w:after="20"/>
            </w:pPr>
            <w:r/>
            <w:r>
              <w:rPr>
                <w:sz w:val="15"/>
              </w:rPr>
              <w:t>Pre-register analysis and decision rule</w:t>
            </w:r>
          </w:p>
        </w:tc>
        <w:tc>
          <w:tcPr>
            <w:tcW w:type="dxa" w:w="1668"/>
            <w:shd w:val="clear" w:color="auto" w:fill="F2F5F9"/>
          </w:tcPr>
          <w:p>
            <w:pPr>
              <w:spacing w:after="20"/>
            </w:pPr>
            <w:r/>
            <w:r>
              <w:rPr>
                <w:sz w:val="15"/>
              </w:rPr>
              <w:t>Limits researcher degrees of freedom</w:t>
            </w:r>
          </w:p>
        </w:tc>
        <w:tc>
          <w:tcPr>
            <w:tcW w:type="dxa" w:w="1393"/>
            <w:shd w:val="clear" w:color="auto" w:fill="F2F5F9"/>
          </w:tcPr>
          <w:p>
            <w:pPr>
              <w:spacing w:after="20"/>
            </w:pPr>
            <w:r/>
            <w:r>
              <w:rPr>
                <w:sz w:val="15"/>
              </w:rPr>
              <w:t>Ad hoc analysis</w:t>
            </w:r>
          </w:p>
        </w:tc>
        <w:tc>
          <w:tcPr>
            <w:tcW w:type="dxa" w:w="1118"/>
            <w:shd w:val="clear" w:color="auto" w:fill="F2F5F9"/>
          </w:tcPr>
          <w:p>
            <w:pPr>
              <w:spacing w:after="20"/>
            </w:pPr>
            <w:r/>
            <w:r>
              <w:rPr>
                <w:sz w:val="15"/>
              </w:rPr>
              <w:t>—</w:t>
            </w:r>
          </w:p>
        </w:tc>
        <w:tc>
          <w:tcPr>
            <w:tcW w:type="dxa" w:w="1321"/>
            <w:shd w:val="clear" w:color="auto" w:fill="F2F5F9"/>
          </w:tcPr>
          <w:p>
            <w:pPr>
              <w:spacing w:after="20"/>
            </w:pPr>
            <w:r/>
            <w:r>
              <w:rPr>
                <w:sz w:val="15"/>
              </w:rPr>
              <w:t>Rigidity</w:t>
            </w:r>
          </w:p>
        </w:tc>
        <w:tc>
          <w:tcPr>
            <w:tcW w:type="dxa" w:w="1321"/>
            <w:shd w:val="clear" w:color="auto" w:fill="F2F5F9"/>
          </w:tcPr>
          <w:p>
            <w:pPr>
              <w:spacing w:after="20"/>
            </w:pPr>
            <w:r/>
            <w:r>
              <w:rPr>
                <w:sz w:val="15"/>
              </w:rPr>
              <w:t>Plan sign-off</w:t>
            </w:r>
          </w:p>
        </w:tc>
      </w:tr>
      <w:tr>
        <w:tc>
          <w:tcPr>
            <w:tcW w:type="dxa" w:w="764"/>
          </w:tcPr>
          <w:p>
            <w:pPr>
              <w:spacing w:after="20"/>
            </w:pPr>
            <w:r/>
            <w:r>
              <w:rPr>
                <w:sz w:val="15"/>
              </w:rPr>
              <w:t>D9</w:t>
            </w:r>
          </w:p>
        </w:tc>
        <w:tc>
          <w:tcPr>
            <w:tcW w:type="dxa" w:w="2054"/>
          </w:tcPr>
          <w:p>
            <w:pPr>
              <w:spacing w:after="20"/>
            </w:pPr>
            <w:r/>
            <w:r>
              <w:rPr>
                <w:sz w:val="15"/>
              </w:rPr>
              <w:t>Defer uplift/targeting model until randomised data exist</w:t>
            </w:r>
          </w:p>
        </w:tc>
        <w:tc>
          <w:tcPr>
            <w:tcW w:type="dxa" w:w="1668"/>
          </w:tcPr>
          <w:p>
            <w:pPr>
              <w:spacing w:after="20"/>
            </w:pPr>
            <w:r/>
            <w:r>
              <w:rPr>
                <w:sz w:val="15"/>
              </w:rPr>
              <w:t>Needs causal labels</w:t>
            </w:r>
          </w:p>
        </w:tc>
        <w:tc>
          <w:tcPr>
            <w:tcW w:type="dxa" w:w="1393"/>
          </w:tcPr>
          <w:p>
            <w:pPr>
              <w:spacing w:after="20"/>
            </w:pPr>
            <w:r/>
            <w:r>
              <w:rPr>
                <w:sz w:val="15"/>
              </w:rPr>
              <w:t>Train on the 40 stores now</w:t>
            </w:r>
          </w:p>
        </w:tc>
        <w:tc>
          <w:tcPr>
            <w:tcW w:type="dxa" w:w="1118"/>
          </w:tcPr>
          <w:p>
            <w:pPr>
              <w:spacing w:after="20"/>
            </w:pPr>
            <w:r/>
            <w:r>
              <w:rPr>
                <w:sz w:val="15"/>
              </w:rPr>
              <w:t>—</w:t>
            </w:r>
          </w:p>
        </w:tc>
        <w:tc>
          <w:tcPr>
            <w:tcW w:type="dxa" w:w="1321"/>
          </w:tcPr>
          <w:p>
            <w:pPr>
              <w:spacing w:after="20"/>
            </w:pPr>
            <w:r/>
            <w:r>
              <w:rPr>
                <w:sz w:val="15"/>
              </w:rPr>
              <w:t>Biased targeting</w:t>
            </w:r>
          </w:p>
        </w:tc>
        <w:tc>
          <w:tcPr>
            <w:tcW w:type="dxa" w:w="1321"/>
          </w:tcPr>
          <w:p>
            <w:pPr>
              <w:spacing w:after="20"/>
            </w:pPr>
            <w:r/>
            <w:r>
              <w:rPr>
                <w:sz w:val="15"/>
              </w:rPr>
              <w:t>Qini/AUUC on randomised holdout</w:t>
            </w:r>
          </w:p>
        </w:tc>
      </w:tr>
    </w:tbl>
    <w:p>
      <w:pPr>
        <w:spacing w:after="40"/>
      </w:pPr>
    </w:p>
    <w:p>
      <w:pPr>
        <w:pStyle w:val="Heading2"/>
      </w:pPr>
      <w:r>
        <w:rPr/>
        <w:t>21. References</w:t>
      </w:r>
    </w:p>
    <w:p>
      <w:r>
        <w:rPr/>
        <w:t xml:space="preserve">No external sources were consulted in this run. Method names (difference-in-differences, synthetic control, stepped-wedge, Callaway–Sant'Anna, Sun–Abraham, Rambachan–Roth, wild-cluster bootstrap) refer to standard published methods; </w:t>
      </w:r>
      <w:r>
        <w:rPr>
          <w:b/>
        </w:rPr>
        <w:t>full citations are still to be added and verified</w:t>
      </w:r>
      <w:r>
        <w:rPr/>
        <w:t xml:space="preserve"> before client release. Regulatory references (DPDP Act 2023) are to be verified with the client's legal team.</w:t>
      </w:r>
    </w:p>
    <w:p>
      <w:pPr>
        <w:pStyle w:val="Heading2"/>
      </w:pPr>
      <w:r>
        <w:rPr/>
        <w:t>Glossary</w:t>
      </w:r>
    </w:p>
    <w:p>
      <w:pPr>
        <w:pStyle w:val="ListBullet"/>
        <w:spacing w:after="40"/>
        <w:ind w:left="357" w:hanging="357"/>
      </w:pPr>
      <w:r>
        <w:rPr>
          <w:b/>
        </w:rPr>
        <w:t>ATT / ATE:</w:t>
      </w:r>
      <w:r>
        <w:rPr/>
        <w:t xml:space="preserve"> average effect on the stores that got the feature / average effect across a typical store.</w:t>
      </w:r>
    </w:p>
    <w:p>
      <w:pPr>
        <w:pStyle w:val="ListBullet"/>
        <w:spacing w:after="40"/>
        <w:ind w:left="357" w:hanging="357"/>
      </w:pPr>
      <w:r>
        <w:rPr>
          <w:b/>
        </w:rPr>
        <w:t>DiD (difference-in-differences):</w:t>
      </w:r>
      <w:r>
        <w:rPr/>
        <w:t xml:space="preserve"> compares the change over time in treated stores with the change in comparison stores.</w:t>
      </w:r>
    </w:p>
    <w:p>
      <w:pPr>
        <w:pStyle w:val="ListBullet"/>
        <w:spacing w:after="40"/>
        <w:ind w:left="357" w:hanging="357"/>
      </w:pPr>
      <w:r>
        <w:rPr>
          <w:b/>
        </w:rPr>
        <w:t>Parallel trends:</w:t>
      </w:r>
      <w:r>
        <w:rPr/>
        <w:t xml:space="preserve"> treated and comparison stores would have moved together had the feature not been launched.</w:t>
      </w:r>
    </w:p>
    <w:p>
      <w:pPr>
        <w:pStyle w:val="ListBullet"/>
        <w:spacing w:after="40"/>
        <w:ind w:left="357" w:hanging="357"/>
      </w:pPr>
      <w:r>
        <w:rPr>
          <w:b/>
        </w:rPr>
        <w:t>Synthetic control:</w:t>
      </w:r>
      <w:r>
        <w:rPr/>
        <w:t xml:space="preserve"> a weighted blend of untreated stores built to mimic a treated store's history.</w:t>
      </w:r>
    </w:p>
    <w:p>
      <w:pPr>
        <w:pStyle w:val="ListBullet"/>
        <w:spacing w:after="40"/>
        <w:ind w:left="357" w:hanging="357"/>
      </w:pPr>
      <w:r>
        <w:rPr>
          <w:b/>
        </w:rPr>
        <w:t>SUTVA / spillover:</w:t>
      </w:r>
      <w:r>
        <w:rPr/>
        <w:t xml:space="preserve"> one store's treatment must not change another store's sales; spillover breaks this.</w:t>
      </w:r>
    </w:p>
    <w:p>
      <w:pPr>
        <w:pStyle w:val="ListBullet"/>
        <w:spacing w:after="40"/>
        <w:ind w:left="357" w:hanging="357"/>
      </w:pPr>
      <w:r>
        <w:rPr>
          <w:b/>
        </w:rPr>
        <w:t>SRM:</w:t>
      </w:r>
      <w:r>
        <w:rPr/>
        <w:t xml:space="preserve"> sample-ratio mismatch, a check that the randomised split came out as planned.</w:t>
      </w:r>
    </w:p>
    <w:p>
      <w:pPr>
        <w:pStyle w:val="ListBullet"/>
        <w:spacing w:after="40"/>
        <w:ind w:left="357" w:hanging="357"/>
      </w:pPr>
      <w:r>
        <w:rPr>
          <w:b/>
        </w:rPr>
        <w:t>SMD:</w:t>
      </w:r>
      <w:r>
        <w:rPr/>
        <w:t xml:space="preserve"> standardized mean difference, a measure of how well-balanced two groups are.</w:t>
      </w:r>
    </w:p>
    <w:p>
      <w:pPr>
        <w:pStyle w:val="ListBullet"/>
        <w:spacing w:after="40"/>
        <w:ind w:left="357" w:hanging="357"/>
      </w:pPr>
      <w:r>
        <w:rPr>
          <w:b/>
        </w:rPr>
        <w:t>CUPED:</w:t>
      </w:r>
      <w:r>
        <w:rPr/>
        <w:t xml:space="preserve"> variance reduction using pre-period data.</w:t>
      </w:r>
    </w:p>
    <w:p>
      <w:pPr>
        <w:pStyle w:val="ListBullet"/>
        <w:spacing w:after="40"/>
        <w:ind w:left="357" w:hanging="357"/>
      </w:pPr>
      <w:r>
        <w:rPr>
          <w:b/>
        </w:rPr>
        <w:t>RMSPE:</w:t>
      </w:r>
      <w:r>
        <w:rPr/>
        <w:t xml:space="preserve"> error between a synthetic control and the real store before launch.</w:t>
      </w:r>
    </w:p>
    <w:p>
      <w:pPr>
        <w:pStyle w:val="ListBullet"/>
        <w:spacing w:after="40"/>
        <w:ind w:left="357" w:hanging="357"/>
      </w:pPr>
      <w:r>
        <w:rPr>
          <w:b/>
        </w:rPr>
        <w:t>Holm / Benjamini–Hochberg:</w:t>
      </w:r>
      <w:r>
        <w:rPr/>
        <w:t xml:space="preserve"> methods that adjust for testing many outcomes at once.</w:t>
      </w:r>
    </w:p>
    <w:p>
      <w:pPr>
        <w:pStyle w:val="ListBullet"/>
        <w:spacing w:after="40"/>
        <w:ind w:left="357" w:hanging="357"/>
      </w:pPr>
      <w:r>
        <w:rPr>
          <w:b/>
        </w:rPr>
        <w:t>Alpha-spending:</w:t>
      </w:r>
      <w:r>
        <w:rPr/>
        <w:t xml:space="preserve"> a pre-set budget for false-positive risk across interim looks.</w:t>
      </w: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Page </w:t>
    </w:r>
    <w:r>
      <w:fldChar w:fldCharType="begin"/>
      <w:instrText xml:space="preserve">PAGE</w:instrText>
      <w:fldChar w:fldCharType="separate"/>
      <w:t>1</w:t>
      <w:fldChar w:fldCharType="end"/>
    </w:r>
    <w:r>
      <w:rPr>
        <w:color w:val="595959"/>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Personalised Offers Feature — Causal Impact &amp; Rollout Decision — Data Science Solution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eastAsia="Calibri"/>
      <w:b/>
      <w:bCs/>
      <w:i/>
      <w:iCs/>
      <w:color w:val="2E75B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