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2E75B6"/>
          <w:sz w:val="22"/>
        </w:rPr>
        <w:t>DATA SCIENCE SOLUTION PLAN</w:t>
      </w:r>
    </w:p>
    <w:p>
      <w:pPr>
        <w:spacing w:after="360"/>
        <w:pBdr>
          <w:left w:val="single" w:sz="18" w:space="8" w:color="1F3A5F"/>
        </w:pBdr>
      </w:pPr>
      <w:r>
        <w:rPr>
          <w:b/>
          <w:color w:val="1F3A5F"/>
          <w:sz w:val="52"/>
        </w:rPr>
        <w:t>Store-Level Weekly Demand Forecasting &amp; Stock-out Reduction — Data Science Solution Plan</w:t>
      </w:r>
    </w:p>
    <w:tbl>
      <w:tblPr>
        <w:tblW w:type="auto" w:w="0"/>
        <w:jc w:val="left"/>
        <w:tblLook w:firstColumn="1" w:firstRow="1" w:lastColumn="0" w:lastRow="0" w:noHBand="0" w:noVBand="1" w:val="04A0"/>
      </w:tblPr>
      <w:tblGrid>
        <w:gridCol w:w="4819"/>
        <w:gridCol w:w="4819"/>
      </w:tblGrid>
      <w:tr>
        <w:tc>
          <w:tcPr>
            <w:tcW w:type="dxa" w:w="2268"/>
          </w:tcPr>
          <w:p>
            <w:r/>
            <w:r>
              <w:rPr>
                <w:b/>
                <w:color w:val="595959"/>
              </w:rPr>
              <w:t>Client</w:t>
            </w:r>
          </w:p>
        </w:tc>
        <w:tc>
          <w:tcPr>
            <w:tcW w:type="dxa" w:w="6236"/>
          </w:tcPr>
          <w:p>
            <w:r/>
            <w:r>
              <w:rPr/>
              <w:t>Client (mid-size Indian grocery &amp; FMCG retail chain)</w:t>
            </w:r>
          </w:p>
        </w:tc>
      </w:tr>
      <w:tr>
        <w:tc>
          <w:tcPr>
            <w:tcW w:type="dxa" w:w="2268"/>
          </w:tcPr>
          <w:p>
            <w:r/>
            <w:r>
              <w:rPr>
                <w:b/>
                <w:color w:val="595959"/>
              </w:rPr>
              <w:t>Industry</w:t>
            </w:r>
          </w:p>
        </w:tc>
        <w:tc>
          <w:tcPr>
            <w:tcW w:type="dxa" w:w="6236"/>
          </w:tcPr>
          <w:p>
            <w:r/>
            <w:r>
              <w:rPr/>
              <w:t>Retail</w:t>
            </w:r>
          </w:p>
        </w:tc>
      </w:tr>
      <w:tr>
        <w:tc>
          <w:tcPr>
            <w:tcW w:type="dxa" w:w="2268"/>
          </w:tcPr>
          <w:p>
            <w:r/>
            <w:r>
              <w:rPr>
                <w:b/>
                <w:color w:val="595959"/>
              </w:rPr>
              <w:t>Prepared by</w:t>
            </w:r>
          </w:p>
        </w:tc>
        <w:tc>
          <w:tcPr>
            <w:tcW w:type="dxa" w:w="6236"/>
          </w:tcPr>
          <w:p>
            <w:r/>
            <w:r>
              <w:rPr/>
              <w:t>Data Science Solution Architecture team</w:t>
            </w:r>
          </w:p>
        </w:tc>
      </w:tr>
      <w:tr>
        <w:tc>
          <w:tcPr>
            <w:tcW w:type="dxa" w:w="2268"/>
          </w:tcPr>
          <w:p>
            <w:r/>
            <w:r>
              <w:rPr>
                <w:b/>
                <w:color w:val="595959"/>
              </w:rPr>
              <w:t>Date</w:t>
            </w:r>
          </w:p>
        </w:tc>
        <w:tc>
          <w:tcPr>
            <w:tcW w:type="dxa" w:w="6236"/>
          </w:tcPr>
          <w:p>
            <w:r/>
            <w:r>
              <w:rPr/>
              <w:t>2026-10-14</w:t>
            </w:r>
          </w:p>
        </w:tc>
      </w:tr>
      <w:tr>
        <w:tc>
          <w:tcPr>
            <w:tcW w:type="dxa" w:w="2268"/>
          </w:tcPr>
          <w:p>
            <w:r/>
            <w:r>
              <w:rPr>
                <w:b/>
                <w:color w:val="595959"/>
              </w:rPr>
              <w:t>Version</w:t>
            </w:r>
          </w:p>
        </w:tc>
        <w:tc>
          <w:tcPr>
            <w:tcW w:type="dxa" w:w="6236"/>
          </w:tcPr>
          <w:p>
            <w:r/>
            <w:r>
              <w:rPr/>
              <w:t>0.1 (draft)</w:t>
            </w:r>
          </w:p>
        </w:tc>
      </w:tr>
      <w:tr>
        <w:tc>
          <w:tcPr>
            <w:tcW w:type="dxa" w:w="2268"/>
          </w:tcPr>
          <w:p>
            <w:r/>
            <w:r>
              <w:rPr>
                <w:b/>
                <w:color w:val="595959"/>
              </w:rPr>
              <w:t>Plan depth</w:t>
            </w:r>
          </w:p>
        </w:tc>
        <w:tc>
          <w:tcPr>
            <w:tcW w:type="dxa" w:w="6236"/>
          </w:tcPr>
          <w:p>
            <w:r/>
            <w:r>
              <w:rPr/>
              <w:t>Standard</w:t>
            </w:r>
          </w:p>
        </w:tc>
      </w:tr>
      <w:tr>
        <w:tc>
          <w:tcPr>
            <w:tcW w:type="dxa" w:w="2268"/>
          </w:tcPr>
          <w:p>
            <w:r/>
            <w:r>
              <w:rPr>
                <w:b/>
                <w:color w:val="595959"/>
              </w:rPr>
              <w:t>Classification</w:t>
            </w:r>
          </w:p>
        </w:tc>
        <w:tc>
          <w:tcPr>
            <w:tcW w:type="dxa" w:w="6236"/>
          </w:tcPr>
          <w:p>
            <w:r/>
            <w:r>
              <w:rPr/>
              <w:t>Confidential</w:t>
            </w:r>
          </w:p>
        </w:tc>
      </w:tr>
    </w:tbl>
    <w:p/>
    <w:p>
      <w:r>
        <w:rPr>
          <w:i/>
          <w:color w:val="595959"/>
          <w:sz w:val="18"/>
        </w:rPr>
        <w:t>Status tags used throughout:</w:t>
      </w:r>
      <w:r>
        <w:rPr>
          <w:color w:val="595959"/>
          <w:sz w:val="18"/>
        </w:rPr>
        <w:t xml:space="preserve"> </w:t>
      </w:r>
      <w:r>
        <w:rPr>
          <w:b/>
          <w:color w:val="1E7B34"/>
          <w:sz w:val="18"/>
        </w:rPr>
        <w:t>[Confirmed]</w:t>
      </w:r>
      <w:r>
        <w:rPr>
          <w:color w:val="595959"/>
          <w:sz w:val="18"/>
        </w:rPr>
        <w:t xml:space="preserve"> stated by client or verified in data · </w:t>
      </w:r>
      <w:r>
        <w:rPr>
          <w:b/>
          <w:color w:val="B36B00"/>
          <w:sz w:val="18"/>
        </w:rPr>
        <w:t>[Assumed]</w:t>
      </w:r>
      <w:r>
        <w:rPr>
          <w:color w:val="595959"/>
          <w:sz w:val="18"/>
        </w:rPr>
        <w:t xml:space="preserve"> working assumption to validate · </w:t>
      </w:r>
      <w:r>
        <w:rPr>
          <w:b/>
          <w:color w:val="C0392B"/>
          <w:sz w:val="18"/>
        </w:rPr>
        <w:t>[To investigate]</w:t>
      </w:r>
      <w:r>
        <w:rPr>
          <w:color w:val="595959"/>
          <w:sz w:val="18"/>
        </w:rPr>
        <w:t xml:space="preserve"> existence or usability unknown.</w:t>
      </w:r>
    </w:p>
    <w:p>
      <w:r>
        <w:br w:type="page"/>
      </w:r>
    </w:p>
    <w:p>
      <w:r>
        <w:rPr>
          <w:b/>
          <w:color w:val="1F3A5F"/>
          <w:sz w:val="30"/>
        </w:rPr>
        <w:t>Contents</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2"/>
      </w:pPr>
      <w:r>
        <w:rPr/>
        <w:t>1. Executive Summary</w:t>
      </w:r>
    </w:p>
    <w:p>
      <w:pPr>
        <w:pStyle w:val="ListBullet"/>
        <w:spacing w:after="40"/>
        <w:ind w:left="357" w:hanging="357"/>
      </w:pPr>
      <w:r>
        <w:rPr>
          <w:b/>
        </w:rPr>
        <w:t>Decision supported:</w:t>
      </w:r>
      <w:r>
        <w:rPr/>
        <w:t xml:space="preserve"> how much of each SKU to order for each store (or for the DC serving it) every Monday, so stores stop running out of stock, especially around festivals, without carrying excess inventory.</w:t>
      </w:r>
    </w:p>
    <w:p>
      <w:pPr>
        <w:pStyle w:val="ListBullet"/>
        <w:spacing w:after="40"/>
        <w:ind w:left="357" w:hanging="357"/>
      </w:pPr>
      <w:r>
        <w:rPr>
          <w:b/>
        </w:rPr>
        <w:t>Problem in plain language:</w:t>
      </w:r>
      <w:r>
        <w:rPr/>
        <w:t xml:space="preserve"> the current 4-week moving average of sales cannot see festivals coming, treats promotions as normal demand, and mistakes "we sold nothing because the shelf was empty" for "nobody wanted it". We will replace it with a probabilistic demand forecast per SKU × store, built for the Monday-order, 1–2-week lead-time process, plus a transparent rule that turns the forecast into a recommended order quantity.</w:t>
      </w:r>
    </w:p>
    <w:p>
      <w:pPr>
        <w:pStyle w:val="ListBullet"/>
        <w:spacing w:after="40"/>
        <w:ind w:left="357" w:hanging="357"/>
      </w:pPr>
      <w:r>
        <w:rPr>
          <w:b/>
        </w:rPr>
        <w:t>Lenses:</w:t>
      </w:r>
      <w:r>
        <w:rPr/>
        <w:t xml:space="preserve"> </w:t>
      </w:r>
      <w:r>
        <w:rPr>
          <w:i/>
        </w:rPr>
        <w:t>Predictive</w:t>
      </w:r>
      <w:r>
        <w:rPr/>
        <w:t xml:space="preserve"> (AN1: demand forecasting) is the core. </w:t>
      </w:r>
      <w:r>
        <w:rPr>
          <w:i/>
        </w:rPr>
        <w:t>Prescriptive</w:t>
      </w:r>
      <w:r>
        <w:rPr/>
        <w:t xml:space="preserve"> (AN2: forecast → order quantity at a target service level) sits on top of it. </w:t>
      </w:r>
      <w:r>
        <w:rPr>
          <w:i/>
        </w:rPr>
        <w:t>Causal</w:t>
      </w:r>
      <w:r>
        <w:rPr/>
        <w:t xml:space="preserve"> (AN3: "did the new process actually reduce stock-outs?") is answered by a controlled store pilot, </w:t>
      </w:r>
      <w:r>
        <w:rPr>
          <w:b/>
        </w:rPr>
        <w:t>not</w:t>
      </w:r>
      <w:r>
        <w:rPr/>
        <w:t xml:space="preserve"> by forecast accuracy.</w:t>
      </w:r>
    </w:p>
    <w:p>
      <w:pPr>
        <w:pStyle w:val="ListBullet"/>
        <w:spacing w:after="40"/>
        <w:ind w:left="357" w:hanging="357"/>
      </w:pPr>
      <w:r>
        <w:rPr>
          <w:b/>
        </w:rPr>
        <w:t>Recommended approach:</w:t>
      </w:r>
    </w:p>
    <w:p>
      <w:pPr>
        <w:tabs>
          <w:tab w:pos="714" w:val="left"/>
        </w:tabs>
        <w:spacing w:after="40"/>
        <w:ind w:left="714" w:hanging="357"/>
      </w:pPr>
      <w:r>
        <w:rPr/>
        <w:t>1.</w:t>
        <w:tab/>
      </w:r>
      <w:r>
        <w:rPr/>
        <w:t>Reconstruct the current 4-week-average process as the official baseline and backtest it, so we do not rely on any quoted accuracy.</w:t>
      </w:r>
    </w:p>
    <w:p>
      <w:pPr>
        <w:tabs>
          <w:tab w:pos="714" w:val="left"/>
        </w:tabs>
        <w:spacing w:after="40"/>
        <w:ind w:left="714" w:hanging="357"/>
      </w:pPr>
      <w:r>
        <w:rPr/>
        <w:t>2.</w:t>
        <w:tab/>
      </w:r>
      <w:r>
        <w:rPr/>
        <w:t xml:space="preserve">Forecast </w:t>
      </w:r>
      <w:r>
        <w:rPr>
          <w:i/>
        </w:rPr>
        <w:t>unconstrained demand</w:t>
      </w:r>
      <w:r>
        <w:rPr/>
        <w:t xml:space="preserve"> (correcting for stock-outs), as quantiles over the lead-time-plus-review window, not a single point.</w:t>
      </w:r>
    </w:p>
    <w:p>
      <w:pPr>
        <w:tabs>
          <w:tab w:pos="714" w:val="left"/>
        </w:tabs>
        <w:spacing w:after="40"/>
        <w:ind w:left="714" w:hanging="357"/>
      </w:pPr>
      <w:r>
        <w:rPr/>
        <w:t>3.</w:t>
        <w:tab/>
      </w:r>
      <w:r>
        <w:rPr/>
        <w:t>Test a global gradient-boosted model with festival, promotion and calendar features alongside intermittent-demand statistical models for slow SKUs and hierarchy reconciliation; adopt each only where it beats the baselines by the agreed margin. Deep-learning models are deferred unless they clear a demonstrated gap.</w:t>
      </w:r>
    </w:p>
    <w:p>
      <w:pPr>
        <w:tabs>
          <w:tab w:pos="714" w:val="left"/>
        </w:tabs>
        <w:spacing w:after="40"/>
        <w:ind w:left="714" w:hanging="357"/>
      </w:pPr>
      <w:r>
        <w:rPr/>
        <w:t>4.</w:t>
        <w:tab/>
      </w:r>
      <w:r>
        <w:rPr/>
        <w:t>Validate by rolling-origin (every-Monday) backtests, with dedicated festival-window backtests and a locked final test.</w:t>
      </w:r>
    </w:p>
    <w:p>
      <w:pPr>
        <w:tabs>
          <w:tab w:pos="714" w:val="left"/>
        </w:tabs>
        <w:spacing w:after="40"/>
        <w:ind w:left="714" w:hanging="357"/>
      </w:pPr>
      <w:r>
        <w:rPr/>
        <w:t>5.</w:t>
        <w:tab/>
      </w:r>
      <w:r>
        <w:rPr/>
        <w:t>Roll out as a weekly batch with planner override, a shadow run, then a matched-store pilot.</w:t>
      </w:r>
    </w:p>
    <w:p>
      <w:pPr>
        <w:pStyle w:val="ListBullet"/>
        <w:spacing w:after="40"/>
        <w:ind w:left="357" w:hanging="357"/>
      </w:pPr>
      <w:r>
        <w:rPr>
          <w:b/>
        </w:rPr>
        <w:t>What must be true:</w:t>
      </w:r>
      <w:r>
        <w:rPr/>
        <w:t xml:space="preserve"> (a) stock-on-hand or stock-out information exists (or can be inferred reasonably); (b) the promotion calendar is known and frozen </w:t>
      </w:r>
      <w:r>
        <w:rPr>
          <w:i/>
        </w:rPr>
        <w:t>before</w:t>
      </w:r>
      <w:r>
        <w:rPr/>
        <w:t xml:space="preserve"> each Monday order, and we can recover what the calendar said at each past order date; (c) festival dates and regional relevance can be mapped to stores; (d) planners will act on the recommendations.</w:t>
      </w:r>
    </w:p>
    <w:p>
      <w:pPr>
        <w:pStyle w:val="ListBullet"/>
        <w:spacing w:after="40"/>
        <w:ind w:left="357" w:hanging="357"/>
      </w:pPr>
      <w:r>
        <w:rPr>
          <w:b/>
        </w:rPr>
        <w:t>Top risks:</w:t>
      </w:r>
      <w:r>
        <w:rPr/>
        <w:t xml:space="preserve"> demand censored by stock-outs; at most ~3 observations of each festival (if history is a full 3 years); promotion information leaking from the future; sparse SKU×store series; benefit proof requires a pilot, not just a good backtest.</w:t>
      </w:r>
    </w:p>
    <w:p>
      <w:pPr>
        <w:pStyle w:val="ListBullet"/>
        <w:spacing w:after="40"/>
        <w:ind w:left="357" w:hanging="357"/>
      </w:pPr>
      <w:r>
        <w:rPr>
          <w:b/>
        </w:rPr>
        <w:t>First next steps:</w:t>
      </w:r>
      <w:r>
        <w:rPr/>
        <w:t xml:space="preserve"> run the data-readiness checks in §5/§6 (inventory availability, promo-calendar history, calendar of festivals), agree the metric/service-level targets with supply-chain leadership, and set up the baseline backtest harness.</w:t>
      </w:r>
    </w:p>
    <w:p>
      <w:pPr>
        <w:shd w:val="clear" w:color="auto" w:fill="F2F2F2"/>
        <w:pBdr>
          <w:left w:val="single" w:sz="18" w:space="8" w:color="2E75B6"/>
        </w:pBdr>
        <w:spacing w:before="80" w:after="120"/>
        <w:ind w:left="170"/>
      </w:pPr>
      <w:r>
        <w:rPr>
          <w:b/>
        </w:rPr>
        <w:t>Note:</w:t>
      </w:r>
      <w:r>
        <w:rPr/>
        <w:t xml:space="preserve"> The client was unavailable for questions. Every client-specific detail below that was not in the brief is labelled </w:t>
      </w:r>
      <w:r>
        <w:rPr>
          <w:b/>
          <w:color w:val="B36B00"/>
        </w:rPr>
        <w:t>[Assumed]</w:t>
      </w:r>
      <w:r>
        <w:rPr/>
        <w:t xml:space="preserve"> or </w:t>
      </w:r>
      <w:r>
        <w:rPr>
          <w:b/>
          <w:color w:val="C0392B"/>
        </w:rPr>
        <w:t>[To investigate]</w:t>
      </w:r>
      <w:r>
        <w:rPr/>
        <w:t xml:space="preserve"> and listed in §4. No accuracy, uplift or stock-out numbers are claimed anywhere in this plan.</w:t>
      </w:r>
    </w:p>
    <w:p>
      <w:pPr>
        <w:pStyle w:val="Heading3"/>
      </w:pPr>
      <w:r>
        <w:rPr/>
        <w:t>Scope of this plan</w:t>
      </w:r>
    </w:p>
    <w:p>
      <w:pPr>
        <w:pStyle w:val="ListBullet"/>
        <w:spacing w:after="40"/>
        <w:ind w:left="357" w:hanging="357"/>
      </w:pPr>
      <w:r>
        <w:rPr>
          <w:b/>
        </w:rPr>
        <w:t>Included:</w:t>
      </w:r>
      <w:r>
        <w:rPr/>
        <w:t xml:space="preserve"> framing, data assessment, baselines, candidates, metrics, experiments, validation and leakage audit, a light statistical/causal plan for the pilot, robustness, deployment/monitoring, roadmap.</w:t>
      </w:r>
    </w:p>
    <w:p>
      <w:pPr>
        <w:pStyle w:val="ListBullet"/>
        <w:spacing w:after="40"/>
        <w:ind w:left="357" w:hanging="357"/>
      </w:pPr>
      <w:r>
        <w:rPr>
          <w:b/>
        </w:rPr>
        <w:t>Omitted/light:</w:t>
      </w:r>
      <w:r>
        <w:rPr/>
        <w:t xml:space="preserve"> price-elasticity and promotion-effectiveness measurement (not requested; flagged as a possible later analysis); full inventory optimisation (multi-echelon, shelf-life, MOQ optimisation) is limited to a service-level order rule in this phase; classification-style calibration is replaced by quantile calibration.</w:t>
      </w:r>
    </w:p>
    <w:p>
      <w:pPr>
        <w:pStyle w:val="ListBullet"/>
        <w:spacing w:after="40"/>
        <w:ind w:left="357" w:hanging="357"/>
      </w:pPr>
      <w:r>
        <w:rPr>
          <w:b/>
        </w:rPr>
        <w:t>Routing:</w:t>
      </w:r>
      <w:r>
        <w:rPr/>
        <w:t xml:space="preserve"> framing (full); data assessment (full); model selection (full); validation/leakage (full); experiment design (full); statistical inference (pilot design only, light); evaluation &amp; deployment (full).</w:t>
      </w:r>
    </w:p>
    <w:p>
      <w:pPr>
        <w:pStyle w:val="ListBullet"/>
        <w:spacing w:after="40"/>
        <w:ind w:left="357" w:hanging="357"/>
      </w:pPr>
      <w:r>
        <w:rPr>
          <w:b/>
        </w:rPr>
        <w:t>Depth mode:</w:t>
      </w:r>
      <w:r>
        <w:rPr/>
        <w:t xml:space="preserve"> Standard.</w:t>
      </w:r>
    </w:p>
    <w:p>
      <w:pPr>
        <w:pStyle w:val="Heading2"/>
      </w:pPr>
      <w:r>
        <w:rPr/>
        <w:t>2. Business Problem &amp; Decision Framing</w:t>
      </w:r>
    </w:p>
    <w:tbl>
      <w:tblPr>
        <w:tblStyle w:val="TableGrid"/>
        <w:tblW w:type="auto" w:w="0"/>
        <w:jc w:val="center"/>
        <w:tblLayout w:type="fixed"/>
        <w:tblLook w:firstColumn="1" w:firstRow="1" w:lastColumn="0" w:lastRow="0" w:noHBand="0" w:noVBand="1" w:val="04A0"/>
        <w:tblLayout w:type="fixed"/>
      </w:tblPr>
      <w:tblGrid>
        <w:gridCol w:w="1790"/>
        <w:gridCol w:w="4794"/>
        <w:gridCol w:w="3054"/>
      </w:tblGrid>
      <w:tr>
        <w:trPr>
          <w:tblHeader w:val="true"/>
        </w:trPr>
        <w:tc>
          <w:tcPr>
            <w:tcW w:type="dxa" w:w="1790"/>
            <w:shd w:val="clear" w:color="auto" w:fill="1F3A5F"/>
          </w:tcPr>
          <w:p>
            <w:r/>
            <w:r>
              <w:rPr>
                <w:b/>
                <w:color w:val="FFFFFF"/>
                <w:sz w:val="19"/>
              </w:rPr>
              <w:t>Element</w:t>
            </w:r>
          </w:p>
        </w:tc>
        <w:tc>
          <w:tcPr>
            <w:tcW w:type="dxa" w:w="4794"/>
            <w:shd w:val="clear" w:color="auto" w:fill="1F3A5F"/>
          </w:tcPr>
          <w:p>
            <w:r/>
            <w:r>
              <w:rPr>
                <w:b/>
                <w:color w:val="FFFFFF"/>
                <w:sz w:val="19"/>
              </w:rPr>
              <w:t>Definition for this case</w:t>
            </w:r>
          </w:p>
        </w:tc>
        <w:tc>
          <w:tcPr>
            <w:tcW w:type="dxa" w:w="3054"/>
            <w:shd w:val="clear" w:color="auto" w:fill="1F3A5F"/>
          </w:tcPr>
          <w:p>
            <w:r/>
            <w:r>
              <w:rPr>
                <w:b/>
                <w:color w:val="FFFFFF"/>
                <w:sz w:val="19"/>
              </w:rPr>
              <w:t>Status</w:t>
            </w:r>
          </w:p>
        </w:tc>
      </w:tr>
      <w:tr>
        <w:tc>
          <w:tcPr>
            <w:tcW w:type="dxa" w:w="1790"/>
          </w:tcPr>
          <w:p>
            <w:pPr>
              <w:spacing w:after="20"/>
            </w:pPr>
            <w:r/>
            <w:r>
              <w:rPr>
                <w:sz w:val="19"/>
              </w:rPr>
              <w:t>Decision</w:t>
            </w:r>
          </w:p>
        </w:tc>
        <w:tc>
          <w:tcPr>
            <w:tcW w:type="dxa" w:w="4794"/>
          </w:tcPr>
          <w:p>
            <w:pPr>
              <w:spacing w:after="20"/>
            </w:pPr>
            <w:r/>
            <w:r>
              <w:rPr>
                <w:sz w:val="19"/>
              </w:rPr>
              <w:t>Weekly replenishment quantity per SKU per store (or per DC allocation)</w:t>
            </w:r>
          </w:p>
        </w:tc>
        <w:tc>
          <w:tcPr>
            <w:tcW w:type="dxa" w:w="3054"/>
          </w:tcPr>
          <w:p>
            <w:pPr>
              <w:spacing w:after="20"/>
            </w:pPr>
            <w:r/>
            <w:r>
              <w:rPr>
                <w:b/>
                <w:color w:val="B36B00"/>
                <w:sz w:val="19"/>
              </w:rPr>
              <w:t>[Assumed]</w:t>
            </w:r>
            <w:r>
              <w:rPr>
                <w:sz w:val="19"/>
              </w:rPr>
              <w:t xml:space="preserve"> store-level orders; DC-level orders would change the grain (see Q3)</w:t>
            </w:r>
          </w:p>
        </w:tc>
      </w:tr>
      <w:tr>
        <w:tc>
          <w:tcPr>
            <w:tcW w:type="dxa" w:w="1790"/>
            <w:shd w:val="clear" w:color="auto" w:fill="F2F5F9"/>
          </w:tcPr>
          <w:p>
            <w:pPr>
              <w:spacing w:after="20"/>
            </w:pPr>
            <w:r/>
            <w:r>
              <w:rPr>
                <w:sz w:val="19"/>
              </w:rPr>
              <w:t>Decision owner</w:t>
            </w:r>
          </w:p>
        </w:tc>
        <w:tc>
          <w:tcPr>
            <w:tcW w:type="dxa" w:w="4794"/>
            <w:shd w:val="clear" w:color="auto" w:fill="F2F5F9"/>
          </w:tcPr>
          <w:p>
            <w:pPr>
              <w:spacing w:after="20"/>
            </w:pPr>
            <w:r/>
            <w:r>
              <w:rPr>
                <w:sz w:val="19"/>
              </w:rPr>
              <w:t>Supply-chain / category planners placing the Monday order</w:t>
            </w:r>
          </w:p>
        </w:tc>
        <w:tc>
          <w:tcPr>
            <w:tcW w:type="dxa" w:w="3054"/>
            <w:shd w:val="clear" w:color="auto" w:fill="F2F5F9"/>
          </w:tcPr>
          <w:p>
            <w:pPr>
              <w:spacing w:after="20"/>
            </w:pPr>
            <w:r/>
            <w:r>
              <w:rPr>
                <w:b/>
                <w:color w:val="B36B00"/>
                <w:sz w:val="19"/>
              </w:rPr>
              <w:t>[Assumed]</w:t>
            </w:r>
          </w:p>
        </w:tc>
      </w:tr>
      <w:tr>
        <w:tc>
          <w:tcPr>
            <w:tcW w:type="dxa" w:w="1790"/>
          </w:tcPr>
          <w:p>
            <w:pPr>
              <w:spacing w:after="20"/>
            </w:pPr>
            <w:r/>
            <w:r>
              <w:rPr>
                <w:sz w:val="19"/>
              </w:rPr>
              <w:t>Decision timing (prediction point)</w:t>
            </w:r>
          </w:p>
        </w:tc>
        <w:tc>
          <w:tcPr>
            <w:tcW w:type="dxa" w:w="4794"/>
          </w:tcPr>
          <w:p>
            <w:pPr>
              <w:spacing w:after="20"/>
            </w:pPr>
            <w:r/>
            <w:r>
              <w:rPr>
                <w:sz w:val="19"/>
              </w:rPr>
              <w:t>Monday order cut-off; data available through the previous Sunday</w:t>
            </w:r>
          </w:p>
        </w:tc>
        <w:tc>
          <w:tcPr>
            <w:tcW w:type="dxa" w:w="3054"/>
          </w:tcPr>
          <w:p>
            <w:pPr>
              <w:spacing w:after="20"/>
            </w:pPr>
            <w:r/>
            <w:r>
              <w:rPr>
                <w:b/>
                <w:color w:val="1E7B34"/>
                <w:sz w:val="19"/>
              </w:rPr>
              <w:t>[Confirmed]</w:t>
            </w:r>
            <w:r>
              <w:rPr>
                <w:sz w:val="19"/>
              </w:rPr>
              <w:t xml:space="preserve"> orders are placed every Monday; cut-off hour </w:t>
            </w:r>
            <w:r>
              <w:rPr>
                <w:b/>
                <w:color w:val="C0392B"/>
                <w:sz w:val="19"/>
              </w:rPr>
              <w:t>[To investigate]</w:t>
            </w:r>
          </w:p>
        </w:tc>
      </w:tr>
      <w:tr>
        <w:tc>
          <w:tcPr>
            <w:tcW w:type="dxa" w:w="1790"/>
            <w:shd w:val="clear" w:color="auto" w:fill="F2F5F9"/>
          </w:tcPr>
          <w:p>
            <w:pPr>
              <w:spacing w:after="20"/>
            </w:pPr>
            <w:r/>
            <w:r>
              <w:rPr>
                <w:sz w:val="19"/>
              </w:rPr>
              <w:t>Supplier lead time</w:t>
            </w:r>
          </w:p>
        </w:tc>
        <w:tc>
          <w:tcPr>
            <w:tcW w:type="dxa" w:w="4794"/>
            <w:shd w:val="clear" w:color="auto" w:fill="F2F5F9"/>
          </w:tcPr>
          <w:p>
            <w:pPr>
              <w:spacing w:after="20"/>
            </w:pPr>
            <w:r/>
            <w:r>
              <w:rPr>
                <w:sz w:val="19"/>
              </w:rPr>
              <w:t>1–2 weeks</w:t>
            </w:r>
          </w:p>
        </w:tc>
        <w:tc>
          <w:tcPr>
            <w:tcW w:type="dxa" w:w="3054"/>
            <w:shd w:val="clear" w:color="auto" w:fill="F2F5F9"/>
          </w:tcPr>
          <w:p>
            <w:pPr>
              <w:spacing w:after="20"/>
            </w:pPr>
            <w:r/>
            <w:r>
              <w:rPr>
                <w:b/>
                <w:color w:val="1E7B34"/>
                <w:sz w:val="19"/>
              </w:rPr>
              <w:t>[Confirmed]</w:t>
            </w:r>
            <w:r>
              <w:rPr>
                <w:sz w:val="19"/>
              </w:rPr>
              <w:t xml:space="preserve">; per-supplier/SKU lead times </w:t>
            </w:r>
            <w:r>
              <w:rPr>
                <w:b/>
                <w:color w:val="C0392B"/>
                <w:sz w:val="19"/>
              </w:rPr>
              <w:t>[To investigate]</w:t>
            </w:r>
          </w:p>
        </w:tc>
      </w:tr>
      <w:tr>
        <w:tc>
          <w:tcPr>
            <w:tcW w:type="dxa" w:w="1790"/>
          </w:tcPr>
          <w:p>
            <w:pPr>
              <w:spacing w:after="20"/>
            </w:pPr>
            <w:r/>
            <w:r>
              <w:rPr>
                <w:sz w:val="19"/>
              </w:rPr>
              <w:t>Forecast target window</w:t>
            </w:r>
          </w:p>
        </w:tc>
        <w:tc>
          <w:tcPr>
            <w:tcW w:type="dxa" w:w="4794"/>
          </w:tcPr>
          <w:p>
            <w:pPr>
              <w:spacing w:after="20"/>
            </w:pPr>
            <w:r/>
            <w:r>
              <w:rPr>
                <w:sz w:val="19"/>
              </w:rPr>
              <w:t>Cumulative demand over the protection interval = lead time + review period (1 week), i.e. roughly weeks +1 to +3 relative to the order Monday, depending on supplier</w:t>
            </w:r>
          </w:p>
        </w:tc>
        <w:tc>
          <w:tcPr>
            <w:tcW w:type="dxa" w:w="3054"/>
          </w:tcPr>
          <w:p>
            <w:pPr>
              <w:spacing w:after="20"/>
            </w:pPr>
            <w:r/>
            <w:r>
              <w:rPr>
                <w:sz w:val="19"/>
              </w:rPr>
              <w:t xml:space="preserve">Derived from </w:t>
            </w:r>
            <w:r>
              <w:rPr>
                <w:b/>
                <w:color w:val="1E7B34"/>
                <w:sz w:val="19"/>
              </w:rPr>
              <w:t>[Confirmed]</w:t>
            </w:r>
            <w:r>
              <w:rPr>
                <w:sz w:val="19"/>
              </w:rPr>
              <w:t xml:space="preserve"> facts; exact interval per SKU depends on lead-time data</w:t>
            </w:r>
          </w:p>
        </w:tc>
      </w:tr>
      <w:tr>
        <w:tc>
          <w:tcPr>
            <w:tcW w:type="dxa" w:w="1790"/>
            <w:shd w:val="clear" w:color="auto" w:fill="F2F5F9"/>
          </w:tcPr>
          <w:p>
            <w:pPr>
              <w:spacing w:after="20"/>
            </w:pPr>
            <w:r/>
            <w:r>
              <w:rPr>
                <w:sz w:val="19"/>
              </w:rPr>
              <w:t>Forecast horizons</w:t>
            </w:r>
          </w:p>
        </w:tc>
        <w:tc>
          <w:tcPr>
            <w:tcW w:type="dxa" w:w="4794"/>
            <w:shd w:val="clear" w:color="auto" w:fill="F2F5F9"/>
          </w:tcPr>
          <w:p>
            <w:pPr>
              <w:spacing w:after="20"/>
            </w:pPr>
            <w:r/>
            <w:r>
              <w:rPr>
                <w:sz w:val="19"/>
              </w:rPr>
              <w:t>h = 1, 2, 3 weeks ahead as standard; festival pre-build horizons up to ~8–10 weeks</w:t>
            </w:r>
          </w:p>
        </w:tc>
        <w:tc>
          <w:tcPr>
            <w:tcW w:type="dxa" w:w="3054"/>
            <w:shd w:val="clear" w:color="auto" w:fill="F2F5F9"/>
          </w:tcPr>
          <w:p>
            <w:pPr>
              <w:spacing w:after="20"/>
            </w:pPr>
            <w:r/>
            <w:r>
              <w:rPr>
                <w:b/>
                <w:color w:val="B36B00"/>
                <w:sz w:val="19"/>
              </w:rPr>
              <w:t>[Assumed]</w:t>
            </w:r>
            <w:r>
              <w:rPr>
                <w:sz w:val="19"/>
              </w:rPr>
              <w:t xml:space="preserve"> longer horizons are needed for festival stocking</w:t>
            </w:r>
          </w:p>
        </w:tc>
      </w:tr>
      <w:tr>
        <w:tc>
          <w:tcPr>
            <w:tcW w:type="dxa" w:w="1790"/>
          </w:tcPr>
          <w:p>
            <w:pPr>
              <w:spacing w:after="20"/>
            </w:pPr>
            <w:r/>
            <w:r>
              <w:rPr>
                <w:sz w:val="19"/>
              </w:rPr>
              <w:t>Unit of analysis</w:t>
            </w:r>
          </w:p>
        </w:tc>
        <w:tc>
          <w:tcPr>
            <w:tcW w:type="dxa" w:w="4794"/>
          </w:tcPr>
          <w:p>
            <w:pPr>
              <w:spacing w:after="20"/>
            </w:pPr>
            <w:r/>
            <w:r>
              <w:rPr>
                <w:sz w:val="19"/>
              </w:rPr>
              <w:t xml:space="preserve">SKU × store × week (week definition </w:t>
            </w:r>
            <w:r>
              <w:rPr>
                <w:b/>
                <w:color w:val="C0392B"/>
                <w:sz w:val="19"/>
              </w:rPr>
              <w:t>[To investigate]</w:t>
            </w:r>
            <w:r>
              <w:rPr>
                <w:sz w:val="19"/>
              </w:rPr>
              <w:t>: ISO vs retail calendar, Monday–Sunday)</w:t>
            </w:r>
          </w:p>
        </w:tc>
        <w:tc>
          <w:tcPr>
            <w:tcW w:type="dxa" w:w="3054"/>
          </w:tcPr>
          <w:p>
            <w:pPr>
              <w:spacing w:after="20"/>
            </w:pPr>
            <w:r/>
            <w:r>
              <w:rPr>
                <w:b/>
                <w:color w:val="B36B00"/>
                <w:sz w:val="19"/>
              </w:rPr>
              <w:t>[Assumed]</w:t>
            </w:r>
          </w:p>
        </w:tc>
      </w:tr>
      <w:tr>
        <w:tc>
          <w:tcPr>
            <w:tcW w:type="dxa" w:w="1790"/>
            <w:shd w:val="clear" w:color="auto" w:fill="F2F5F9"/>
          </w:tcPr>
          <w:p>
            <w:pPr>
              <w:spacing w:after="20"/>
            </w:pPr>
            <w:r/>
            <w:r>
              <w:rPr>
                <w:sz w:val="19"/>
              </w:rPr>
              <w:t>Population</w:t>
            </w:r>
          </w:p>
        </w:tc>
        <w:tc>
          <w:tcPr>
            <w:tcW w:type="dxa" w:w="4794"/>
            <w:shd w:val="clear" w:color="auto" w:fill="F2F5F9"/>
          </w:tcPr>
          <w:p>
            <w:pPr>
              <w:spacing w:after="20"/>
            </w:pPr>
            <w:r/>
            <w:r>
              <w:rPr>
                <w:sz w:val="19"/>
              </w:rPr>
              <w:t>~9,000 active SKUs × ~180 stores across 6 states, plus new and delisted items</w:t>
            </w:r>
          </w:p>
        </w:tc>
        <w:tc>
          <w:tcPr>
            <w:tcW w:type="dxa" w:w="3054"/>
            <w:shd w:val="clear" w:color="auto" w:fill="F2F5F9"/>
          </w:tcPr>
          <w:p>
            <w:pPr>
              <w:spacing w:after="20"/>
            </w:pPr>
            <w:r/>
            <w:r>
              <w:rPr>
                <w:b/>
                <w:color w:val="1E7B34"/>
                <w:sz w:val="19"/>
              </w:rPr>
              <w:t>[Confirmed]</w:t>
            </w:r>
            <w:r>
              <w:rPr>
                <w:sz w:val="19"/>
              </w:rPr>
              <w:t xml:space="preserve"> approximate scale per brief (~180 stores, ~9,000 SKUs, 6 states); number of non-zero series </w:t>
            </w:r>
            <w:r>
              <w:rPr>
                <w:b/>
                <w:color w:val="C0392B"/>
                <w:sz w:val="19"/>
              </w:rPr>
              <w:t>[To investigate]</w:t>
            </w:r>
          </w:p>
        </w:tc>
      </w:tr>
      <w:tr>
        <w:tc>
          <w:tcPr>
            <w:tcW w:type="dxa" w:w="1790"/>
          </w:tcPr>
          <w:p>
            <w:pPr>
              <w:spacing w:after="20"/>
            </w:pPr>
            <w:r/>
            <w:r>
              <w:rPr>
                <w:sz w:val="19"/>
              </w:rPr>
              <w:t>Outcome (target)</w:t>
            </w:r>
          </w:p>
        </w:tc>
        <w:tc>
          <w:tcPr>
            <w:tcW w:type="dxa" w:w="4794"/>
          </w:tcPr>
          <w:p>
            <w:pPr>
              <w:spacing w:after="20"/>
            </w:pPr>
            <w:r/>
            <w:r>
              <w:rPr>
                <w:b/>
                <w:sz w:val="19"/>
              </w:rPr>
              <w:t>Unconstrained weekly demand</w:t>
            </w:r>
            <w:r>
              <w:rPr>
                <w:sz w:val="19"/>
              </w:rPr>
              <w:t xml:space="preserve"> in units (sales corrected for periods of unavailability)</w:t>
            </w:r>
          </w:p>
        </w:tc>
        <w:tc>
          <w:tcPr>
            <w:tcW w:type="dxa" w:w="3054"/>
          </w:tcPr>
          <w:p>
            <w:pPr>
              <w:spacing w:after="20"/>
            </w:pPr>
            <w:r/>
            <w:r>
              <w:rPr>
                <w:sz w:val="19"/>
              </w:rPr>
              <w:t>Definition proposed; depends on availability data</w:t>
            </w:r>
          </w:p>
        </w:tc>
      </w:tr>
      <w:tr>
        <w:tc>
          <w:tcPr>
            <w:tcW w:type="dxa" w:w="1790"/>
            <w:shd w:val="clear" w:color="auto" w:fill="F2F5F9"/>
          </w:tcPr>
          <w:p>
            <w:pPr>
              <w:spacing w:after="20"/>
            </w:pPr>
            <w:r/>
            <w:r>
              <w:rPr>
                <w:sz w:val="19"/>
              </w:rPr>
              <w:t>Observed proxy</w:t>
            </w:r>
          </w:p>
        </w:tc>
        <w:tc>
          <w:tcPr>
            <w:tcW w:type="dxa" w:w="4794"/>
            <w:shd w:val="clear" w:color="auto" w:fill="F2F5F9"/>
          </w:tcPr>
          <w:p>
            <w:pPr>
              <w:spacing w:after="20"/>
            </w:pPr>
            <w:r/>
            <w:r>
              <w:rPr>
                <w:sz w:val="19"/>
              </w:rPr>
              <w:t>Weekly units sold from POS lines (net of returns)</w:t>
            </w:r>
          </w:p>
        </w:tc>
        <w:tc>
          <w:tcPr>
            <w:tcW w:type="dxa" w:w="3054"/>
            <w:shd w:val="clear" w:color="auto" w:fill="F2F5F9"/>
          </w:tcPr>
          <w:p>
            <w:pPr>
              <w:spacing w:after="20"/>
            </w:pPr>
            <w:r/>
            <w:r>
              <w:rPr>
                <w:b/>
                <w:color w:val="1E7B34"/>
                <w:sz w:val="19"/>
              </w:rPr>
              <w:t>[Confirmed]</w:t>
            </w:r>
            <w:r>
              <w:rPr>
                <w:sz w:val="19"/>
              </w:rPr>
              <w:t xml:space="preserve"> POS exists</w:t>
            </w:r>
          </w:p>
        </w:tc>
      </w:tr>
      <w:tr>
        <w:tc>
          <w:tcPr>
            <w:tcW w:type="dxa" w:w="1790"/>
          </w:tcPr>
          <w:p>
            <w:pPr>
              <w:spacing w:after="20"/>
            </w:pPr>
            <w:r/>
            <w:r>
              <w:rPr>
                <w:sz w:val="19"/>
              </w:rPr>
              <w:t>Cost of errors</w:t>
            </w:r>
          </w:p>
        </w:tc>
        <w:tc>
          <w:tcPr>
            <w:tcW w:type="dxa" w:w="4794"/>
          </w:tcPr>
          <w:p>
            <w:pPr>
              <w:spacing w:after="20"/>
            </w:pPr>
            <w:r/>
            <w:r>
              <w:rPr>
                <w:sz w:val="19"/>
              </w:rPr>
              <w:t>Under-forecast → lost sales, customer loss, festival revenue loss. Over-forecast → holding cost, wastage (perishables), markdowns, working capital. Asymmetric and differs by category</w:t>
            </w:r>
          </w:p>
        </w:tc>
        <w:tc>
          <w:tcPr>
            <w:tcW w:type="dxa" w:w="3054"/>
          </w:tcPr>
          <w:p>
            <w:pPr>
              <w:spacing w:after="20"/>
            </w:pPr>
            <w:r/>
            <w:r>
              <w:rPr>
                <w:b/>
                <w:color w:val="C0392B"/>
                <w:sz w:val="19"/>
              </w:rPr>
              <w:t>[TBD with client]</w:t>
            </w:r>
            <w:r>
              <w:rPr>
                <w:sz w:val="19"/>
              </w:rPr>
              <w:t>; per-category target service levels needed</w:t>
            </w:r>
          </w:p>
        </w:tc>
      </w:tr>
      <w:tr>
        <w:tc>
          <w:tcPr>
            <w:tcW w:type="dxa" w:w="1790"/>
            <w:shd w:val="clear" w:color="auto" w:fill="F2F5F9"/>
          </w:tcPr>
          <w:p>
            <w:pPr>
              <w:spacing w:after="20"/>
            </w:pPr>
            <w:r/>
            <w:r>
              <w:rPr>
                <w:sz w:val="19"/>
              </w:rPr>
              <w:t>Current approach</w:t>
            </w:r>
          </w:p>
        </w:tc>
        <w:tc>
          <w:tcPr>
            <w:tcW w:type="dxa" w:w="4794"/>
            <w:shd w:val="clear" w:color="auto" w:fill="F2F5F9"/>
          </w:tcPr>
          <w:p>
            <w:pPr>
              <w:spacing w:after="20"/>
            </w:pPr>
            <w:r/>
            <w:r>
              <w:rPr>
                <w:sz w:val="19"/>
              </w:rPr>
              <w:t>4-week moving average in Excel</w:t>
            </w:r>
          </w:p>
        </w:tc>
        <w:tc>
          <w:tcPr>
            <w:tcW w:type="dxa" w:w="3054"/>
            <w:shd w:val="clear" w:color="auto" w:fill="F2F5F9"/>
          </w:tcPr>
          <w:p>
            <w:pPr>
              <w:spacing w:after="20"/>
            </w:pPr>
            <w:r/>
            <w:r>
              <w:rPr>
                <w:b/>
                <w:color w:val="1E7B34"/>
                <w:sz w:val="19"/>
              </w:rPr>
              <w:t>[Confirmed]</w:t>
            </w:r>
          </w:p>
        </w:tc>
      </w:tr>
      <w:tr>
        <w:tc>
          <w:tcPr>
            <w:tcW w:type="dxa" w:w="1790"/>
          </w:tcPr>
          <w:p>
            <w:pPr>
              <w:spacing w:after="20"/>
            </w:pPr>
            <w:r/>
            <w:r>
              <w:rPr>
                <w:sz w:val="19"/>
              </w:rPr>
              <w:t>Success criteria</w:t>
            </w:r>
          </w:p>
        </w:tc>
        <w:tc>
          <w:tcPr>
            <w:tcW w:type="dxa" w:w="4794"/>
          </w:tcPr>
          <w:p>
            <w:pPr>
              <w:spacing w:after="20"/>
            </w:pPr>
            <w:r/>
            <w:r>
              <w:rPr>
                <w:sz w:val="19"/>
              </w:rPr>
              <w:t>Better forecast value-added vs the current process, lower stock-out rate with no unacceptable inventory increase, measured in a pilot</w:t>
            </w:r>
          </w:p>
        </w:tc>
        <w:tc>
          <w:tcPr>
            <w:tcW w:type="dxa" w:w="3054"/>
          </w:tcPr>
          <w:p>
            <w:pPr>
              <w:spacing w:after="20"/>
            </w:pPr>
            <w:r/>
            <w:r>
              <w:rPr>
                <w:sz w:val="19"/>
              </w:rPr>
              <w:t xml:space="preserve">Thresholds </w:t>
            </w:r>
            <w:r>
              <w:rPr>
                <w:b/>
                <w:color w:val="C0392B"/>
                <w:sz w:val="19"/>
              </w:rPr>
              <w:t>[TBD with client]</w:t>
            </w:r>
          </w:p>
        </w:tc>
      </w:tr>
      <w:tr>
        <w:tc>
          <w:tcPr>
            <w:tcW w:type="dxa" w:w="1790"/>
            <w:shd w:val="clear" w:color="auto" w:fill="F2F5F9"/>
          </w:tcPr>
          <w:p>
            <w:pPr>
              <w:spacing w:after="20"/>
            </w:pPr>
            <w:r/>
            <w:r>
              <w:rPr>
                <w:sz w:val="19"/>
              </w:rPr>
              <w:t>Constraints</w:t>
            </w:r>
          </w:p>
        </w:tc>
        <w:tc>
          <w:tcPr>
            <w:tcW w:type="dxa" w:w="4794"/>
            <w:shd w:val="clear" w:color="auto" w:fill="F2F5F9"/>
          </w:tcPr>
          <w:p>
            <w:pPr>
              <w:spacing w:after="20"/>
            </w:pPr>
            <w:r/>
            <w:r>
              <w:rPr>
                <w:sz w:val="19"/>
              </w:rPr>
              <w:t>Monday batch; planner usability (Excel-like outputs); data residency and consumer-data rules (DPDP Act 2023 – confirm with compliance)</w:t>
            </w:r>
          </w:p>
        </w:tc>
        <w:tc>
          <w:tcPr>
            <w:tcW w:type="dxa" w:w="3054"/>
            <w:shd w:val="clear" w:color="auto" w:fill="F2F5F9"/>
          </w:tcPr>
          <w:p>
            <w:pPr>
              <w:spacing w:after="20"/>
            </w:pPr>
            <w:r/>
            <w:r>
              <w:rPr>
                <w:b/>
                <w:color w:val="B36B00"/>
                <w:sz w:val="19"/>
              </w:rPr>
              <w:t>[Assumed]</w:t>
            </w:r>
            <w:r>
              <w:rPr>
                <w:sz w:val="19"/>
              </w:rPr>
              <w:t xml:space="preserve"> except Monday batch</w:t>
            </w:r>
          </w:p>
        </w:tc>
      </w:tr>
    </w:tbl>
    <w:p>
      <w:pPr>
        <w:spacing w:after="40"/>
      </w:pPr>
    </w:p>
    <w:p>
      <w:pPr>
        <w:pStyle w:val="Heading2"/>
      </w:pPr>
      <w:r>
        <w:rPr/>
        <w:t>3. Analytical Problem Classification</w:t>
      </w:r>
    </w:p>
    <w:p>
      <w:r>
        <w:rPr>
          <w:b/>
        </w:rPr>
        <w:t>Separate analyses</w:t>
      </w:r>
    </w:p>
    <w:tbl>
      <w:tblPr>
        <w:tblStyle w:val="TableGrid"/>
        <w:tblW w:type="auto" w:w="0"/>
        <w:jc w:val="center"/>
        <w:tblLayout w:type="fixed"/>
        <w:tblLook w:firstColumn="1" w:firstRow="1" w:lastColumn="0" w:lastRow="0" w:noHBand="0" w:noVBand="1" w:val="04A0"/>
        <w:tblLayout w:type="fixed"/>
      </w:tblPr>
      <w:tblGrid>
        <w:gridCol w:w="1265"/>
        <w:gridCol w:w="2832"/>
        <w:gridCol w:w="1686"/>
        <w:gridCol w:w="3855"/>
      </w:tblGrid>
      <w:tr>
        <w:trPr>
          <w:tblHeader w:val="true"/>
        </w:trPr>
        <w:tc>
          <w:tcPr>
            <w:tcW w:type="dxa" w:w="1265"/>
            <w:shd w:val="clear" w:color="auto" w:fill="1F3A5F"/>
          </w:tcPr>
          <w:p>
            <w:r/>
            <w:r>
              <w:rPr>
                <w:b/>
                <w:color w:val="FFFFFF"/>
                <w:sz w:val="19"/>
              </w:rPr>
              <w:t>ID</w:t>
            </w:r>
          </w:p>
        </w:tc>
        <w:tc>
          <w:tcPr>
            <w:tcW w:type="dxa" w:w="2832"/>
            <w:shd w:val="clear" w:color="auto" w:fill="1F3A5F"/>
          </w:tcPr>
          <w:p>
            <w:r/>
            <w:r>
              <w:rPr>
                <w:b/>
                <w:color w:val="FFFFFF"/>
                <w:sz w:val="19"/>
              </w:rPr>
              <w:t>Question</w:t>
            </w:r>
          </w:p>
        </w:tc>
        <w:tc>
          <w:tcPr>
            <w:tcW w:type="dxa" w:w="1686"/>
            <w:shd w:val="clear" w:color="auto" w:fill="1F3A5F"/>
          </w:tcPr>
          <w:p>
            <w:r/>
            <w:r>
              <w:rPr>
                <w:b/>
                <w:color w:val="FFFFFF"/>
                <w:sz w:val="19"/>
              </w:rPr>
              <w:t>Lens</w:t>
            </w:r>
          </w:p>
        </w:tc>
        <w:tc>
          <w:tcPr>
            <w:tcW w:type="dxa" w:w="3855"/>
            <w:shd w:val="clear" w:color="auto" w:fill="1F3A5F"/>
          </w:tcPr>
          <w:p>
            <w:r/>
            <w:r>
              <w:rPr>
                <w:b/>
                <w:color w:val="FFFFFF"/>
                <w:sz w:val="19"/>
              </w:rPr>
              <w:t>Formulation</w:t>
            </w:r>
          </w:p>
        </w:tc>
      </w:tr>
      <w:tr>
        <w:tc>
          <w:tcPr>
            <w:tcW w:type="dxa" w:w="1265"/>
          </w:tcPr>
          <w:p>
            <w:pPr>
              <w:spacing w:after="20"/>
            </w:pPr>
            <w:r/>
            <w:r>
              <w:rPr>
                <w:sz w:val="19"/>
              </w:rPr>
              <w:t>AN1</w:t>
            </w:r>
          </w:p>
        </w:tc>
        <w:tc>
          <w:tcPr>
            <w:tcW w:type="dxa" w:w="2832"/>
          </w:tcPr>
          <w:p>
            <w:pPr>
              <w:spacing w:after="20"/>
            </w:pPr>
            <w:r/>
            <w:r>
              <w:rPr>
                <w:sz w:val="19"/>
              </w:rPr>
              <w:t>How much will each store sell of each SKU over the protection interval?</w:t>
            </w:r>
          </w:p>
        </w:tc>
        <w:tc>
          <w:tcPr>
            <w:tcW w:type="dxa" w:w="1686"/>
          </w:tcPr>
          <w:p>
            <w:pPr>
              <w:spacing w:after="20"/>
            </w:pPr>
            <w:r/>
            <w:r>
              <w:rPr>
                <w:sz w:val="19"/>
              </w:rPr>
              <w:t>Predictive</w:t>
            </w:r>
          </w:p>
        </w:tc>
        <w:tc>
          <w:tcPr>
            <w:tcW w:type="dxa" w:w="3855"/>
          </w:tcPr>
          <w:p>
            <w:pPr>
              <w:spacing w:after="20"/>
            </w:pPr>
            <w:r/>
            <w:r>
              <w:rPr>
                <w:sz w:val="19"/>
              </w:rPr>
              <w:t>Probabilistic multi-horizon time-series forecasting on a hierarchy (SKU × store × week)</w:t>
            </w:r>
          </w:p>
        </w:tc>
      </w:tr>
      <w:tr>
        <w:tc>
          <w:tcPr>
            <w:tcW w:type="dxa" w:w="1265"/>
            <w:shd w:val="clear" w:color="auto" w:fill="F2F5F9"/>
          </w:tcPr>
          <w:p>
            <w:pPr>
              <w:spacing w:after="20"/>
            </w:pPr>
            <w:r/>
            <w:r>
              <w:rPr>
                <w:sz w:val="19"/>
              </w:rPr>
              <w:t>AN2</w:t>
            </w:r>
          </w:p>
        </w:tc>
        <w:tc>
          <w:tcPr>
            <w:tcW w:type="dxa" w:w="2832"/>
            <w:shd w:val="clear" w:color="auto" w:fill="F2F5F9"/>
          </w:tcPr>
          <w:p>
            <w:pPr>
              <w:spacing w:after="20"/>
            </w:pPr>
            <w:r/>
            <w:r>
              <w:rPr>
                <w:sz w:val="19"/>
              </w:rPr>
              <w:t>What quantity should we order to hit a target service level?</w:t>
            </w:r>
          </w:p>
        </w:tc>
        <w:tc>
          <w:tcPr>
            <w:tcW w:type="dxa" w:w="1686"/>
            <w:shd w:val="clear" w:color="auto" w:fill="F2F5F9"/>
          </w:tcPr>
          <w:p>
            <w:pPr>
              <w:spacing w:after="20"/>
            </w:pPr>
            <w:r/>
            <w:r>
              <w:rPr>
                <w:sz w:val="19"/>
              </w:rPr>
              <w:t>Prescriptive</w:t>
            </w:r>
          </w:p>
        </w:tc>
        <w:tc>
          <w:tcPr>
            <w:tcW w:type="dxa" w:w="3855"/>
            <w:shd w:val="clear" w:color="auto" w:fill="F2F5F9"/>
          </w:tcPr>
          <w:p>
            <w:pPr>
              <w:spacing w:after="20"/>
            </w:pPr>
            <w:r/>
            <w:r>
              <w:rPr>
                <w:sz w:val="19"/>
              </w:rPr>
              <w:t>Order-up-to level = forecast quantile for the protection interval minus on-hand and in-transit; per-category service levels</w:t>
            </w:r>
          </w:p>
        </w:tc>
      </w:tr>
      <w:tr>
        <w:tc>
          <w:tcPr>
            <w:tcW w:type="dxa" w:w="1265"/>
          </w:tcPr>
          <w:p>
            <w:pPr>
              <w:spacing w:after="20"/>
            </w:pPr>
            <w:r/>
            <w:r>
              <w:rPr>
                <w:sz w:val="19"/>
              </w:rPr>
              <w:t>AN3</w:t>
            </w:r>
          </w:p>
        </w:tc>
        <w:tc>
          <w:tcPr>
            <w:tcW w:type="dxa" w:w="2832"/>
          </w:tcPr>
          <w:p>
            <w:pPr>
              <w:spacing w:after="20"/>
            </w:pPr>
            <w:r/>
            <w:r>
              <w:rPr>
                <w:sz w:val="19"/>
              </w:rPr>
              <w:t>Does the new process reduce stock-outs vs the current one?</w:t>
            </w:r>
          </w:p>
        </w:tc>
        <w:tc>
          <w:tcPr>
            <w:tcW w:type="dxa" w:w="1686"/>
          </w:tcPr>
          <w:p>
            <w:pPr>
              <w:spacing w:after="20"/>
            </w:pPr>
            <w:r/>
            <w:r>
              <w:rPr>
                <w:sz w:val="19"/>
              </w:rPr>
              <w:t>Causal (programme evaluation)</w:t>
            </w:r>
          </w:p>
        </w:tc>
        <w:tc>
          <w:tcPr>
            <w:tcW w:type="dxa" w:w="3855"/>
          </w:tcPr>
          <w:p>
            <w:pPr>
              <w:spacing w:after="20"/>
            </w:pPr>
            <w:r/>
            <w:r>
              <w:rPr>
                <w:sz w:val="19"/>
              </w:rPr>
              <w:t>Matched-store pilot / staggered rollout with difference-in-differences</w:t>
            </w:r>
          </w:p>
        </w:tc>
      </w:tr>
      <w:tr>
        <w:tc>
          <w:tcPr>
            <w:tcW w:type="dxa" w:w="1265"/>
            <w:shd w:val="clear" w:color="auto" w:fill="F2F5F9"/>
          </w:tcPr>
          <w:p>
            <w:pPr>
              <w:spacing w:after="20"/>
            </w:pPr>
            <w:r/>
            <w:r>
              <w:rPr>
                <w:sz w:val="19"/>
              </w:rPr>
              <w:t>AN4 (later, optional)</w:t>
            </w:r>
          </w:p>
        </w:tc>
        <w:tc>
          <w:tcPr>
            <w:tcW w:type="dxa" w:w="2832"/>
            <w:shd w:val="clear" w:color="auto" w:fill="F2F5F9"/>
          </w:tcPr>
          <w:p>
            <w:pPr>
              <w:spacing w:after="20"/>
            </w:pPr>
            <w:r/>
            <w:r>
              <w:rPr>
                <w:sz w:val="19"/>
              </w:rPr>
              <w:t>What incremental lift do promotions generate?</w:t>
            </w:r>
          </w:p>
        </w:tc>
        <w:tc>
          <w:tcPr>
            <w:tcW w:type="dxa" w:w="1686"/>
            <w:shd w:val="clear" w:color="auto" w:fill="F2F5F9"/>
          </w:tcPr>
          <w:p>
            <w:pPr>
              <w:spacing w:after="20"/>
            </w:pPr>
            <w:r/>
            <w:r>
              <w:rPr>
                <w:sz w:val="19"/>
              </w:rPr>
              <w:t>Causal</w:t>
            </w:r>
          </w:p>
        </w:tc>
        <w:tc>
          <w:tcPr>
            <w:tcW w:type="dxa" w:w="3855"/>
            <w:shd w:val="clear" w:color="auto" w:fill="F2F5F9"/>
          </w:tcPr>
          <w:p>
            <w:pPr>
              <w:spacing w:after="20"/>
            </w:pPr>
            <w:r/>
            <w:r>
              <w:rPr>
                <w:sz w:val="19"/>
              </w:rPr>
              <w:t xml:space="preserve">Not in scope; the forecasting model's promotion coefficients must </w:t>
            </w:r>
            <w:r>
              <w:rPr>
                <w:b/>
                <w:sz w:val="19"/>
              </w:rPr>
              <w:t>not</w:t>
            </w:r>
            <w:r>
              <w:rPr>
                <w:sz w:val="19"/>
              </w:rPr>
              <w:t xml:space="preserve"> be read as lift</w:t>
            </w:r>
          </w:p>
        </w:tc>
      </w:tr>
    </w:tbl>
    <w:p>
      <w:pPr>
        <w:spacing w:after="40"/>
      </w:pPr>
    </w:p>
    <w:p>
      <w:r>
        <w:rPr>
          <w:b/>
        </w:rPr>
        <w:t>Rationale.</w:t>
      </w:r>
      <w:r>
        <w:rPr/>
        <w:t xml:space="preserve"> The ordering decision needs a distribution of demand over a window, not a weekly point value, because the stock-out cost is asymmetric. "Forecasting weekly demand" is therefore delivered as quantile forecasts aggregated over the lead-time-plus-review window.</w:t>
      </w:r>
    </w:p>
    <w:p>
      <w:r>
        <w:rPr>
          <w:b/>
        </w:rPr>
        <w:t>Alternatives considered</w:t>
      </w:r>
    </w:p>
    <w:p>
      <w:pPr>
        <w:pStyle w:val="ListBullet"/>
        <w:spacing w:after="40"/>
        <w:ind w:left="357" w:hanging="357"/>
      </w:pPr>
      <w:r>
        <w:rPr>
          <w:i/>
        </w:rPr>
        <w:t>Point forecast + fixed safety-stock %:</w:t>
      </w:r>
      <w:r>
        <w:rPr/>
        <w:t xml:space="preserve"> simpler to explain; adopt as the fallback if quantile models do not beat it.</w:t>
      </w:r>
    </w:p>
    <w:p>
      <w:pPr>
        <w:pStyle w:val="ListBullet"/>
        <w:spacing w:after="40"/>
        <w:ind w:left="357" w:hanging="357"/>
      </w:pPr>
      <w:r>
        <w:rPr>
          <w:i/>
        </w:rPr>
        <w:t>Direct "will this SKU stock out next week" classification:</w:t>
      </w:r>
      <w:r>
        <w:rPr/>
        <w:t xml:space="preserve"> useful as a diagnostic or alert layer, but it is label-contaminated by past replenishment behaviour; consider later.</w:t>
      </w:r>
    </w:p>
    <w:p>
      <w:pPr>
        <w:pStyle w:val="ListBullet"/>
        <w:spacing w:after="40"/>
        <w:ind w:left="357" w:hanging="357"/>
      </w:pPr>
      <w:r>
        <w:rPr>
          <w:i/>
        </w:rPr>
        <w:t>Daily forecasting:</w:t>
      </w:r>
      <w:r>
        <w:rPr/>
        <w:t xml:space="preserve"> better for fast movers and weekend peaks, but ordering is weekly; revisit if replenishment frequency increases.</w:t>
      </w:r>
    </w:p>
    <w:p>
      <w:pPr>
        <w:pStyle w:val="ListBullet"/>
        <w:spacing w:after="40"/>
        <w:ind w:left="357" w:hanging="357"/>
      </w:pPr>
      <w:r>
        <w:rPr>
          <w:i/>
        </w:rPr>
        <w:t>Aggregated (category × store or SKU × cluster) forecasts:</w:t>
      </w:r>
      <w:r>
        <w:rPr/>
        <w:t xml:space="preserve"> fall-back for the sparse tail.</w:t>
      </w:r>
    </w:p>
    <w:p>
      <w:r>
        <w:rPr>
          <w:b/>
        </w:rPr>
        <w:t>Red flags</w:t>
      </w:r>
    </w:p>
    <w:p>
      <w:pPr>
        <w:pStyle w:val="ListBullet"/>
        <w:spacing w:after="40"/>
        <w:ind w:left="357" w:hanging="357"/>
      </w:pPr>
      <w:r>
        <w:rPr/>
        <w:t>Sales ≠ demand during stock-outs (censoring), which would make a naive model reproduce past stock-outs.</w:t>
      </w:r>
    </w:p>
    <w:p>
      <w:pPr>
        <w:pStyle w:val="ListBullet"/>
        <w:spacing w:after="40"/>
        <w:ind w:left="357" w:hanging="357"/>
      </w:pPr>
      <w:r>
        <w:rPr/>
        <w:t>Festival signal is thin (at most ~3 occurrences per festival if history is a full 3 years) and festival dates move on lunar calendars.</w:t>
      </w:r>
    </w:p>
    <w:p>
      <w:pPr>
        <w:pStyle w:val="ListBullet"/>
        <w:spacing w:after="40"/>
        <w:ind w:left="357" w:hanging="357"/>
      </w:pPr>
      <w:r>
        <w:rPr/>
        <w:t>Promotion calendar may be revised after the order date; if we train on the final calendar we leak.</w:t>
      </w:r>
    </w:p>
    <w:p>
      <w:pPr>
        <w:pStyle w:val="ListBullet"/>
        <w:spacing w:after="40"/>
        <w:ind w:left="357" w:hanging="357"/>
      </w:pPr>
      <w:r>
        <w:rPr/>
        <w:t>A good backtest does not prove fewer stock-outs; this needs a pilot (AN3).</w:t>
      </w:r>
    </w:p>
    <w:p>
      <w:pPr>
        <w:pStyle w:val="Heading2"/>
      </w:pPr>
      <w:r>
        <w:rPr/>
        <w:t>4. Assumptions, Unknowns &amp; Client Clarification Questions</w:t>
      </w:r>
    </w:p>
    <w:tbl>
      <w:tblPr>
        <w:tblStyle w:val="TableGrid"/>
        <w:tblW w:type="auto" w:w="0"/>
        <w:jc w:val="center"/>
        <w:tblLayout w:type="fixed"/>
        <w:tblLook w:firstColumn="1" w:firstRow="1" w:lastColumn="0" w:lastRow="0" w:noHBand="0" w:noVBand="1" w:val="04A0"/>
        <w:tblLayout w:type="fixed"/>
      </w:tblPr>
      <w:tblGrid>
        <w:gridCol w:w="961"/>
        <w:gridCol w:w="2986"/>
        <w:gridCol w:w="1189"/>
        <w:gridCol w:w="2321"/>
        <w:gridCol w:w="1090"/>
        <w:gridCol w:w="1090"/>
      </w:tblGrid>
      <w:tr>
        <w:trPr>
          <w:tblHeader w:val="true"/>
        </w:trPr>
        <w:tc>
          <w:tcPr>
            <w:tcW w:type="dxa" w:w="961"/>
            <w:shd w:val="clear" w:color="auto" w:fill="1F3A5F"/>
          </w:tcPr>
          <w:p>
            <w:r/>
            <w:r>
              <w:rPr>
                <w:b/>
                <w:color w:val="FFFFFF"/>
                <w:sz w:val="17"/>
              </w:rPr>
              <w:t>ID</w:t>
            </w:r>
          </w:p>
        </w:tc>
        <w:tc>
          <w:tcPr>
            <w:tcW w:type="dxa" w:w="2986"/>
            <w:shd w:val="clear" w:color="auto" w:fill="1F3A5F"/>
          </w:tcPr>
          <w:p>
            <w:r/>
            <w:r>
              <w:rPr>
                <w:b/>
                <w:color w:val="FFFFFF"/>
                <w:sz w:val="17"/>
              </w:rPr>
              <w:t>Statement</w:t>
            </w:r>
          </w:p>
        </w:tc>
        <w:tc>
          <w:tcPr>
            <w:tcW w:type="dxa" w:w="1189"/>
            <w:shd w:val="clear" w:color="auto" w:fill="1F3A5F"/>
          </w:tcPr>
          <w:p>
            <w:r/>
            <w:r>
              <w:rPr>
                <w:b/>
                <w:color w:val="FFFFFF"/>
                <w:sz w:val="17"/>
              </w:rPr>
              <w:t>Type</w:t>
            </w:r>
          </w:p>
        </w:tc>
        <w:tc>
          <w:tcPr>
            <w:tcW w:type="dxa" w:w="2321"/>
            <w:shd w:val="clear" w:color="auto" w:fill="1F3A5F"/>
          </w:tcPr>
          <w:p>
            <w:r/>
            <w:r>
              <w:rPr>
                <w:b/>
                <w:color w:val="FFFFFF"/>
                <w:sz w:val="17"/>
              </w:rPr>
              <w:t>Impact if wrong</w:t>
            </w:r>
          </w:p>
        </w:tc>
        <w:tc>
          <w:tcPr>
            <w:tcW w:type="dxa" w:w="1090"/>
            <w:shd w:val="clear" w:color="auto" w:fill="1F3A5F"/>
          </w:tcPr>
          <w:p>
            <w:r/>
            <w:r>
              <w:rPr>
                <w:b/>
                <w:color w:val="FFFFFF"/>
                <w:sz w:val="17"/>
              </w:rPr>
              <w:t>Owner</w:t>
            </w:r>
          </w:p>
        </w:tc>
        <w:tc>
          <w:tcPr>
            <w:tcW w:type="dxa" w:w="1090"/>
            <w:shd w:val="clear" w:color="auto" w:fill="1F3A5F"/>
          </w:tcPr>
          <w:p>
            <w:r/>
            <w:r>
              <w:rPr>
                <w:b/>
                <w:color w:val="FFFFFF"/>
                <w:sz w:val="17"/>
              </w:rPr>
              <w:t>Needed by</w:t>
            </w:r>
          </w:p>
        </w:tc>
      </w:tr>
      <w:tr>
        <w:tc>
          <w:tcPr>
            <w:tcW w:type="dxa" w:w="961"/>
          </w:tcPr>
          <w:p>
            <w:pPr>
              <w:spacing w:after="20"/>
            </w:pPr>
            <w:r/>
            <w:r>
              <w:rPr>
                <w:sz w:val="17"/>
              </w:rPr>
              <w:t>Q1</w:t>
            </w:r>
          </w:p>
        </w:tc>
        <w:tc>
          <w:tcPr>
            <w:tcW w:type="dxa" w:w="2986"/>
          </w:tcPr>
          <w:p>
            <w:pPr>
              <w:spacing w:after="20"/>
            </w:pPr>
            <w:r/>
            <w:r>
              <w:rPr>
                <w:sz w:val="17"/>
              </w:rPr>
              <w:t>Stock-on-hand (daily or weekly), in-transit and stock-out/availability flags exist at SKU×store</w:t>
            </w:r>
          </w:p>
        </w:tc>
        <w:tc>
          <w:tcPr>
            <w:tcW w:type="dxa" w:w="1189"/>
          </w:tcPr>
          <w:p>
            <w:pPr>
              <w:spacing w:after="20"/>
            </w:pPr>
            <w:r/>
            <w:r>
              <w:rPr>
                <w:sz w:val="17"/>
              </w:rPr>
              <w:t>Open question (top priority)</w:t>
            </w:r>
          </w:p>
        </w:tc>
        <w:tc>
          <w:tcPr>
            <w:tcW w:type="dxa" w:w="2321"/>
          </w:tcPr>
          <w:p>
            <w:pPr>
              <w:spacing w:after="20"/>
            </w:pPr>
            <w:r/>
            <w:r>
              <w:rPr>
                <w:sz w:val="17"/>
              </w:rPr>
              <w:t>If absent, demand must be inferred from zero-sales runs; accuracy of unconstrained demand and of stock-out KPIs drops; may need a data-capture workstream</w:t>
            </w:r>
          </w:p>
        </w:tc>
        <w:tc>
          <w:tcPr>
            <w:tcW w:type="dxa" w:w="1090"/>
          </w:tcPr>
          <w:p>
            <w:pPr>
              <w:spacing w:after="20"/>
            </w:pPr>
            <w:r/>
            <w:r>
              <w:rPr>
                <w:sz w:val="17"/>
              </w:rPr>
              <w:t>Client IT / supply chain</w:t>
            </w:r>
          </w:p>
        </w:tc>
        <w:tc>
          <w:tcPr>
            <w:tcW w:type="dxa" w:w="1090"/>
          </w:tcPr>
          <w:p>
            <w:pPr>
              <w:spacing w:after="20"/>
            </w:pPr>
            <w:r/>
            <w:r>
              <w:rPr>
                <w:sz w:val="17"/>
              </w:rPr>
              <w:t>Discovery week 1–2</w:t>
            </w:r>
          </w:p>
        </w:tc>
      </w:tr>
      <w:tr>
        <w:tc>
          <w:tcPr>
            <w:tcW w:type="dxa" w:w="961"/>
            <w:shd w:val="clear" w:color="auto" w:fill="F2F5F9"/>
          </w:tcPr>
          <w:p>
            <w:pPr>
              <w:spacing w:after="20"/>
            </w:pPr>
            <w:r/>
            <w:r>
              <w:rPr>
                <w:sz w:val="17"/>
              </w:rPr>
              <w:t>Q2</w:t>
            </w:r>
          </w:p>
        </w:tc>
        <w:tc>
          <w:tcPr>
            <w:tcW w:type="dxa" w:w="2986"/>
            <w:shd w:val="clear" w:color="auto" w:fill="F2F5F9"/>
          </w:tcPr>
          <w:p>
            <w:pPr>
              <w:spacing w:after="20"/>
            </w:pPr>
            <w:r/>
            <w:r>
              <w:rPr>
                <w:sz w:val="17"/>
              </w:rPr>
              <w:t>The promotion calendar is final before the Monday order, and past versions (as known at each order date) are retrievable; it includes mechanic, depth, SKU/store scope</w:t>
            </w:r>
          </w:p>
        </w:tc>
        <w:tc>
          <w:tcPr>
            <w:tcW w:type="dxa" w:w="1189"/>
            <w:shd w:val="clear" w:color="auto" w:fill="F2F5F9"/>
          </w:tcPr>
          <w:p>
            <w:pPr>
              <w:spacing w:after="20"/>
            </w:pPr>
            <w:r/>
            <w:r>
              <w:rPr>
                <w:sz w:val="17"/>
              </w:rPr>
              <w:t>Open question (top priority)</w:t>
            </w:r>
          </w:p>
        </w:tc>
        <w:tc>
          <w:tcPr>
            <w:tcW w:type="dxa" w:w="2321"/>
            <w:shd w:val="clear" w:color="auto" w:fill="F2F5F9"/>
          </w:tcPr>
          <w:p>
            <w:pPr>
              <w:spacing w:after="20"/>
            </w:pPr>
            <w:r/>
            <w:r>
              <w:rPr>
                <w:sz w:val="17"/>
              </w:rPr>
              <w:t>If only the final executed calendar exists, features must be restricted or lag-simulated; promo effect on backtests will be overstated</w:t>
            </w:r>
          </w:p>
        </w:tc>
        <w:tc>
          <w:tcPr>
            <w:tcW w:type="dxa" w:w="1090"/>
            <w:shd w:val="clear" w:color="auto" w:fill="F2F5F9"/>
          </w:tcPr>
          <w:p>
            <w:pPr>
              <w:spacing w:after="20"/>
            </w:pPr>
            <w:r/>
            <w:r>
              <w:rPr>
                <w:sz w:val="17"/>
              </w:rPr>
              <w:t>Category team</w:t>
            </w:r>
          </w:p>
        </w:tc>
        <w:tc>
          <w:tcPr>
            <w:tcW w:type="dxa" w:w="1090"/>
            <w:shd w:val="clear" w:color="auto" w:fill="F2F5F9"/>
          </w:tcPr>
          <w:p>
            <w:pPr>
              <w:spacing w:after="20"/>
            </w:pPr>
            <w:r/>
            <w:r>
              <w:rPr>
                <w:sz w:val="17"/>
              </w:rPr>
              <w:t>Week 1–2</w:t>
            </w:r>
          </w:p>
        </w:tc>
      </w:tr>
      <w:tr>
        <w:tc>
          <w:tcPr>
            <w:tcW w:type="dxa" w:w="961"/>
          </w:tcPr>
          <w:p>
            <w:pPr>
              <w:spacing w:after="20"/>
            </w:pPr>
            <w:r/>
            <w:r>
              <w:rPr>
                <w:sz w:val="17"/>
              </w:rPr>
              <w:t>Q3</w:t>
            </w:r>
          </w:p>
        </w:tc>
        <w:tc>
          <w:tcPr>
            <w:tcW w:type="dxa" w:w="2986"/>
          </w:tcPr>
          <w:p>
            <w:pPr>
              <w:spacing w:after="20"/>
            </w:pPr>
            <w:r/>
            <w:r>
              <w:rPr>
                <w:sz w:val="17"/>
              </w:rPr>
              <w:t>Orders are placed per store (not only per DC); the order grain and allocation logic are known</w:t>
            </w:r>
          </w:p>
        </w:tc>
        <w:tc>
          <w:tcPr>
            <w:tcW w:type="dxa" w:w="1189"/>
          </w:tcPr>
          <w:p>
            <w:pPr>
              <w:spacing w:after="20"/>
            </w:pPr>
            <w:r/>
            <w:r>
              <w:rPr>
                <w:sz w:val="17"/>
              </w:rPr>
              <w:t>Open question</w:t>
            </w:r>
          </w:p>
        </w:tc>
        <w:tc>
          <w:tcPr>
            <w:tcW w:type="dxa" w:w="2321"/>
          </w:tcPr>
          <w:p>
            <w:pPr>
              <w:spacing w:after="20"/>
            </w:pPr>
            <w:r/>
            <w:r>
              <w:rPr>
                <w:sz w:val="17"/>
              </w:rPr>
              <w:t>Changes target grain, hierarchy and what is "the decision"</w:t>
            </w:r>
          </w:p>
        </w:tc>
        <w:tc>
          <w:tcPr>
            <w:tcW w:type="dxa" w:w="1090"/>
          </w:tcPr>
          <w:p>
            <w:pPr>
              <w:spacing w:after="20"/>
            </w:pPr>
            <w:r/>
            <w:r>
              <w:rPr>
                <w:sz w:val="17"/>
              </w:rPr>
              <w:t>Supply chain</w:t>
            </w:r>
          </w:p>
        </w:tc>
        <w:tc>
          <w:tcPr>
            <w:tcW w:type="dxa" w:w="1090"/>
          </w:tcPr>
          <w:p>
            <w:pPr>
              <w:spacing w:after="20"/>
            </w:pPr>
            <w:r/>
            <w:r>
              <w:rPr>
                <w:sz w:val="17"/>
              </w:rPr>
              <w:t>Week 1</w:t>
            </w:r>
          </w:p>
        </w:tc>
      </w:tr>
      <w:tr>
        <w:tc>
          <w:tcPr>
            <w:tcW w:type="dxa" w:w="961"/>
            <w:shd w:val="clear" w:color="auto" w:fill="F2F5F9"/>
          </w:tcPr>
          <w:p>
            <w:pPr>
              <w:spacing w:after="20"/>
            </w:pPr>
            <w:r/>
            <w:r>
              <w:rPr>
                <w:sz w:val="17"/>
              </w:rPr>
              <w:t>Q4</w:t>
            </w:r>
          </w:p>
        </w:tc>
        <w:tc>
          <w:tcPr>
            <w:tcW w:type="dxa" w:w="2986"/>
            <w:shd w:val="clear" w:color="auto" w:fill="F2F5F9"/>
          </w:tcPr>
          <w:p>
            <w:pPr>
              <w:spacing w:after="20"/>
            </w:pPr>
            <w:r/>
            <w:r>
              <w:rPr>
                <w:sz w:val="17"/>
              </w:rPr>
              <w:t>Lead time per supplier/SKU (and its variability), MOQ, case-pack, shelf-life, DC cut-off</w:t>
            </w:r>
          </w:p>
        </w:tc>
        <w:tc>
          <w:tcPr>
            <w:tcW w:type="dxa" w:w="1189"/>
            <w:shd w:val="clear" w:color="auto" w:fill="F2F5F9"/>
          </w:tcPr>
          <w:p>
            <w:pPr>
              <w:spacing w:after="20"/>
            </w:pPr>
            <w:r/>
            <w:r>
              <w:rPr>
                <w:sz w:val="17"/>
              </w:rPr>
              <w:t>Open question</w:t>
            </w:r>
          </w:p>
        </w:tc>
        <w:tc>
          <w:tcPr>
            <w:tcW w:type="dxa" w:w="2321"/>
            <w:shd w:val="clear" w:color="auto" w:fill="F2F5F9"/>
          </w:tcPr>
          <w:p>
            <w:pPr>
              <w:spacing w:after="20"/>
            </w:pPr>
            <w:r/>
            <w:r>
              <w:rPr>
                <w:sz w:val="17"/>
              </w:rPr>
              <w:t>Determines protection interval, safety stock and perishable handling</w:t>
            </w:r>
          </w:p>
        </w:tc>
        <w:tc>
          <w:tcPr>
            <w:tcW w:type="dxa" w:w="1090"/>
            <w:shd w:val="clear" w:color="auto" w:fill="F2F5F9"/>
          </w:tcPr>
          <w:p>
            <w:pPr>
              <w:spacing w:after="20"/>
            </w:pPr>
            <w:r/>
            <w:r>
              <w:rPr>
                <w:sz w:val="17"/>
              </w:rPr>
              <w:t>Procurement</w:t>
            </w:r>
          </w:p>
        </w:tc>
        <w:tc>
          <w:tcPr>
            <w:tcW w:type="dxa" w:w="1090"/>
            <w:shd w:val="clear" w:color="auto" w:fill="F2F5F9"/>
          </w:tcPr>
          <w:p>
            <w:pPr>
              <w:spacing w:after="20"/>
            </w:pPr>
            <w:r/>
            <w:r>
              <w:rPr>
                <w:sz w:val="17"/>
              </w:rPr>
              <w:t>Week 2</w:t>
            </w:r>
          </w:p>
        </w:tc>
      </w:tr>
      <w:tr>
        <w:tc>
          <w:tcPr>
            <w:tcW w:type="dxa" w:w="961"/>
          </w:tcPr>
          <w:p>
            <w:pPr>
              <w:spacing w:after="20"/>
            </w:pPr>
            <w:r/>
            <w:r>
              <w:rPr>
                <w:sz w:val="17"/>
              </w:rPr>
              <w:t>Q5</w:t>
            </w:r>
          </w:p>
        </w:tc>
        <w:tc>
          <w:tcPr>
            <w:tcW w:type="dxa" w:w="2986"/>
          </w:tcPr>
          <w:p>
            <w:pPr>
              <w:spacing w:after="20"/>
            </w:pPr>
            <w:r/>
            <w:r>
              <w:rPr>
                <w:sz w:val="17"/>
              </w:rPr>
              <w:t>Which festivals matter per state/store, and which categories/SKUs are festival-driven</w:t>
            </w:r>
          </w:p>
        </w:tc>
        <w:tc>
          <w:tcPr>
            <w:tcW w:type="dxa" w:w="1189"/>
          </w:tcPr>
          <w:p>
            <w:pPr>
              <w:spacing w:after="20"/>
            </w:pPr>
            <w:r/>
            <w:r>
              <w:rPr>
                <w:sz w:val="17"/>
              </w:rPr>
              <w:t>Open question</w:t>
            </w:r>
          </w:p>
        </w:tc>
        <w:tc>
          <w:tcPr>
            <w:tcW w:type="dxa" w:w="2321"/>
          </w:tcPr>
          <w:p>
            <w:pPr>
              <w:spacing w:after="20"/>
            </w:pPr>
            <w:r/>
            <w:r>
              <w:rPr>
                <w:sz w:val="17"/>
              </w:rPr>
              <w:t>Wrong mapping dilutes festival features</w:t>
            </w:r>
          </w:p>
        </w:tc>
        <w:tc>
          <w:tcPr>
            <w:tcW w:type="dxa" w:w="1090"/>
          </w:tcPr>
          <w:p>
            <w:pPr>
              <w:spacing w:after="20"/>
            </w:pPr>
            <w:r/>
            <w:r>
              <w:rPr>
                <w:sz w:val="17"/>
              </w:rPr>
              <w:t>Category team</w:t>
            </w:r>
          </w:p>
        </w:tc>
        <w:tc>
          <w:tcPr>
            <w:tcW w:type="dxa" w:w="1090"/>
          </w:tcPr>
          <w:p>
            <w:pPr>
              <w:spacing w:after="20"/>
            </w:pPr>
            <w:r/>
            <w:r>
              <w:rPr>
                <w:sz w:val="17"/>
              </w:rPr>
              <w:t>Week 2</w:t>
            </w:r>
          </w:p>
        </w:tc>
      </w:tr>
      <w:tr>
        <w:tc>
          <w:tcPr>
            <w:tcW w:type="dxa" w:w="961"/>
            <w:shd w:val="clear" w:color="auto" w:fill="F2F5F9"/>
          </w:tcPr>
          <w:p>
            <w:pPr>
              <w:spacing w:after="20"/>
            </w:pPr>
            <w:r/>
            <w:r>
              <w:rPr>
                <w:sz w:val="17"/>
              </w:rPr>
              <w:t>A1</w:t>
            </w:r>
          </w:p>
        </w:tc>
        <w:tc>
          <w:tcPr>
            <w:tcW w:type="dxa" w:w="2986"/>
            <w:shd w:val="clear" w:color="auto" w:fill="F2F5F9"/>
          </w:tcPr>
          <w:p>
            <w:pPr>
              <w:spacing w:after="20"/>
            </w:pPr>
            <w:r/>
            <w:r>
              <w:rPr>
                <w:sz w:val="17"/>
              </w:rPr>
              <w:t>POS history is ~3 years (per brief), complete and consistent, with SKU, store, timestamp, quantity, net value and bill ID fields</w:t>
            </w:r>
          </w:p>
        </w:tc>
        <w:tc>
          <w:tcPr>
            <w:tcW w:type="dxa" w:w="1189"/>
            <w:shd w:val="clear" w:color="auto" w:fill="F2F5F9"/>
          </w:tcPr>
          <w:p>
            <w:pPr>
              <w:spacing w:after="20"/>
            </w:pPr>
            <w:r/>
            <w:r>
              <w:rPr>
                <w:sz w:val="17"/>
              </w:rPr>
              <w:t xml:space="preserve">Assumption </w:t>
            </w:r>
            <w:r>
              <w:rPr>
                <w:b/>
                <w:color w:val="B36B00"/>
                <w:sz w:val="17"/>
              </w:rPr>
              <w:t>[Assumed]</w:t>
            </w:r>
            <w:r>
              <w:rPr>
                <w:sz w:val="17"/>
              </w:rPr>
              <w:t xml:space="preserve"> for completeness and fields</w:t>
            </w:r>
          </w:p>
        </w:tc>
        <w:tc>
          <w:tcPr>
            <w:tcW w:type="dxa" w:w="2321"/>
            <w:shd w:val="clear" w:color="auto" w:fill="F2F5F9"/>
          </w:tcPr>
          <w:p>
            <w:pPr>
              <w:spacing w:after="20"/>
            </w:pPr>
            <w:r/>
            <w:r>
              <w:rPr>
                <w:sz w:val="17"/>
              </w:rPr>
              <w:t>Missing months or store migrations create structural breaks</w:t>
            </w:r>
          </w:p>
        </w:tc>
        <w:tc>
          <w:tcPr>
            <w:tcW w:type="dxa" w:w="1090"/>
            <w:shd w:val="clear" w:color="auto" w:fill="F2F5F9"/>
          </w:tcPr>
          <w:p>
            <w:pPr>
              <w:spacing w:after="20"/>
            </w:pPr>
            <w:r/>
            <w:r>
              <w:rPr>
                <w:sz w:val="17"/>
              </w:rPr>
              <w:t>Client IT</w:t>
            </w:r>
          </w:p>
        </w:tc>
        <w:tc>
          <w:tcPr>
            <w:tcW w:type="dxa" w:w="1090"/>
            <w:shd w:val="clear" w:color="auto" w:fill="F2F5F9"/>
          </w:tcPr>
          <w:p>
            <w:pPr>
              <w:spacing w:after="20"/>
            </w:pPr>
            <w:r/>
            <w:r>
              <w:rPr>
                <w:sz w:val="17"/>
              </w:rPr>
              <w:t>Week 1</w:t>
            </w:r>
          </w:p>
        </w:tc>
      </w:tr>
      <w:tr>
        <w:tc>
          <w:tcPr>
            <w:tcW w:type="dxa" w:w="961"/>
          </w:tcPr>
          <w:p>
            <w:pPr>
              <w:spacing w:after="20"/>
            </w:pPr>
            <w:r/>
            <w:r>
              <w:rPr>
                <w:sz w:val="17"/>
              </w:rPr>
              <w:t>A2</w:t>
            </w:r>
          </w:p>
        </w:tc>
        <w:tc>
          <w:tcPr>
            <w:tcW w:type="dxa" w:w="2986"/>
          </w:tcPr>
          <w:p>
            <w:pPr>
              <w:spacing w:after="20"/>
            </w:pPr>
            <w:r/>
            <w:r>
              <w:rPr>
                <w:sz w:val="17"/>
              </w:rPr>
              <w:t>Loyalty/customer identifiers on POS lines are not needed and will be excluded</w:t>
            </w:r>
          </w:p>
        </w:tc>
        <w:tc>
          <w:tcPr>
            <w:tcW w:type="dxa" w:w="1189"/>
          </w:tcPr>
          <w:p>
            <w:pPr>
              <w:spacing w:after="20"/>
            </w:pPr>
            <w:r/>
            <w:r>
              <w:rPr>
                <w:sz w:val="17"/>
              </w:rPr>
              <w:t>Assumption</w:t>
            </w:r>
          </w:p>
        </w:tc>
        <w:tc>
          <w:tcPr>
            <w:tcW w:type="dxa" w:w="2321"/>
          </w:tcPr>
          <w:p>
            <w:pPr>
              <w:spacing w:after="20"/>
            </w:pPr>
            <w:r/>
            <w:r>
              <w:rPr>
                <w:sz w:val="17"/>
              </w:rPr>
              <w:t>Reduces privacy scope; if wrongly included, adds DPDP obligations</w:t>
            </w:r>
          </w:p>
        </w:tc>
        <w:tc>
          <w:tcPr>
            <w:tcW w:type="dxa" w:w="1090"/>
          </w:tcPr>
          <w:p>
            <w:pPr>
              <w:spacing w:after="20"/>
            </w:pPr>
            <w:r/>
            <w:r>
              <w:rPr>
                <w:sz w:val="17"/>
              </w:rPr>
              <w:t>DS lead</w:t>
            </w:r>
          </w:p>
        </w:tc>
        <w:tc>
          <w:tcPr>
            <w:tcW w:type="dxa" w:w="1090"/>
          </w:tcPr>
          <w:p>
            <w:pPr>
              <w:spacing w:after="20"/>
            </w:pPr>
            <w:r/>
            <w:r>
              <w:rPr>
                <w:sz w:val="17"/>
              </w:rPr>
              <w:t>Week 1</w:t>
            </w:r>
          </w:p>
        </w:tc>
      </w:tr>
      <w:tr>
        <w:tc>
          <w:tcPr>
            <w:tcW w:type="dxa" w:w="961"/>
            <w:shd w:val="clear" w:color="auto" w:fill="F2F5F9"/>
          </w:tcPr>
          <w:p>
            <w:pPr>
              <w:spacing w:after="20"/>
            </w:pPr>
            <w:r/>
            <w:r>
              <w:rPr>
                <w:sz w:val="17"/>
              </w:rPr>
              <w:t>A3</w:t>
            </w:r>
          </w:p>
        </w:tc>
        <w:tc>
          <w:tcPr>
            <w:tcW w:type="dxa" w:w="2986"/>
            <w:shd w:val="clear" w:color="auto" w:fill="F2F5F9"/>
          </w:tcPr>
          <w:p>
            <w:pPr>
              <w:spacing w:after="20"/>
            </w:pPr>
            <w:r/>
            <w:r>
              <w:rPr>
                <w:sz w:val="17"/>
              </w:rPr>
              <w:t>The planners will review and may override recommendations</w:t>
            </w:r>
          </w:p>
        </w:tc>
        <w:tc>
          <w:tcPr>
            <w:tcW w:type="dxa" w:w="1189"/>
            <w:shd w:val="clear" w:color="auto" w:fill="F2F5F9"/>
          </w:tcPr>
          <w:p>
            <w:pPr>
              <w:spacing w:after="20"/>
            </w:pPr>
            <w:r/>
            <w:r>
              <w:rPr>
                <w:sz w:val="17"/>
              </w:rPr>
              <w:t>Assumption</w:t>
            </w:r>
          </w:p>
        </w:tc>
        <w:tc>
          <w:tcPr>
            <w:tcW w:type="dxa" w:w="2321"/>
            <w:shd w:val="clear" w:color="auto" w:fill="F2F5F9"/>
          </w:tcPr>
          <w:p>
            <w:pPr>
              <w:spacing w:after="20"/>
            </w:pPr>
            <w:r/>
            <w:r>
              <w:rPr>
                <w:sz w:val="17"/>
              </w:rPr>
              <w:t>If fully automated ordering is expected, governance needs change</w:t>
            </w:r>
          </w:p>
        </w:tc>
        <w:tc>
          <w:tcPr>
            <w:tcW w:type="dxa" w:w="1090"/>
            <w:shd w:val="clear" w:color="auto" w:fill="F2F5F9"/>
          </w:tcPr>
          <w:p>
            <w:pPr>
              <w:spacing w:after="20"/>
            </w:pPr>
            <w:r/>
            <w:r>
              <w:rPr>
                <w:sz w:val="17"/>
              </w:rPr>
              <w:t>Business sponsor</w:t>
            </w:r>
          </w:p>
        </w:tc>
        <w:tc>
          <w:tcPr>
            <w:tcW w:type="dxa" w:w="1090"/>
            <w:shd w:val="clear" w:color="auto" w:fill="F2F5F9"/>
          </w:tcPr>
          <w:p>
            <w:pPr>
              <w:spacing w:after="20"/>
            </w:pPr>
            <w:r/>
            <w:r>
              <w:rPr>
                <w:sz w:val="17"/>
              </w:rPr>
              <w:t>Week 4</w:t>
            </w:r>
          </w:p>
        </w:tc>
      </w:tr>
      <w:tr>
        <w:tc>
          <w:tcPr>
            <w:tcW w:type="dxa" w:w="961"/>
          </w:tcPr>
          <w:p>
            <w:pPr>
              <w:spacing w:after="20"/>
            </w:pPr>
            <w:r/>
            <w:r>
              <w:rPr>
                <w:sz w:val="17"/>
              </w:rPr>
              <w:t>A4</w:t>
            </w:r>
          </w:p>
        </w:tc>
        <w:tc>
          <w:tcPr>
            <w:tcW w:type="dxa" w:w="2986"/>
          </w:tcPr>
          <w:p>
            <w:pPr>
              <w:spacing w:after="20"/>
            </w:pPr>
            <w:r/>
            <w:r>
              <w:rPr>
                <w:sz w:val="17"/>
              </w:rPr>
              <w:t>No known data from before the last 3 years is usable</w:t>
            </w:r>
          </w:p>
        </w:tc>
        <w:tc>
          <w:tcPr>
            <w:tcW w:type="dxa" w:w="1189"/>
          </w:tcPr>
          <w:p>
            <w:pPr>
              <w:spacing w:after="20"/>
            </w:pPr>
            <w:r/>
            <w:r>
              <w:rPr>
                <w:sz w:val="17"/>
              </w:rPr>
              <w:t>Assumption</w:t>
            </w:r>
          </w:p>
        </w:tc>
        <w:tc>
          <w:tcPr>
            <w:tcW w:type="dxa" w:w="2321"/>
          </w:tcPr>
          <w:p>
            <w:pPr>
              <w:spacing w:after="20"/>
            </w:pPr>
            <w:r/>
            <w:r>
              <w:rPr>
                <w:sz w:val="17"/>
              </w:rPr>
              <w:t>Would help festival learning if older data exists</w:t>
            </w:r>
          </w:p>
        </w:tc>
        <w:tc>
          <w:tcPr>
            <w:tcW w:type="dxa" w:w="1090"/>
          </w:tcPr>
          <w:p>
            <w:pPr>
              <w:spacing w:after="20"/>
            </w:pPr>
            <w:r/>
            <w:r>
              <w:rPr>
                <w:sz w:val="17"/>
              </w:rPr>
              <w:t>Client IT</w:t>
            </w:r>
          </w:p>
        </w:tc>
        <w:tc>
          <w:tcPr>
            <w:tcW w:type="dxa" w:w="1090"/>
          </w:tcPr>
          <w:p>
            <w:pPr>
              <w:spacing w:after="20"/>
            </w:pPr>
            <w:r/>
            <w:r>
              <w:rPr>
                <w:sz w:val="17"/>
              </w:rPr>
              <w:t>Week 1</w:t>
            </w:r>
          </w:p>
        </w:tc>
      </w:tr>
      <w:tr>
        <w:tc>
          <w:tcPr>
            <w:tcW w:type="dxa" w:w="961"/>
            <w:shd w:val="clear" w:color="auto" w:fill="F2F5F9"/>
          </w:tcPr>
          <w:p>
            <w:pPr>
              <w:spacing w:after="20"/>
            </w:pPr>
            <w:r/>
            <w:r>
              <w:rPr>
                <w:sz w:val="17"/>
              </w:rPr>
              <w:t>A5</w:t>
            </w:r>
          </w:p>
        </w:tc>
        <w:tc>
          <w:tcPr>
            <w:tcW w:type="dxa" w:w="2986"/>
            <w:shd w:val="clear" w:color="auto" w:fill="F2F5F9"/>
          </w:tcPr>
          <w:p>
            <w:pPr>
              <w:spacing w:after="20"/>
            </w:pPr>
            <w:r/>
            <w:r>
              <w:rPr>
                <w:sz w:val="17"/>
              </w:rPr>
              <w:t xml:space="preserve">Current accuracy is </w:t>
            </w:r>
            <w:r>
              <w:rPr>
                <w:b/>
                <w:sz w:val="17"/>
              </w:rPr>
              <w:t>not</w:t>
            </w:r>
            <w:r>
              <w:rPr>
                <w:sz w:val="17"/>
              </w:rPr>
              <w:t xml:space="preserve"> known; we will reconstruct it by backtest</w:t>
            </w:r>
          </w:p>
        </w:tc>
        <w:tc>
          <w:tcPr>
            <w:tcW w:type="dxa" w:w="1189"/>
            <w:shd w:val="clear" w:color="auto" w:fill="F2F5F9"/>
          </w:tcPr>
          <w:p>
            <w:pPr>
              <w:spacing w:after="20"/>
            </w:pPr>
            <w:r/>
            <w:r>
              <w:rPr>
                <w:sz w:val="17"/>
              </w:rPr>
              <w:t>Open question (not in the brief)</w:t>
            </w:r>
          </w:p>
        </w:tc>
        <w:tc>
          <w:tcPr>
            <w:tcW w:type="dxa" w:w="2321"/>
            <w:shd w:val="clear" w:color="auto" w:fill="F2F5F9"/>
          </w:tcPr>
          <w:p>
            <w:pPr>
              <w:spacing w:after="20"/>
            </w:pPr>
            <w:r/>
            <w:r>
              <w:rPr>
                <w:sz w:val="17"/>
              </w:rPr>
              <w:t>None</w:t>
            </w:r>
          </w:p>
        </w:tc>
        <w:tc>
          <w:tcPr>
            <w:tcW w:type="dxa" w:w="1090"/>
            <w:shd w:val="clear" w:color="auto" w:fill="F2F5F9"/>
          </w:tcPr>
          <w:p>
            <w:pPr>
              <w:spacing w:after="20"/>
            </w:pPr>
            <w:r/>
            <w:r>
              <w:rPr>
                <w:sz w:val="17"/>
              </w:rPr>
              <w:t>DS team</w:t>
            </w:r>
          </w:p>
        </w:tc>
        <w:tc>
          <w:tcPr>
            <w:tcW w:type="dxa" w:w="1090"/>
            <w:shd w:val="clear" w:color="auto" w:fill="F2F5F9"/>
          </w:tcPr>
          <w:p>
            <w:pPr>
              <w:spacing w:after="20"/>
            </w:pPr>
            <w:r/>
            <w:r>
              <w:rPr>
                <w:sz w:val="17"/>
              </w:rPr>
              <w:t>Week 3</w:t>
            </w:r>
          </w:p>
        </w:tc>
      </w:tr>
      <w:tr>
        <w:tc>
          <w:tcPr>
            <w:tcW w:type="dxa" w:w="961"/>
          </w:tcPr>
          <w:p>
            <w:pPr>
              <w:spacing w:after="20"/>
            </w:pPr>
            <w:r/>
            <w:r>
              <w:rPr>
                <w:sz w:val="17"/>
              </w:rPr>
              <w:t>A6</w:t>
            </w:r>
          </w:p>
        </w:tc>
        <w:tc>
          <w:tcPr>
            <w:tcW w:type="dxa" w:w="2986"/>
          </w:tcPr>
          <w:p>
            <w:pPr>
              <w:spacing w:after="20"/>
            </w:pPr>
            <w:r/>
            <w:r>
              <w:rPr>
                <w:sz w:val="17"/>
              </w:rPr>
              <w:t>Festival calendar for the autumn season is imminent (Diwali 2026 date to be verified); a full model cannot be live before it</w:t>
            </w:r>
          </w:p>
        </w:tc>
        <w:tc>
          <w:tcPr>
            <w:tcW w:type="dxa" w:w="1189"/>
          </w:tcPr>
          <w:p>
            <w:pPr>
              <w:spacing w:after="20"/>
            </w:pPr>
            <w:r/>
            <w:r>
              <w:rPr>
                <w:sz w:val="17"/>
              </w:rPr>
              <w:t xml:space="preserve">Assumption </w:t>
            </w:r>
            <w:r>
              <w:rPr>
                <w:b/>
                <w:color w:val="C0392B"/>
                <w:sz w:val="17"/>
              </w:rPr>
              <w:t>[To investigate]</w:t>
            </w:r>
          </w:p>
        </w:tc>
        <w:tc>
          <w:tcPr>
            <w:tcW w:type="dxa" w:w="2321"/>
          </w:tcPr>
          <w:p>
            <w:pPr>
              <w:spacing w:after="20"/>
            </w:pPr>
            <w:r/>
            <w:r>
              <w:rPr>
                <w:sz w:val="17"/>
              </w:rPr>
              <w:t>Set expectations: use an interim festival uplift rule for this season</w:t>
            </w:r>
          </w:p>
        </w:tc>
        <w:tc>
          <w:tcPr>
            <w:tcW w:type="dxa" w:w="1090"/>
          </w:tcPr>
          <w:p>
            <w:pPr>
              <w:spacing w:after="20"/>
            </w:pPr>
            <w:r/>
            <w:r>
              <w:rPr>
                <w:sz w:val="17"/>
              </w:rPr>
              <w:t>Business sponsor</w:t>
            </w:r>
          </w:p>
        </w:tc>
        <w:tc>
          <w:tcPr>
            <w:tcW w:type="dxa" w:w="1090"/>
          </w:tcPr>
          <w:p>
            <w:pPr>
              <w:spacing w:after="20"/>
            </w:pPr>
            <w:r/>
            <w:r>
              <w:rPr>
                <w:sz w:val="17"/>
              </w:rPr>
              <w:t>Immediately</w:t>
            </w:r>
          </w:p>
        </w:tc>
      </w:tr>
      <w:tr>
        <w:tc>
          <w:tcPr>
            <w:tcW w:type="dxa" w:w="961"/>
            <w:shd w:val="clear" w:color="auto" w:fill="F2F5F9"/>
          </w:tcPr>
          <w:p>
            <w:pPr>
              <w:spacing w:after="20"/>
            </w:pPr>
            <w:r/>
            <w:r>
              <w:rPr>
                <w:sz w:val="17"/>
              </w:rPr>
              <w:t>Q6</w:t>
            </w:r>
          </w:p>
        </w:tc>
        <w:tc>
          <w:tcPr>
            <w:tcW w:type="dxa" w:w="2986"/>
            <w:shd w:val="clear" w:color="auto" w:fill="F2F5F9"/>
          </w:tcPr>
          <w:p>
            <w:pPr>
              <w:spacing w:after="20"/>
            </w:pPr>
            <w:r/>
            <w:r>
              <w:rPr>
                <w:sz w:val="17"/>
              </w:rPr>
              <w:t>Targets: acceptable stock-out rate, inventory increase and service level by category</w:t>
            </w:r>
          </w:p>
        </w:tc>
        <w:tc>
          <w:tcPr>
            <w:tcW w:type="dxa" w:w="1189"/>
            <w:shd w:val="clear" w:color="auto" w:fill="F2F5F9"/>
          </w:tcPr>
          <w:p>
            <w:pPr>
              <w:spacing w:after="20"/>
            </w:pPr>
            <w:r/>
            <w:r>
              <w:rPr>
                <w:sz w:val="17"/>
              </w:rPr>
              <w:t>Open question</w:t>
            </w:r>
          </w:p>
        </w:tc>
        <w:tc>
          <w:tcPr>
            <w:tcW w:type="dxa" w:w="2321"/>
            <w:shd w:val="clear" w:color="auto" w:fill="F2F5F9"/>
          </w:tcPr>
          <w:p>
            <w:pPr>
              <w:spacing w:after="20"/>
            </w:pPr>
            <w:r/>
            <w:r>
              <w:rPr>
                <w:sz w:val="17"/>
              </w:rPr>
              <w:t>Needed to define pass/fail</w:t>
            </w:r>
          </w:p>
        </w:tc>
        <w:tc>
          <w:tcPr>
            <w:tcW w:type="dxa" w:w="1090"/>
            <w:shd w:val="clear" w:color="auto" w:fill="F2F5F9"/>
          </w:tcPr>
          <w:p>
            <w:pPr>
              <w:spacing w:after="20"/>
            </w:pPr>
            <w:r/>
            <w:r>
              <w:rPr>
                <w:sz w:val="17"/>
              </w:rPr>
              <w:t>Leadership</w:t>
            </w:r>
          </w:p>
        </w:tc>
        <w:tc>
          <w:tcPr>
            <w:tcW w:type="dxa" w:w="1090"/>
            <w:shd w:val="clear" w:color="auto" w:fill="F2F5F9"/>
          </w:tcPr>
          <w:p>
            <w:pPr>
              <w:spacing w:after="20"/>
            </w:pPr>
            <w:r/>
            <w:r>
              <w:rPr>
                <w:sz w:val="17"/>
              </w:rPr>
              <w:t>Week 3</w:t>
            </w:r>
          </w:p>
        </w:tc>
      </w:tr>
      <w:tr>
        <w:tc>
          <w:tcPr>
            <w:tcW w:type="dxa" w:w="961"/>
          </w:tcPr>
          <w:p>
            <w:pPr>
              <w:spacing w:after="20"/>
            </w:pPr>
            <w:r/>
            <w:r>
              <w:rPr>
                <w:sz w:val="17"/>
              </w:rPr>
              <w:t>Q7</w:t>
            </w:r>
          </w:p>
        </w:tc>
        <w:tc>
          <w:tcPr>
            <w:tcW w:type="dxa" w:w="2986"/>
          </w:tcPr>
          <w:p>
            <w:pPr>
              <w:spacing w:after="20"/>
            </w:pPr>
            <w:r/>
            <w:r>
              <w:rPr>
                <w:sz w:val="17"/>
              </w:rPr>
              <w:t>Compute/stack in client environment (cloud vs on-prem, Python allowed, scheduler)</w:t>
            </w:r>
          </w:p>
        </w:tc>
        <w:tc>
          <w:tcPr>
            <w:tcW w:type="dxa" w:w="1189"/>
          </w:tcPr>
          <w:p>
            <w:pPr>
              <w:spacing w:after="20"/>
            </w:pPr>
            <w:r/>
            <w:r>
              <w:rPr>
                <w:sz w:val="17"/>
              </w:rPr>
              <w:t>Open question</w:t>
            </w:r>
          </w:p>
        </w:tc>
        <w:tc>
          <w:tcPr>
            <w:tcW w:type="dxa" w:w="2321"/>
          </w:tcPr>
          <w:p>
            <w:pPr>
              <w:spacing w:after="20"/>
            </w:pPr>
            <w:r/>
            <w:r>
              <w:rPr>
                <w:sz w:val="17"/>
              </w:rPr>
              <w:t>Affects deployment and roadmap effort</w:t>
            </w:r>
          </w:p>
        </w:tc>
        <w:tc>
          <w:tcPr>
            <w:tcW w:type="dxa" w:w="1090"/>
          </w:tcPr>
          <w:p>
            <w:pPr>
              <w:spacing w:after="20"/>
            </w:pPr>
            <w:r/>
            <w:r>
              <w:rPr>
                <w:sz w:val="17"/>
              </w:rPr>
              <w:t>Client IT</w:t>
            </w:r>
          </w:p>
        </w:tc>
        <w:tc>
          <w:tcPr>
            <w:tcW w:type="dxa" w:w="1090"/>
          </w:tcPr>
          <w:p>
            <w:pPr>
              <w:spacing w:after="20"/>
            </w:pPr>
            <w:r/>
            <w:r>
              <w:rPr>
                <w:sz w:val="17"/>
              </w:rPr>
              <w:t>Week 2</w:t>
            </w:r>
          </w:p>
        </w:tc>
      </w:tr>
    </w:tbl>
    <w:p>
      <w:pPr>
        <w:spacing w:after="40"/>
      </w:pPr>
    </w:p>
    <w:p>
      <w:pPr>
        <w:shd w:val="clear" w:color="auto" w:fill="EAF2FB"/>
        <w:pBdr>
          <w:left w:val="single" w:sz="18" w:space="8" w:color="2E75B6"/>
        </w:pBdr>
        <w:spacing w:before="80" w:after="120"/>
        <w:ind w:left="170"/>
      </w:pPr>
      <w:r>
        <w:rPr>
          <w:b/>
        </w:rPr>
        <w:t>Open question:</w:t>
      </w:r>
      <w:r>
        <w:rPr/>
        <w:t xml:space="preserve"> Q1 and Q2 are the two answers that most change the plan; if either is "no", the Discovery phase gains a data-capture/reconstruction work package and the timeline in §19 extends.</w:t>
      </w:r>
    </w:p>
    <w:p>
      <w:pPr>
        <w:pStyle w:val="Heading2"/>
      </w:pPr>
      <w:r>
        <w:rPr/>
        <w:t>5. Data Inventory &amp; Feasibility Assessment</w:t>
      </w:r>
    </w:p>
    <w:tbl>
      <w:tblPr>
        <w:tblStyle w:val="TableGrid"/>
        <w:tblW w:type="auto" w:w="0"/>
        <w:jc w:val="center"/>
        <w:tblLayout w:type="fixed"/>
        <w:tblLook w:firstColumn="1" w:firstRow="1" w:lastColumn="0" w:lastRow="0" w:noHBand="0" w:noVBand="1" w:val="04A0"/>
        <w:tblLayout w:type="fixed"/>
      </w:tblPr>
      <w:tblGrid>
        <w:gridCol w:w="873"/>
        <w:gridCol w:w="1407"/>
        <w:gridCol w:w="914"/>
        <w:gridCol w:w="1266"/>
        <w:gridCol w:w="844"/>
        <w:gridCol w:w="930"/>
        <w:gridCol w:w="1157"/>
        <w:gridCol w:w="1196"/>
        <w:gridCol w:w="1052"/>
      </w:tblGrid>
      <w:tr>
        <w:trPr>
          <w:tblHeader w:val="true"/>
        </w:trPr>
        <w:tc>
          <w:tcPr>
            <w:tcW w:type="dxa" w:w="873"/>
            <w:shd w:val="clear" w:color="auto" w:fill="1F3A5F"/>
          </w:tcPr>
          <w:p>
            <w:r/>
            <w:r>
              <w:rPr>
                <w:b/>
                <w:color w:val="FFFFFF"/>
                <w:sz w:val="15"/>
              </w:rPr>
              <w:t>Source</w:t>
            </w:r>
          </w:p>
        </w:tc>
        <w:tc>
          <w:tcPr>
            <w:tcW w:type="dxa" w:w="1407"/>
            <w:shd w:val="clear" w:color="auto" w:fill="1F3A5F"/>
          </w:tcPr>
          <w:p>
            <w:r/>
            <w:r>
              <w:rPr>
                <w:b/>
                <w:color w:val="FFFFFF"/>
                <w:sz w:val="15"/>
              </w:rPr>
              <w:t>Business meaning</w:t>
            </w:r>
          </w:p>
        </w:tc>
        <w:tc>
          <w:tcPr>
            <w:tcW w:type="dxa" w:w="914"/>
            <w:shd w:val="clear" w:color="auto" w:fill="1F3A5F"/>
          </w:tcPr>
          <w:p>
            <w:r/>
            <w:r>
              <w:rPr>
                <w:b/>
                <w:color w:val="FFFFFF"/>
                <w:sz w:val="15"/>
              </w:rPr>
              <w:t>Owner</w:t>
            </w:r>
          </w:p>
        </w:tc>
        <w:tc>
          <w:tcPr>
            <w:tcW w:type="dxa" w:w="1266"/>
            <w:shd w:val="clear" w:color="auto" w:fill="1F3A5F"/>
          </w:tcPr>
          <w:p>
            <w:r/>
            <w:r>
              <w:rPr>
                <w:b/>
                <w:color w:val="FFFFFF"/>
                <w:sz w:val="15"/>
              </w:rPr>
              <w:t>Grain/keys</w:t>
            </w:r>
          </w:p>
        </w:tc>
        <w:tc>
          <w:tcPr>
            <w:tcW w:type="dxa" w:w="844"/>
            <w:shd w:val="clear" w:color="auto" w:fill="1F3A5F"/>
          </w:tcPr>
          <w:p>
            <w:r/>
            <w:r>
              <w:rPr>
                <w:b/>
                <w:color w:val="FFFFFF"/>
                <w:sz w:val="15"/>
              </w:rPr>
              <w:t>Coverage &amp; refresh</w:t>
            </w:r>
          </w:p>
        </w:tc>
        <w:tc>
          <w:tcPr>
            <w:tcW w:type="dxa" w:w="930"/>
            <w:shd w:val="clear" w:color="auto" w:fill="1F3A5F"/>
          </w:tcPr>
          <w:p>
            <w:r/>
            <w:r>
              <w:rPr>
                <w:b/>
                <w:color w:val="FFFFFF"/>
                <w:sz w:val="15"/>
              </w:rPr>
              <w:t>Point-in-time available?</w:t>
            </w:r>
          </w:p>
        </w:tc>
        <w:tc>
          <w:tcPr>
            <w:tcW w:type="dxa" w:w="1157"/>
            <w:shd w:val="clear" w:color="auto" w:fill="1F3A5F"/>
          </w:tcPr>
          <w:p>
            <w:r/>
            <w:r>
              <w:rPr>
                <w:b/>
                <w:color w:val="FFFFFF"/>
                <w:sz w:val="15"/>
              </w:rPr>
              <w:t>Quality risks</w:t>
            </w:r>
          </w:p>
        </w:tc>
        <w:tc>
          <w:tcPr>
            <w:tcW w:type="dxa" w:w="1196"/>
            <w:shd w:val="clear" w:color="auto" w:fill="1F3A5F"/>
          </w:tcPr>
          <w:p>
            <w:r/>
            <w:r>
              <w:rPr>
                <w:b/>
                <w:color w:val="FFFFFF"/>
                <w:sz w:val="15"/>
              </w:rPr>
              <w:t>Privacy/licensing</w:t>
            </w:r>
          </w:p>
        </w:tc>
        <w:tc>
          <w:tcPr>
            <w:tcW w:type="dxa" w:w="1052"/>
            <w:shd w:val="clear" w:color="auto" w:fill="1F3A5F"/>
          </w:tcPr>
          <w:p>
            <w:r/>
            <w:r>
              <w:rPr>
                <w:b/>
                <w:color w:val="FFFFFF"/>
                <w:sz w:val="15"/>
              </w:rPr>
              <w:t>Status</w:t>
            </w:r>
          </w:p>
        </w:tc>
      </w:tr>
      <w:tr>
        <w:tc>
          <w:tcPr>
            <w:tcW w:type="dxa" w:w="873"/>
          </w:tcPr>
          <w:p>
            <w:pPr>
              <w:spacing w:after="20"/>
            </w:pPr>
            <w:r/>
            <w:r>
              <w:rPr>
                <w:sz w:val="15"/>
              </w:rPr>
              <w:t>POS line-level sales</w:t>
            </w:r>
          </w:p>
        </w:tc>
        <w:tc>
          <w:tcPr>
            <w:tcW w:type="dxa" w:w="1407"/>
          </w:tcPr>
          <w:p>
            <w:pPr>
              <w:spacing w:after="20"/>
            </w:pPr>
            <w:r/>
            <w:r>
              <w:rPr>
                <w:sz w:val="15"/>
              </w:rPr>
              <w:t>What was sold, where, when</w:t>
            </w:r>
          </w:p>
        </w:tc>
        <w:tc>
          <w:tcPr>
            <w:tcW w:type="dxa" w:w="914"/>
          </w:tcPr>
          <w:p>
            <w:pPr>
              <w:spacing w:after="20"/>
            </w:pPr>
            <w:r/>
            <w:r>
              <w:rPr>
                <w:sz w:val="15"/>
              </w:rPr>
              <w:t>Client IT / retail ops</w:t>
            </w:r>
          </w:p>
        </w:tc>
        <w:tc>
          <w:tcPr>
            <w:tcW w:type="dxa" w:w="1266"/>
          </w:tcPr>
          <w:p>
            <w:pPr>
              <w:spacing w:after="20"/>
            </w:pPr>
            <w:r/>
            <w:r>
              <w:rPr>
                <w:sz w:val="15"/>
              </w:rPr>
              <w:t>Bill line: store, SKU, timestamp, qty, value, discount [Assumed field list]</w:t>
            </w:r>
          </w:p>
        </w:tc>
        <w:tc>
          <w:tcPr>
            <w:tcW w:type="dxa" w:w="844"/>
          </w:tcPr>
          <w:p>
            <w:pPr>
              <w:spacing w:after="20"/>
            </w:pPr>
            <w:r/>
            <w:r>
              <w:rPr>
                <w:sz w:val="15"/>
              </w:rPr>
              <w:t xml:space="preserve">3 years per brief; refresh </w:t>
            </w:r>
            <w:r>
              <w:rPr>
                <w:b/>
                <w:color w:val="C0392B"/>
                <w:sz w:val="15"/>
              </w:rPr>
              <w:t>[To investigate]</w:t>
            </w:r>
          </w:p>
        </w:tc>
        <w:tc>
          <w:tcPr>
            <w:tcW w:type="dxa" w:w="930"/>
          </w:tcPr>
          <w:p>
            <w:pPr>
              <w:spacing w:after="20"/>
            </w:pPr>
            <w:r/>
            <w:r>
              <w:rPr>
                <w:sz w:val="15"/>
              </w:rPr>
              <w:t xml:space="preserve">Yes, through Sunday for the Monday run (latency </w:t>
            </w:r>
            <w:r>
              <w:rPr>
                <w:b/>
                <w:color w:val="C0392B"/>
                <w:sz w:val="15"/>
              </w:rPr>
              <w:t>[To investigate]</w:t>
            </w:r>
            <w:r>
              <w:rPr>
                <w:sz w:val="15"/>
              </w:rPr>
              <w:t>)</w:t>
            </w:r>
          </w:p>
        </w:tc>
        <w:tc>
          <w:tcPr>
            <w:tcW w:type="dxa" w:w="1157"/>
          </w:tcPr>
          <w:p>
            <w:pPr>
              <w:spacing w:after="20"/>
            </w:pPr>
            <w:r/>
            <w:r>
              <w:rPr>
                <w:sz w:val="15"/>
              </w:rPr>
              <w:t>Returns netting, duplicates, store migrations, back-dated bills</w:t>
            </w:r>
          </w:p>
        </w:tc>
        <w:tc>
          <w:tcPr>
            <w:tcW w:type="dxa" w:w="1196"/>
          </w:tcPr>
          <w:p>
            <w:pPr>
              <w:spacing w:after="20"/>
            </w:pPr>
            <w:r/>
            <w:r>
              <w:rPr>
                <w:sz w:val="15"/>
              </w:rPr>
              <w:t>May contain loyalty ID; drop/hash</w:t>
            </w:r>
          </w:p>
        </w:tc>
        <w:tc>
          <w:tcPr>
            <w:tcW w:type="dxa" w:w="1052"/>
          </w:tcPr>
          <w:p>
            <w:pPr>
              <w:spacing w:after="20"/>
            </w:pPr>
            <w:r/>
            <w:r>
              <w:rPr>
                <w:b/>
                <w:color w:val="1E7B34"/>
                <w:sz w:val="15"/>
              </w:rPr>
              <w:t>[Confirmed]</w:t>
            </w:r>
            <w:r>
              <w:rPr>
                <w:sz w:val="15"/>
              </w:rPr>
              <w:t xml:space="preserve"> that line-level POS exists (per brief); field list </w:t>
            </w:r>
            <w:r>
              <w:rPr>
                <w:b/>
                <w:color w:val="B36B00"/>
                <w:sz w:val="15"/>
              </w:rPr>
              <w:t>[Assumed]</w:t>
            </w:r>
          </w:p>
        </w:tc>
      </w:tr>
      <w:tr>
        <w:tc>
          <w:tcPr>
            <w:tcW w:type="dxa" w:w="873"/>
            <w:shd w:val="clear" w:color="auto" w:fill="F2F5F9"/>
          </w:tcPr>
          <w:p>
            <w:pPr>
              <w:spacing w:after="20"/>
            </w:pPr>
            <w:r/>
            <w:r>
              <w:rPr>
                <w:sz w:val="15"/>
              </w:rPr>
              <w:t>Weekly promotion calendar</w:t>
            </w:r>
          </w:p>
        </w:tc>
        <w:tc>
          <w:tcPr>
            <w:tcW w:type="dxa" w:w="1407"/>
            <w:shd w:val="clear" w:color="auto" w:fill="F2F5F9"/>
          </w:tcPr>
          <w:p>
            <w:pPr>
              <w:spacing w:after="20"/>
            </w:pPr>
            <w:r/>
            <w:r>
              <w:rPr>
                <w:sz w:val="15"/>
              </w:rPr>
              <w:t>Planned promotions by the category team</w:t>
            </w:r>
          </w:p>
        </w:tc>
        <w:tc>
          <w:tcPr>
            <w:tcW w:type="dxa" w:w="914"/>
            <w:shd w:val="clear" w:color="auto" w:fill="F2F5F9"/>
          </w:tcPr>
          <w:p>
            <w:pPr>
              <w:spacing w:after="20"/>
            </w:pPr>
            <w:r/>
            <w:r>
              <w:rPr>
                <w:sz w:val="15"/>
              </w:rPr>
              <w:t>Category team</w:t>
            </w:r>
          </w:p>
        </w:tc>
        <w:tc>
          <w:tcPr>
            <w:tcW w:type="dxa" w:w="1266"/>
            <w:shd w:val="clear" w:color="auto" w:fill="F2F5F9"/>
          </w:tcPr>
          <w:p>
            <w:pPr>
              <w:spacing w:after="20"/>
            </w:pPr>
            <w:r/>
            <w:r>
              <w:rPr>
                <w:sz w:val="15"/>
              </w:rPr>
              <w:t>Week × SKU (or category) × store group; mechanic and depth</w:t>
            </w:r>
          </w:p>
        </w:tc>
        <w:tc>
          <w:tcPr>
            <w:tcW w:type="dxa" w:w="844"/>
            <w:shd w:val="clear" w:color="auto" w:fill="F2F5F9"/>
          </w:tcPr>
          <w:p>
            <w:pPr>
              <w:spacing w:after="20"/>
            </w:pPr>
            <w:r/>
            <w:r>
              <w:rPr>
                <w:sz w:val="15"/>
              </w:rPr>
              <w:t>Weekly</w:t>
            </w:r>
          </w:p>
        </w:tc>
        <w:tc>
          <w:tcPr>
            <w:tcW w:type="dxa" w:w="930"/>
            <w:shd w:val="clear" w:color="auto" w:fill="F2F5F9"/>
          </w:tcPr>
          <w:p>
            <w:pPr>
              <w:spacing w:after="20"/>
            </w:pPr>
            <w:r/>
            <w:r>
              <w:rPr>
                <w:sz w:val="15"/>
              </w:rPr>
              <w:t>Only if frozen before Monday; versions history needed</w:t>
            </w:r>
          </w:p>
        </w:tc>
        <w:tc>
          <w:tcPr>
            <w:tcW w:type="dxa" w:w="1157"/>
            <w:shd w:val="clear" w:color="auto" w:fill="F2F5F9"/>
          </w:tcPr>
          <w:p>
            <w:pPr>
              <w:spacing w:after="20"/>
            </w:pPr>
            <w:r/>
            <w:r>
              <w:rPr>
                <w:sz w:val="15"/>
              </w:rPr>
              <w:t>Late edits, execution mismatch, SKU/store scope ambiguity</w:t>
            </w:r>
          </w:p>
        </w:tc>
        <w:tc>
          <w:tcPr>
            <w:tcW w:type="dxa" w:w="1196"/>
            <w:shd w:val="clear" w:color="auto" w:fill="F2F5F9"/>
          </w:tcPr>
          <w:p>
            <w:pPr>
              <w:spacing w:after="20"/>
            </w:pPr>
            <w:r/>
            <w:r>
              <w:rPr>
                <w:sz w:val="15"/>
              </w:rPr>
              <w:t>Internal</w:t>
            </w:r>
          </w:p>
        </w:tc>
        <w:tc>
          <w:tcPr>
            <w:tcW w:type="dxa" w:w="1052"/>
            <w:shd w:val="clear" w:color="auto" w:fill="F2F5F9"/>
          </w:tcPr>
          <w:p>
            <w:pPr>
              <w:spacing w:after="20"/>
            </w:pPr>
            <w:r/>
            <w:r>
              <w:rPr>
                <w:b/>
                <w:color w:val="1E7B34"/>
                <w:sz w:val="15"/>
              </w:rPr>
              <w:t>[Confirmed]</w:t>
            </w:r>
            <w:r>
              <w:rPr>
                <w:sz w:val="15"/>
              </w:rPr>
              <w:t xml:space="preserve"> weekly calendar is maintained (per brief); content, lock date and version history </w:t>
            </w:r>
            <w:r>
              <w:rPr>
                <w:b/>
                <w:color w:val="C0392B"/>
                <w:sz w:val="15"/>
              </w:rPr>
              <w:t>[To investigate]</w:t>
            </w:r>
          </w:p>
        </w:tc>
      </w:tr>
      <w:tr>
        <w:tc>
          <w:tcPr>
            <w:tcW w:type="dxa" w:w="873"/>
          </w:tcPr>
          <w:p>
            <w:pPr>
              <w:spacing w:after="20"/>
            </w:pPr>
            <w:r/>
            <w:r>
              <w:rPr>
                <w:sz w:val="15"/>
              </w:rPr>
              <w:t>Product master &amp; hierarchy</w:t>
            </w:r>
          </w:p>
        </w:tc>
        <w:tc>
          <w:tcPr>
            <w:tcW w:type="dxa" w:w="1407"/>
          </w:tcPr>
          <w:p>
            <w:pPr>
              <w:spacing w:after="20"/>
            </w:pPr>
            <w:r/>
            <w:r>
              <w:rPr>
                <w:sz w:val="15"/>
              </w:rPr>
              <w:t>Category, brand, pack size, price band, shelf life</w:t>
            </w:r>
          </w:p>
        </w:tc>
        <w:tc>
          <w:tcPr>
            <w:tcW w:type="dxa" w:w="914"/>
          </w:tcPr>
          <w:p>
            <w:pPr>
              <w:spacing w:after="20"/>
            </w:pPr>
            <w:r/>
            <w:r>
              <w:rPr>
                <w:sz w:val="15"/>
              </w:rPr>
              <w:t>Merchandising</w:t>
            </w:r>
          </w:p>
        </w:tc>
        <w:tc>
          <w:tcPr>
            <w:tcW w:type="dxa" w:w="1266"/>
          </w:tcPr>
          <w:p>
            <w:pPr>
              <w:spacing w:after="20"/>
            </w:pPr>
            <w:r/>
            <w:r>
              <w:rPr>
                <w:sz w:val="15"/>
              </w:rPr>
              <w:t>SKU</w:t>
            </w:r>
          </w:p>
        </w:tc>
        <w:tc>
          <w:tcPr>
            <w:tcW w:type="dxa" w:w="844"/>
          </w:tcPr>
          <w:p>
            <w:pPr>
              <w:spacing w:after="20"/>
            </w:pPr>
            <w:r/>
            <w:r>
              <w:rPr>
                <w:sz w:val="15"/>
              </w:rPr>
              <w:t>Current + changes</w:t>
            </w:r>
          </w:p>
        </w:tc>
        <w:tc>
          <w:tcPr>
            <w:tcW w:type="dxa" w:w="930"/>
          </w:tcPr>
          <w:p>
            <w:pPr>
              <w:spacing w:after="20"/>
            </w:pPr>
            <w:r/>
            <w:r>
              <w:rPr>
                <w:sz w:val="15"/>
              </w:rPr>
              <w:t>Yes</w:t>
            </w:r>
          </w:p>
        </w:tc>
        <w:tc>
          <w:tcPr>
            <w:tcW w:type="dxa" w:w="1157"/>
          </w:tcPr>
          <w:p>
            <w:pPr>
              <w:spacing w:after="20"/>
            </w:pPr>
            <w:r/>
            <w:r>
              <w:rPr>
                <w:sz w:val="15"/>
              </w:rPr>
              <w:t>Delisting, re-coding, pack changes; surviving-item bias</w:t>
            </w:r>
          </w:p>
        </w:tc>
        <w:tc>
          <w:tcPr>
            <w:tcW w:type="dxa" w:w="1196"/>
          </w:tcPr>
          <w:p>
            <w:pPr>
              <w:spacing w:after="20"/>
            </w:pPr>
            <w:r/>
            <w:r>
              <w:rPr>
                <w:sz w:val="15"/>
              </w:rPr>
              <w:t>Internal</w:t>
            </w:r>
          </w:p>
        </w:tc>
        <w:tc>
          <w:tcPr>
            <w:tcW w:type="dxa" w:w="1052"/>
          </w:tcPr>
          <w:p>
            <w:pPr>
              <w:spacing w:after="20"/>
            </w:pPr>
            <w:r/>
            <w:r>
              <w:rPr>
                <w:b/>
                <w:color w:val="B36B00"/>
                <w:sz w:val="15"/>
              </w:rPr>
              <w:t>[Assumed]</w:t>
            </w:r>
          </w:p>
        </w:tc>
      </w:tr>
      <w:tr>
        <w:tc>
          <w:tcPr>
            <w:tcW w:type="dxa" w:w="873"/>
            <w:shd w:val="clear" w:color="auto" w:fill="F2F5F9"/>
          </w:tcPr>
          <w:p>
            <w:pPr>
              <w:spacing w:after="20"/>
            </w:pPr>
            <w:r/>
            <w:r>
              <w:rPr>
                <w:sz w:val="15"/>
              </w:rPr>
              <w:t>Store master</w:t>
            </w:r>
          </w:p>
        </w:tc>
        <w:tc>
          <w:tcPr>
            <w:tcW w:type="dxa" w:w="1407"/>
            <w:shd w:val="clear" w:color="auto" w:fill="F2F5F9"/>
          </w:tcPr>
          <w:p>
            <w:pPr>
              <w:spacing w:after="20"/>
            </w:pPr>
            <w:r/>
            <w:r>
              <w:rPr>
                <w:sz w:val="15"/>
              </w:rPr>
              <w:t>Format, size, state, city, opening/closing, cluster</w:t>
            </w:r>
          </w:p>
        </w:tc>
        <w:tc>
          <w:tcPr>
            <w:tcW w:type="dxa" w:w="914"/>
            <w:shd w:val="clear" w:color="auto" w:fill="F2F5F9"/>
          </w:tcPr>
          <w:p>
            <w:pPr>
              <w:spacing w:after="20"/>
            </w:pPr>
            <w:r/>
            <w:r>
              <w:rPr>
                <w:sz w:val="15"/>
              </w:rPr>
              <w:t>Operations</w:t>
            </w:r>
          </w:p>
        </w:tc>
        <w:tc>
          <w:tcPr>
            <w:tcW w:type="dxa" w:w="1266"/>
            <w:shd w:val="clear" w:color="auto" w:fill="F2F5F9"/>
          </w:tcPr>
          <w:p>
            <w:pPr>
              <w:spacing w:after="20"/>
            </w:pPr>
            <w:r/>
            <w:r>
              <w:rPr>
                <w:sz w:val="15"/>
              </w:rPr>
              <w:t>Store</w:t>
            </w:r>
          </w:p>
        </w:tc>
        <w:tc>
          <w:tcPr>
            <w:tcW w:type="dxa" w:w="844"/>
            <w:shd w:val="clear" w:color="auto" w:fill="F2F5F9"/>
          </w:tcPr>
          <w:p>
            <w:pPr>
              <w:spacing w:after="20"/>
            </w:pPr>
            <w:r/>
            <w:r>
              <w:rPr>
                <w:sz w:val="15"/>
              </w:rPr>
              <w:t>Current</w:t>
            </w:r>
          </w:p>
        </w:tc>
        <w:tc>
          <w:tcPr>
            <w:tcW w:type="dxa" w:w="930"/>
            <w:shd w:val="clear" w:color="auto" w:fill="F2F5F9"/>
          </w:tcPr>
          <w:p>
            <w:pPr>
              <w:spacing w:after="20"/>
            </w:pPr>
            <w:r/>
            <w:r>
              <w:rPr>
                <w:sz w:val="15"/>
              </w:rPr>
              <w:t>Yes</w:t>
            </w:r>
          </w:p>
        </w:tc>
        <w:tc>
          <w:tcPr>
            <w:tcW w:type="dxa" w:w="1157"/>
            <w:shd w:val="clear" w:color="auto" w:fill="F2F5F9"/>
          </w:tcPr>
          <w:p>
            <w:pPr>
              <w:spacing w:after="20"/>
            </w:pPr>
            <w:r/>
            <w:r>
              <w:rPr>
                <w:sz w:val="15"/>
              </w:rPr>
              <w:t>Refits, closures create breaks</w:t>
            </w:r>
          </w:p>
        </w:tc>
        <w:tc>
          <w:tcPr>
            <w:tcW w:type="dxa" w:w="1196"/>
            <w:shd w:val="clear" w:color="auto" w:fill="F2F5F9"/>
          </w:tcPr>
          <w:p>
            <w:pPr>
              <w:spacing w:after="20"/>
            </w:pPr>
            <w:r/>
            <w:r>
              <w:rPr>
                <w:sz w:val="15"/>
              </w:rPr>
              <w:t>Internal</w:t>
            </w:r>
          </w:p>
        </w:tc>
        <w:tc>
          <w:tcPr>
            <w:tcW w:type="dxa" w:w="1052"/>
            <w:shd w:val="clear" w:color="auto" w:fill="F2F5F9"/>
          </w:tcPr>
          <w:p>
            <w:pPr>
              <w:spacing w:after="20"/>
            </w:pPr>
            <w:r/>
            <w:r>
              <w:rPr>
                <w:b/>
                <w:color w:val="B36B00"/>
                <w:sz w:val="15"/>
              </w:rPr>
              <w:t>[Assumed]</w:t>
            </w:r>
          </w:p>
        </w:tc>
      </w:tr>
      <w:tr>
        <w:tc>
          <w:tcPr>
            <w:tcW w:type="dxa" w:w="873"/>
          </w:tcPr>
          <w:p>
            <w:pPr>
              <w:spacing w:after="20"/>
            </w:pPr>
            <w:r/>
            <w:r>
              <w:rPr>
                <w:sz w:val="15"/>
              </w:rPr>
              <w:t>Inventory on-hand / stock-out log</w:t>
            </w:r>
          </w:p>
        </w:tc>
        <w:tc>
          <w:tcPr>
            <w:tcW w:type="dxa" w:w="1407"/>
          </w:tcPr>
          <w:p>
            <w:pPr>
              <w:spacing w:after="20"/>
            </w:pPr>
            <w:r/>
            <w:r>
              <w:rPr>
                <w:sz w:val="15"/>
              </w:rPr>
              <w:t>Availability by SKU×store</w:t>
            </w:r>
          </w:p>
        </w:tc>
        <w:tc>
          <w:tcPr>
            <w:tcW w:type="dxa" w:w="914"/>
          </w:tcPr>
          <w:p>
            <w:pPr>
              <w:spacing w:after="20"/>
            </w:pPr>
            <w:r/>
            <w:r>
              <w:rPr>
                <w:sz w:val="15"/>
              </w:rPr>
              <w:t>Supply chain</w:t>
            </w:r>
          </w:p>
        </w:tc>
        <w:tc>
          <w:tcPr>
            <w:tcW w:type="dxa" w:w="1266"/>
          </w:tcPr>
          <w:p>
            <w:pPr>
              <w:spacing w:after="20"/>
            </w:pPr>
            <w:r/>
            <w:r>
              <w:rPr>
                <w:sz w:val="15"/>
              </w:rPr>
              <w:t>SKU×store×day/week</w:t>
            </w:r>
          </w:p>
        </w:tc>
        <w:tc>
          <w:tcPr>
            <w:tcW w:type="dxa" w:w="844"/>
          </w:tcPr>
          <w:p>
            <w:pPr>
              <w:spacing w:after="20"/>
            </w:pPr>
            <w:r/>
            <w:r>
              <w:rPr>
                <w:sz w:val="15"/>
              </w:rPr>
              <w:t>Unknown</w:t>
            </w:r>
          </w:p>
        </w:tc>
        <w:tc>
          <w:tcPr>
            <w:tcW w:type="dxa" w:w="930"/>
          </w:tcPr>
          <w:p>
            <w:pPr>
              <w:spacing w:after="20"/>
            </w:pPr>
            <w:r/>
            <w:r>
              <w:rPr>
                <w:sz w:val="15"/>
              </w:rPr>
              <w:t>Yes if snapshots are kept</w:t>
            </w:r>
          </w:p>
        </w:tc>
        <w:tc>
          <w:tcPr>
            <w:tcW w:type="dxa" w:w="1157"/>
          </w:tcPr>
          <w:p>
            <w:pPr>
              <w:spacing w:after="20"/>
            </w:pPr>
            <w:r/>
            <w:r>
              <w:rPr>
                <w:sz w:val="15"/>
              </w:rPr>
              <w:t>May be only current (no history)</w:t>
            </w:r>
          </w:p>
        </w:tc>
        <w:tc>
          <w:tcPr>
            <w:tcW w:type="dxa" w:w="1196"/>
          </w:tcPr>
          <w:p>
            <w:pPr>
              <w:spacing w:after="20"/>
            </w:pPr>
            <w:r/>
            <w:r>
              <w:rPr>
                <w:sz w:val="15"/>
              </w:rPr>
              <w:t>Internal</w:t>
            </w:r>
          </w:p>
        </w:tc>
        <w:tc>
          <w:tcPr>
            <w:tcW w:type="dxa" w:w="1052"/>
          </w:tcPr>
          <w:p>
            <w:pPr>
              <w:spacing w:after="20"/>
            </w:pPr>
            <w:r/>
            <w:r>
              <w:rPr>
                <w:b/>
                <w:color w:val="C0392B"/>
                <w:sz w:val="15"/>
              </w:rPr>
              <w:t>[To investigate]</w:t>
            </w:r>
            <w:r>
              <w:rPr>
                <w:sz w:val="15"/>
              </w:rPr>
              <w:t xml:space="preserve"> (critical)</w:t>
            </w:r>
          </w:p>
        </w:tc>
      </w:tr>
      <w:tr>
        <w:tc>
          <w:tcPr>
            <w:tcW w:type="dxa" w:w="873"/>
            <w:shd w:val="clear" w:color="auto" w:fill="F2F5F9"/>
          </w:tcPr>
          <w:p>
            <w:pPr>
              <w:spacing w:after="20"/>
            </w:pPr>
            <w:r/>
            <w:r>
              <w:rPr>
                <w:sz w:val="15"/>
              </w:rPr>
              <w:t>Purchase orders, receipts, lead times</w:t>
            </w:r>
          </w:p>
        </w:tc>
        <w:tc>
          <w:tcPr>
            <w:tcW w:type="dxa" w:w="1407"/>
            <w:shd w:val="clear" w:color="auto" w:fill="F2F5F9"/>
          </w:tcPr>
          <w:p>
            <w:pPr>
              <w:spacing w:after="20"/>
            </w:pPr>
            <w:r/>
            <w:r>
              <w:rPr>
                <w:sz w:val="15"/>
              </w:rPr>
              <w:t>What was ordered/arrived/when</w:t>
            </w:r>
          </w:p>
        </w:tc>
        <w:tc>
          <w:tcPr>
            <w:tcW w:type="dxa" w:w="914"/>
            <w:shd w:val="clear" w:color="auto" w:fill="F2F5F9"/>
          </w:tcPr>
          <w:p>
            <w:pPr>
              <w:spacing w:after="20"/>
            </w:pPr>
            <w:r/>
            <w:r>
              <w:rPr>
                <w:sz w:val="15"/>
              </w:rPr>
              <w:t>Procurement</w:t>
            </w:r>
          </w:p>
        </w:tc>
        <w:tc>
          <w:tcPr>
            <w:tcW w:type="dxa" w:w="1266"/>
            <w:shd w:val="clear" w:color="auto" w:fill="F2F5F9"/>
          </w:tcPr>
          <w:p>
            <w:pPr>
              <w:spacing w:after="20"/>
            </w:pPr>
            <w:r/>
            <w:r>
              <w:rPr>
                <w:sz w:val="15"/>
              </w:rPr>
              <w:t>PO line</w:t>
            </w:r>
          </w:p>
        </w:tc>
        <w:tc>
          <w:tcPr>
            <w:tcW w:type="dxa" w:w="844"/>
            <w:shd w:val="clear" w:color="auto" w:fill="F2F5F9"/>
          </w:tcPr>
          <w:p>
            <w:pPr>
              <w:spacing w:after="20"/>
            </w:pPr>
            <w:r/>
            <w:r>
              <w:rPr>
                <w:sz w:val="15"/>
              </w:rPr>
              <w:t>Unknown</w:t>
            </w:r>
          </w:p>
        </w:tc>
        <w:tc>
          <w:tcPr>
            <w:tcW w:type="dxa" w:w="930"/>
            <w:shd w:val="clear" w:color="auto" w:fill="F2F5F9"/>
          </w:tcPr>
          <w:p>
            <w:pPr>
              <w:spacing w:after="20"/>
            </w:pPr>
            <w:r/>
            <w:r>
              <w:rPr>
                <w:sz w:val="15"/>
              </w:rPr>
              <w:t>Yes</w:t>
            </w:r>
          </w:p>
        </w:tc>
        <w:tc>
          <w:tcPr>
            <w:tcW w:type="dxa" w:w="1157"/>
            <w:shd w:val="clear" w:color="auto" w:fill="F2F5F9"/>
          </w:tcPr>
          <w:p>
            <w:pPr>
              <w:spacing w:after="20"/>
            </w:pPr>
            <w:r/>
            <w:r>
              <w:rPr>
                <w:sz w:val="15"/>
              </w:rPr>
              <w:t>Partial deliveries, substitutions</w:t>
            </w:r>
          </w:p>
        </w:tc>
        <w:tc>
          <w:tcPr>
            <w:tcW w:type="dxa" w:w="1196"/>
            <w:shd w:val="clear" w:color="auto" w:fill="F2F5F9"/>
          </w:tcPr>
          <w:p>
            <w:pPr>
              <w:spacing w:after="20"/>
            </w:pPr>
            <w:r/>
            <w:r>
              <w:rPr>
                <w:sz w:val="15"/>
              </w:rPr>
              <w:t>Internal</w:t>
            </w:r>
          </w:p>
        </w:tc>
        <w:tc>
          <w:tcPr>
            <w:tcW w:type="dxa" w:w="1052"/>
            <w:shd w:val="clear" w:color="auto" w:fill="F2F5F9"/>
          </w:tcPr>
          <w:p>
            <w:pPr>
              <w:spacing w:after="20"/>
            </w:pPr>
            <w:r/>
            <w:r>
              <w:rPr>
                <w:b/>
                <w:color w:val="B36B00"/>
                <w:sz w:val="15"/>
              </w:rPr>
              <w:t>[Assumed]</w:t>
            </w:r>
          </w:p>
        </w:tc>
      </w:tr>
      <w:tr>
        <w:tc>
          <w:tcPr>
            <w:tcW w:type="dxa" w:w="873"/>
          </w:tcPr>
          <w:p>
            <w:pPr>
              <w:spacing w:after="20"/>
            </w:pPr>
            <w:r/>
            <w:r>
              <w:rPr>
                <w:sz w:val="15"/>
              </w:rPr>
              <w:t>Price/MRP history</w:t>
            </w:r>
          </w:p>
        </w:tc>
        <w:tc>
          <w:tcPr>
            <w:tcW w:type="dxa" w:w="1407"/>
          </w:tcPr>
          <w:p>
            <w:pPr>
              <w:spacing w:after="20"/>
            </w:pPr>
            <w:r/>
            <w:r>
              <w:rPr>
                <w:sz w:val="15"/>
              </w:rPr>
              <w:t>Shelf price, discounts</w:t>
            </w:r>
          </w:p>
        </w:tc>
        <w:tc>
          <w:tcPr>
            <w:tcW w:type="dxa" w:w="914"/>
          </w:tcPr>
          <w:p>
            <w:pPr>
              <w:spacing w:after="20"/>
            </w:pPr>
            <w:r/>
            <w:r>
              <w:rPr>
                <w:sz w:val="15"/>
              </w:rPr>
              <w:t>Pricing</w:t>
            </w:r>
          </w:p>
        </w:tc>
        <w:tc>
          <w:tcPr>
            <w:tcW w:type="dxa" w:w="1266"/>
          </w:tcPr>
          <w:p>
            <w:pPr>
              <w:spacing w:after="20"/>
            </w:pPr>
            <w:r/>
            <w:r>
              <w:rPr>
                <w:sz w:val="15"/>
              </w:rPr>
              <w:t>SKU×store×date</w:t>
            </w:r>
          </w:p>
        </w:tc>
        <w:tc>
          <w:tcPr>
            <w:tcW w:type="dxa" w:w="844"/>
          </w:tcPr>
          <w:p>
            <w:pPr>
              <w:spacing w:after="20"/>
            </w:pPr>
            <w:r/>
            <w:r>
              <w:rPr>
                <w:sz w:val="15"/>
              </w:rPr>
              <w:t>Unknown</w:t>
            </w:r>
          </w:p>
        </w:tc>
        <w:tc>
          <w:tcPr>
            <w:tcW w:type="dxa" w:w="930"/>
          </w:tcPr>
          <w:p>
            <w:pPr>
              <w:spacing w:after="20"/>
            </w:pPr>
            <w:r/>
            <w:r>
              <w:rPr>
                <w:sz w:val="15"/>
              </w:rPr>
              <w:t>Yes if scheduled</w:t>
            </w:r>
          </w:p>
        </w:tc>
        <w:tc>
          <w:tcPr>
            <w:tcW w:type="dxa" w:w="1157"/>
          </w:tcPr>
          <w:p>
            <w:pPr>
              <w:spacing w:after="20"/>
            </w:pPr>
            <w:r/>
            <w:r>
              <w:rPr>
                <w:sz w:val="15"/>
              </w:rPr>
              <w:t>Price in POS may stand in</w:t>
            </w:r>
          </w:p>
        </w:tc>
        <w:tc>
          <w:tcPr>
            <w:tcW w:type="dxa" w:w="1196"/>
          </w:tcPr>
          <w:p>
            <w:pPr>
              <w:spacing w:after="20"/>
            </w:pPr>
            <w:r/>
            <w:r>
              <w:rPr>
                <w:sz w:val="15"/>
              </w:rPr>
              <w:t>Internal</w:t>
            </w:r>
          </w:p>
        </w:tc>
        <w:tc>
          <w:tcPr>
            <w:tcW w:type="dxa" w:w="1052"/>
          </w:tcPr>
          <w:p>
            <w:pPr>
              <w:spacing w:after="20"/>
            </w:pPr>
            <w:r/>
            <w:r>
              <w:rPr>
                <w:b/>
                <w:color w:val="B36B00"/>
                <w:sz w:val="15"/>
              </w:rPr>
              <w:t>[Assumed]</w:t>
            </w:r>
            <w:r>
              <w:rPr>
                <w:sz w:val="15"/>
              </w:rPr>
              <w:t xml:space="preserve"> (derivable from POS)</w:t>
            </w:r>
          </w:p>
        </w:tc>
      </w:tr>
      <w:tr>
        <w:tc>
          <w:tcPr>
            <w:tcW w:type="dxa" w:w="873"/>
            <w:shd w:val="clear" w:color="auto" w:fill="F2F5F9"/>
          </w:tcPr>
          <w:p>
            <w:pPr>
              <w:spacing w:after="20"/>
            </w:pPr>
            <w:r/>
            <w:r>
              <w:rPr>
                <w:sz w:val="15"/>
              </w:rPr>
              <w:t>Festival &amp; holiday calendar (national + state)</w:t>
            </w:r>
          </w:p>
        </w:tc>
        <w:tc>
          <w:tcPr>
            <w:tcW w:type="dxa" w:w="1407"/>
            <w:shd w:val="clear" w:color="auto" w:fill="F2F5F9"/>
          </w:tcPr>
          <w:p>
            <w:pPr>
              <w:spacing w:after="20"/>
            </w:pPr>
            <w:r/>
            <w:r>
              <w:rPr>
                <w:sz w:val="15"/>
              </w:rPr>
              <w:t>Festival timing, relevance by region</w:t>
            </w:r>
          </w:p>
        </w:tc>
        <w:tc>
          <w:tcPr>
            <w:tcW w:type="dxa" w:w="914"/>
            <w:shd w:val="clear" w:color="auto" w:fill="F2F5F9"/>
          </w:tcPr>
          <w:p>
            <w:pPr>
              <w:spacing w:after="20"/>
            </w:pPr>
            <w:r/>
            <w:r>
              <w:rPr>
                <w:sz w:val="15"/>
              </w:rPr>
              <w:t>DS team to build + category team</w:t>
            </w:r>
          </w:p>
        </w:tc>
        <w:tc>
          <w:tcPr>
            <w:tcW w:type="dxa" w:w="1266"/>
            <w:shd w:val="clear" w:color="auto" w:fill="F2F5F9"/>
          </w:tcPr>
          <w:p>
            <w:pPr>
              <w:spacing w:after="20"/>
            </w:pPr>
            <w:r/>
            <w:r>
              <w:rPr>
                <w:sz w:val="15"/>
              </w:rPr>
              <w:t>Date × state</w:t>
            </w:r>
          </w:p>
        </w:tc>
        <w:tc>
          <w:tcPr>
            <w:tcW w:type="dxa" w:w="844"/>
            <w:shd w:val="clear" w:color="auto" w:fill="F2F5F9"/>
          </w:tcPr>
          <w:p>
            <w:pPr>
              <w:spacing w:after="20"/>
            </w:pPr>
            <w:r/>
            <w:r>
              <w:rPr>
                <w:sz w:val="15"/>
              </w:rPr>
              <w:t>Public</w:t>
            </w:r>
          </w:p>
        </w:tc>
        <w:tc>
          <w:tcPr>
            <w:tcW w:type="dxa" w:w="930"/>
            <w:shd w:val="clear" w:color="auto" w:fill="F2F5F9"/>
          </w:tcPr>
          <w:p>
            <w:pPr>
              <w:spacing w:after="20"/>
            </w:pPr>
            <w:r/>
            <w:r>
              <w:rPr>
                <w:sz w:val="15"/>
              </w:rPr>
              <w:t>Known well in advance</w:t>
            </w:r>
          </w:p>
        </w:tc>
        <w:tc>
          <w:tcPr>
            <w:tcW w:type="dxa" w:w="1157"/>
            <w:shd w:val="clear" w:color="auto" w:fill="F2F5F9"/>
          </w:tcPr>
          <w:p>
            <w:pPr>
              <w:spacing w:after="20"/>
            </w:pPr>
            <w:r/>
            <w:r>
              <w:rPr>
                <w:sz w:val="15"/>
              </w:rPr>
              <w:t>Lunar dates vary; regional relevance</w:t>
            </w:r>
          </w:p>
        </w:tc>
        <w:tc>
          <w:tcPr>
            <w:tcW w:type="dxa" w:w="1196"/>
            <w:shd w:val="clear" w:color="auto" w:fill="F2F5F9"/>
          </w:tcPr>
          <w:p>
            <w:pPr>
              <w:spacing w:after="20"/>
            </w:pPr>
            <w:r/>
            <w:r>
              <w:rPr>
                <w:sz w:val="15"/>
              </w:rPr>
              <w:t>Public</w:t>
            </w:r>
          </w:p>
        </w:tc>
        <w:tc>
          <w:tcPr>
            <w:tcW w:type="dxa" w:w="1052"/>
            <w:shd w:val="clear" w:color="auto" w:fill="F2F5F9"/>
          </w:tcPr>
          <w:p>
            <w:pPr>
              <w:spacing w:after="20"/>
            </w:pPr>
            <w:r/>
            <w:r>
              <w:rPr>
                <w:b/>
                <w:color w:val="C0392B"/>
                <w:sz w:val="15"/>
              </w:rPr>
              <w:t>[To investigate]</w:t>
            </w:r>
            <w:r>
              <w:rPr>
                <w:sz w:val="15"/>
              </w:rPr>
              <w:t xml:space="preserve"> source verification</w:t>
            </w:r>
          </w:p>
        </w:tc>
      </w:tr>
      <w:tr>
        <w:tc>
          <w:tcPr>
            <w:tcW w:type="dxa" w:w="873"/>
          </w:tcPr>
          <w:p>
            <w:pPr>
              <w:spacing w:after="20"/>
            </w:pPr>
            <w:r/>
            <w:r>
              <w:rPr>
                <w:sz w:val="15"/>
              </w:rPr>
              <w:t>Weather (rain, heat)</w:t>
            </w:r>
          </w:p>
        </w:tc>
        <w:tc>
          <w:tcPr>
            <w:tcW w:type="dxa" w:w="1407"/>
          </w:tcPr>
          <w:p>
            <w:pPr>
              <w:spacing w:after="20"/>
            </w:pPr>
            <w:r/>
            <w:r>
              <w:rPr>
                <w:sz w:val="15"/>
              </w:rPr>
              <w:t>Beverage, seasonal categories</w:t>
            </w:r>
          </w:p>
        </w:tc>
        <w:tc>
          <w:tcPr>
            <w:tcW w:type="dxa" w:w="914"/>
          </w:tcPr>
          <w:p>
            <w:pPr>
              <w:spacing w:after="20"/>
            </w:pPr>
            <w:r/>
            <w:r>
              <w:rPr>
                <w:sz w:val="15"/>
              </w:rPr>
              <w:t>External</w:t>
            </w:r>
          </w:p>
        </w:tc>
        <w:tc>
          <w:tcPr>
            <w:tcW w:type="dxa" w:w="1266"/>
          </w:tcPr>
          <w:p>
            <w:pPr>
              <w:spacing w:after="20"/>
            </w:pPr>
            <w:r/>
            <w:r>
              <w:rPr>
                <w:sz w:val="15"/>
              </w:rPr>
              <w:t>District × day</w:t>
            </w:r>
          </w:p>
        </w:tc>
        <w:tc>
          <w:tcPr>
            <w:tcW w:type="dxa" w:w="844"/>
          </w:tcPr>
          <w:p>
            <w:pPr>
              <w:spacing w:after="20"/>
            </w:pPr>
            <w:r/>
            <w:r>
              <w:rPr>
                <w:sz w:val="15"/>
              </w:rPr>
              <w:t>Public APIs</w:t>
            </w:r>
          </w:p>
        </w:tc>
        <w:tc>
          <w:tcPr>
            <w:tcW w:type="dxa" w:w="930"/>
          </w:tcPr>
          <w:p>
            <w:pPr>
              <w:spacing w:after="20"/>
            </w:pPr>
            <w:r/>
            <w:r>
              <w:rPr>
                <w:sz w:val="15"/>
              </w:rPr>
              <w:t>Forecast only; use observed lag or a forecast snapshot</w:t>
            </w:r>
          </w:p>
        </w:tc>
        <w:tc>
          <w:tcPr>
            <w:tcW w:type="dxa" w:w="1157"/>
          </w:tcPr>
          <w:p>
            <w:pPr>
              <w:spacing w:after="20"/>
            </w:pPr>
            <w:r/>
            <w:r>
              <w:rPr>
                <w:sz w:val="15"/>
              </w:rPr>
              <w:t>Matching to stores</w:t>
            </w:r>
          </w:p>
        </w:tc>
        <w:tc>
          <w:tcPr>
            <w:tcW w:type="dxa" w:w="1196"/>
          </w:tcPr>
          <w:p>
            <w:pPr>
              <w:spacing w:after="20"/>
            </w:pPr>
            <w:r/>
            <w:r>
              <w:rPr>
                <w:sz w:val="15"/>
              </w:rPr>
              <w:t>Licence check</w:t>
            </w:r>
          </w:p>
        </w:tc>
        <w:tc>
          <w:tcPr>
            <w:tcW w:type="dxa" w:w="1052"/>
          </w:tcPr>
          <w:p>
            <w:pPr>
              <w:spacing w:after="20"/>
            </w:pPr>
            <w:r/>
            <w:r>
              <w:rPr>
                <w:b/>
                <w:color w:val="C0392B"/>
                <w:sz w:val="15"/>
              </w:rPr>
              <w:t>[To investigate]</w:t>
            </w:r>
            <w:r>
              <w:rPr>
                <w:sz w:val="15"/>
              </w:rPr>
              <w:t>, nice-to-have</w:t>
            </w:r>
          </w:p>
        </w:tc>
      </w:tr>
    </w:tbl>
    <w:p>
      <w:pPr>
        <w:spacing w:after="40"/>
      </w:pPr>
    </w:p>
    <w:p>
      <w:r>
        <w:rPr>
          <w:b/>
        </w:rPr>
        <w:t>Feasibility verdict: Feasible with conditions.</w:t>
      </w:r>
      <w:r>
        <w:rPr/>
        <w:t xml:space="preserve"> POS history plus the promo calendar is sufficient for a first model and a defensible baseline comparison. Blocking dependencies: (1) availability information (Q1) for an honest unconstrained-demand target and stock-out KPI; (2) historical versions of the promo calendar (Q2); (3) a signed-off festival-to-store mapping (Q5). Without (1) the pilot cannot measure stock-out reduction.</w:t>
      </w:r>
    </w:p>
    <w:p>
      <w:pPr>
        <w:pStyle w:val="Heading2"/>
      </w:pPr>
      <w:r>
        <w:rPr/>
        <w:t>6. Data Quality &amp; Preprocessing Plan</w:t>
      </w:r>
    </w:p>
    <w:tbl>
      <w:tblPr>
        <w:tblStyle w:val="TableGrid"/>
        <w:tblW w:type="auto" w:w="0"/>
        <w:jc w:val="center"/>
        <w:tblLayout w:type="fixed"/>
        <w:tblLook w:firstColumn="1" w:firstRow="1" w:lastColumn="0" w:lastRow="0" w:noHBand="0" w:noVBand="1" w:val="04A0"/>
        <w:tblLayout w:type="fixed"/>
      </w:tblPr>
      <w:tblGrid>
        <w:gridCol w:w="1738"/>
        <w:gridCol w:w="1911"/>
        <w:gridCol w:w="2907"/>
        <w:gridCol w:w="1477"/>
        <w:gridCol w:w="1606"/>
      </w:tblGrid>
      <w:tr>
        <w:trPr>
          <w:tblHeader w:val="true"/>
        </w:trPr>
        <w:tc>
          <w:tcPr>
            <w:tcW w:type="dxa" w:w="1738"/>
            <w:shd w:val="clear" w:color="auto" w:fill="1F3A5F"/>
          </w:tcPr>
          <w:p>
            <w:r/>
            <w:r>
              <w:rPr>
                <w:b/>
                <w:color w:val="FFFFFF"/>
                <w:sz w:val="17"/>
              </w:rPr>
              <w:t>Step</w:t>
            </w:r>
          </w:p>
        </w:tc>
        <w:tc>
          <w:tcPr>
            <w:tcW w:type="dxa" w:w="1911"/>
            <w:shd w:val="clear" w:color="auto" w:fill="1F3A5F"/>
          </w:tcPr>
          <w:p>
            <w:r/>
            <w:r>
              <w:rPr>
                <w:b/>
                <w:color w:val="FFFFFF"/>
                <w:sz w:val="17"/>
              </w:rPr>
              <w:t>Rationale</w:t>
            </w:r>
          </w:p>
        </w:tc>
        <w:tc>
          <w:tcPr>
            <w:tcW w:type="dxa" w:w="2907"/>
            <w:shd w:val="clear" w:color="auto" w:fill="1F3A5F"/>
          </w:tcPr>
          <w:p>
            <w:r/>
            <w:r>
              <w:rPr>
                <w:b/>
                <w:color w:val="FFFFFF"/>
                <w:sz w:val="17"/>
              </w:rPr>
              <w:t>Method</w:t>
            </w:r>
          </w:p>
        </w:tc>
        <w:tc>
          <w:tcPr>
            <w:tcW w:type="dxa" w:w="1477"/>
            <w:shd w:val="clear" w:color="auto" w:fill="1F3A5F"/>
          </w:tcPr>
          <w:p>
            <w:r/>
            <w:r>
              <w:rPr>
                <w:b/>
                <w:color w:val="FFFFFF"/>
                <w:sz w:val="17"/>
              </w:rPr>
              <w:t>Risks</w:t>
            </w:r>
          </w:p>
        </w:tc>
        <w:tc>
          <w:tcPr>
            <w:tcW w:type="dxa" w:w="1606"/>
            <w:shd w:val="clear" w:color="auto" w:fill="1F3A5F"/>
          </w:tcPr>
          <w:p>
            <w:r/>
            <w:r>
              <w:rPr>
                <w:b/>
                <w:color w:val="FFFFFF"/>
                <w:sz w:val="17"/>
              </w:rPr>
              <w:t>Validation check</w:t>
            </w:r>
          </w:p>
        </w:tc>
      </w:tr>
      <w:tr>
        <w:tc>
          <w:tcPr>
            <w:tcW w:type="dxa" w:w="1738"/>
          </w:tcPr>
          <w:p>
            <w:pPr>
              <w:spacing w:after="20"/>
            </w:pPr>
            <w:r/>
            <w:r>
              <w:rPr>
                <w:sz w:val="17"/>
              </w:rPr>
              <w:t>Aggregate POS lines to SKU×store×week</w:t>
            </w:r>
          </w:p>
        </w:tc>
        <w:tc>
          <w:tcPr>
            <w:tcW w:type="dxa" w:w="1911"/>
          </w:tcPr>
          <w:p>
            <w:pPr>
              <w:spacing w:after="20"/>
            </w:pPr>
            <w:r/>
            <w:r>
              <w:rPr>
                <w:sz w:val="17"/>
              </w:rPr>
              <w:t>Forecast grain</w:t>
            </w:r>
          </w:p>
        </w:tc>
        <w:tc>
          <w:tcPr>
            <w:tcW w:type="dxa" w:w="2907"/>
          </w:tcPr>
          <w:p>
            <w:pPr>
              <w:spacing w:after="20"/>
            </w:pPr>
            <w:r/>
            <w:r>
              <w:rPr>
                <w:sz w:val="17"/>
              </w:rPr>
              <w:t>Net of returns using the bill date; consistent week definition (Mon–Sun)</w:t>
            </w:r>
          </w:p>
        </w:tc>
        <w:tc>
          <w:tcPr>
            <w:tcW w:type="dxa" w:w="1477"/>
          </w:tcPr>
          <w:p>
            <w:pPr>
              <w:spacing w:after="20"/>
            </w:pPr>
            <w:r/>
            <w:r>
              <w:rPr>
                <w:sz w:val="17"/>
              </w:rPr>
              <w:t>Returns restated later; wrong calendar</w:t>
            </w:r>
          </w:p>
        </w:tc>
        <w:tc>
          <w:tcPr>
            <w:tcW w:type="dxa" w:w="1606"/>
          </w:tcPr>
          <w:p>
            <w:pPr>
              <w:spacing w:after="20"/>
            </w:pPr>
            <w:r/>
            <w:r>
              <w:rPr>
                <w:sz w:val="17"/>
              </w:rPr>
              <w:t>Reconcile weekly totals to finance sales; compare to 4-4-5 vs ISO</w:t>
            </w:r>
          </w:p>
        </w:tc>
      </w:tr>
      <w:tr>
        <w:tc>
          <w:tcPr>
            <w:tcW w:type="dxa" w:w="1738"/>
            <w:shd w:val="clear" w:color="auto" w:fill="F2F5F9"/>
          </w:tcPr>
          <w:p>
            <w:pPr>
              <w:spacing w:after="20"/>
            </w:pPr>
            <w:r/>
            <w:r>
              <w:rPr>
                <w:sz w:val="17"/>
              </w:rPr>
              <w:t>Build a complete panel</w:t>
            </w:r>
          </w:p>
        </w:tc>
        <w:tc>
          <w:tcPr>
            <w:tcW w:type="dxa" w:w="1911"/>
            <w:shd w:val="clear" w:color="auto" w:fill="F2F5F9"/>
          </w:tcPr>
          <w:p>
            <w:pPr>
              <w:spacing w:after="20"/>
            </w:pPr>
            <w:r/>
            <w:r>
              <w:rPr>
                <w:sz w:val="17"/>
              </w:rPr>
              <w:t>Missing rows ≠ zero demand for open, in-range stores</w:t>
            </w:r>
          </w:p>
        </w:tc>
        <w:tc>
          <w:tcPr>
            <w:tcW w:type="dxa" w:w="2907"/>
            <w:shd w:val="clear" w:color="auto" w:fill="F2F5F9"/>
          </w:tcPr>
          <w:p>
            <w:pPr>
              <w:spacing w:after="20"/>
            </w:pPr>
            <w:r/>
            <w:r>
              <w:rPr>
                <w:sz w:val="17"/>
              </w:rPr>
              <w:t>Zero-fill only between SKU first-sale/listing date and delist date, and only on open store-days</w:t>
            </w:r>
          </w:p>
        </w:tc>
        <w:tc>
          <w:tcPr>
            <w:tcW w:type="dxa" w:w="1477"/>
            <w:shd w:val="clear" w:color="auto" w:fill="F2F5F9"/>
          </w:tcPr>
          <w:p>
            <w:pPr>
              <w:spacing w:after="20"/>
            </w:pPr>
            <w:r/>
            <w:r>
              <w:rPr>
                <w:sz w:val="17"/>
              </w:rPr>
              <w:t>Zero-filling pre-listing weeks inflates intermittency</w:t>
            </w:r>
          </w:p>
        </w:tc>
        <w:tc>
          <w:tcPr>
            <w:tcW w:type="dxa" w:w="1606"/>
            <w:shd w:val="clear" w:color="auto" w:fill="F2F5F9"/>
          </w:tcPr>
          <w:p>
            <w:pPr>
              <w:spacing w:after="20"/>
            </w:pPr>
            <w:r/>
            <w:r>
              <w:rPr>
                <w:sz w:val="17"/>
              </w:rPr>
              <w:t>Row counts by week; share of zeros by SKU age</w:t>
            </w:r>
          </w:p>
        </w:tc>
      </w:tr>
      <w:tr>
        <w:tc>
          <w:tcPr>
            <w:tcW w:type="dxa" w:w="1738"/>
          </w:tcPr>
          <w:p>
            <w:pPr>
              <w:spacing w:after="20"/>
            </w:pPr>
            <w:r/>
            <w:r>
              <w:rPr>
                <w:sz w:val="17"/>
              </w:rPr>
              <w:t>Flag availability / stock-outs</w:t>
            </w:r>
          </w:p>
        </w:tc>
        <w:tc>
          <w:tcPr>
            <w:tcW w:type="dxa" w:w="1911"/>
          </w:tcPr>
          <w:p>
            <w:pPr>
              <w:spacing w:after="20"/>
            </w:pPr>
            <w:r/>
            <w:r>
              <w:rPr>
                <w:sz w:val="17"/>
              </w:rPr>
              <w:t>Sales are censored when stock is zero</w:t>
            </w:r>
          </w:p>
        </w:tc>
        <w:tc>
          <w:tcPr>
            <w:tcW w:type="dxa" w:w="2907"/>
          </w:tcPr>
          <w:p>
            <w:pPr>
              <w:spacing w:after="20"/>
            </w:pPr>
            <w:r/>
            <w:r>
              <w:rPr>
                <w:sz w:val="17"/>
              </w:rPr>
              <w:t>Use stock snapshots if available; otherwise flag runs of zero sales much longer than the SKU's typical inter-sale gap (heuristic, calibrated per velocity class)</w:t>
            </w:r>
          </w:p>
        </w:tc>
        <w:tc>
          <w:tcPr>
            <w:tcW w:type="dxa" w:w="1477"/>
          </w:tcPr>
          <w:p>
            <w:pPr>
              <w:spacing w:after="20"/>
            </w:pPr>
            <w:r/>
            <w:r>
              <w:rPr>
                <w:sz w:val="17"/>
              </w:rPr>
              <w:t>Heuristic flags false positives for slow SKUs</w:t>
            </w:r>
          </w:p>
        </w:tc>
        <w:tc>
          <w:tcPr>
            <w:tcW w:type="dxa" w:w="1606"/>
          </w:tcPr>
          <w:p>
            <w:pPr>
              <w:spacing w:after="20"/>
            </w:pPr>
            <w:r/>
            <w:r>
              <w:rPr>
                <w:sz w:val="17"/>
              </w:rPr>
              <w:t>Compare flags to the stock log on the subset where both exist</w:t>
            </w:r>
          </w:p>
        </w:tc>
      </w:tr>
      <w:tr>
        <w:tc>
          <w:tcPr>
            <w:tcW w:type="dxa" w:w="1738"/>
            <w:shd w:val="clear" w:color="auto" w:fill="F2F5F9"/>
          </w:tcPr>
          <w:p>
            <w:pPr>
              <w:spacing w:after="20"/>
            </w:pPr>
            <w:r/>
            <w:r>
              <w:rPr>
                <w:sz w:val="17"/>
              </w:rPr>
              <w:t>Unconstrained-demand reconstruction</w:t>
            </w:r>
          </w:p>
        </w:tc>
        <w:tc>
          <w:tcPr>
            <w:tcW w:type="dxa" w:w="1911"/>
            <w:shd w:val="clear" w:color="auto" w:fill="F2F5F9"/>
          </w:tcPr>
          <w:p>
            <w:pPr>
              <w:spacing w:after="20"/>
            </w:pPr>
            <w:r/>
            <w:r>
              <w:rPr>
                <w:sz w:val="17"/>
              </w:rPr>
              <w:t>Train on what customers wanted</w:t>
            </w:r>
          </w:p>
        </w:tc>
        <w:tc>
          <w:tcPr>
            <w:tcW w:type="dxa" w:w="2907"/>
            <w:shd w:val="clear" w:color="auto" w:fill="F2F5F9"/>
          </w:tcPr>
          <w:p>
            <w:pPr>
              <w:spacing w:after="20"/>
            </w:pPr>
            <w:r/>
            <w:r>
              <w:rPr>
                <w:sz w:val="17"/>
              </w:rPr>
              <w:t>(a) Exclude censored weeks from the loss (preferred first step); (b) impute from similar weeks or a censored-likelihood model as an experiment</w:t>
            </w:r>
          </w:p>
        </w:tc>
        <w:tc>
          <w:tcPr>
            <w:tcW w:type="dxa" w:w="1477"/>
            <w:shd w:val="clear" w:color="auto" w:fill="F2F5F9"/>
          </w:tcPr>
          <w:p>
            <w:pPr>
              <w:spacing w:after="20"/>
            </w:pPr>
            <w:r/>
            <w:r>
              <w:rPr>
                <w:sz w:val="17"/>
              </w:rPr>
              <w:t>Imputation can add bias or circularity</w:t>
            </w:r>
          </w:p>
        </w:tc>
        <w:tc>
          <w:tcPr>
            <w:tcW w:type="dxa" w:w="1606"/>
            <w:shd w:val="clear" w:color="auto" w:fill="F2F5F9"/>
          </w:tcPr>
          <w:p>
            <w:pPr>
              <w:spacing w:after="20"/>
            </w:pPr>
            <w:r/>
            <w:r>
              <w:rPr>
                <w:sz w:val="17"/>
              </w:rPr>
              <w:t>Compare backtest in-stock weeks only vs all weeks; card EX6</w:t>
            </w:r>
          </w:p>
        </w:tc>
      </w:tr>
      <w:tr>
        <w:tc>
          <w:tcPr>
            <w:tcW w:type="dxa" w:w="1738"/>
          </w:tcPr>
          <w:p>
            <w:pPr>
              <w:spacing w:after="20"/>
            </w:pPr>
            <w:r/>
            <w:r>
              <w:rPr>
                <w:sz w:val="17"/>
              </w:rPr>
              <w:t>Outlier/anomaly handling</w:t>
            </w:r>
          </w:p>
        </w:tc>
        <w:tc>
          <w:tcPr>
            <w:tcW w:type="dxa" w:w="1911"/>
          </w:tcPr>
          <w:p>
            <w:pPr>
              <w:spacing w:after="20"/>
            </w:pPr>
            <w:r/>
            <w:r>
              <w:rPr>
                <w:sz w:val="17"/>
              </w:rPr>
              <w:t>Bulk buys, data errors, one-off events</w:t>
            </w:r>
          </w:p>
        </w:tc>
        <w:tc>
          <w:tcPr>
            <w:tcW w:type="dxa" w:w="2907"/>
          </w:tcPr>
          <w:p>
            <w:pPr>
              <w:spacing w:after="20"/>
            </w:pPr>
            <w:r/>
            <w:r>
              <w:rPr>
                <w:sz w:val="17"/>
              </w:rPr>
              <w:t>Winsorise at a high quantile within SKU×store history; keep festival peaks (do not clip them as outliers)</w:t>
            </w:r>
          </w:p>
        </w:tc>
        <w:tc>
          <w:tcPr>
            <w:tcW w:type="dxa" w:w="1477"/>
          </w:tcPr>
          <w:p>
            <w:pPr>
              <w:spacing w:after="20"/>
            </w:pPr>
            <w:r/>
            <w:r>
              <w:rPr>
                <w:sz w:val="17"/>
              </w:rPr>
              <w:t>Clipping real festival spikes</w:t>
            </w:r>
          </w:p>
        </w:tc>
        <w:tc>
          <w:tcPr>
            <w:tcW w:type="dxa" w:w="1606"/>
          </w:tcPr>
          <w:p>
            <w:pPr>
              <w:spacing w:after="20"/>
            </w:pPr>
            <w:r/>
            <w:r>
              <w:rPr>
                <w:sz w:val="17"/>
              </w:rPr>
              <w:t>Check clipped weeks against festival calendar</w:t>
            </w:r>
          </w:p>
        </w:tc>
      </w:tr>
      <w:tr>
        <w:tc>
          <w:tcPr>
            <w:tcW w:type="dxa" w:w="1738"/>
            <w:shd w:val="clear" w:color="auto" w:fill="F2F5F9"/>
          </w:tcPr>
          <w:p>
            <w:pPr>
              <w:spacing w:after="20"/>
            </w:pPr>
            <w:r/>
            <w:r>
              <w:rPr>
                <w:sz w:val="17"/>
              </w:rPr>
              <w:t>Structural-break tagging</w:t>
            </w:r>
          </w:p>
        </w:tc>
        <w:tc>
          <w:tcPr>
            <w:tcW w:type="dxa" w:w="1911"/>
            <w:shd w:val="clear" w:color="auto" w:fill="F2F5F9"/>
          </w:tcPr>
          <w:p>
            <w:pPr>
              <w:spacing w:after="20"/>
            </w:pPr>
            <w:r/>
            <w:r>
              <w:rPr>
                <w:sz w:val="17"/>
              </w:rPr>
              <w:t>Store opening/closing/refit, SKU relaunch, pack change</w:t>
            </w:r>
          </w:p>
        </w:tc>
        <w:tc>
          <w:tcPr>
            <w:tcW w:type="dxa" w:w="2907"/>
            <w:shd w:val="clear" w:color="auto" w:fill="F2F5F9"/>
          </w:tcPr>
          <w:p>
            <w:pPr>
              <w:spacing w:after="20"/>
            </w:pPr>
            <w:r/>
            <w:r>
              <w:rPr>
                <w:sz w:val="17"/>
              </w:rPr>
              <w:t>Event flags; start history at break for new-store models</w:t>
            </w:r>
          </w:p>
        </w:tc>
        <w:tc>
          <w:tcPr>
            <w:tcW w:type="dxa" w:w="1477"/>
            <w:shd w:val="clear" w:color="auto" w:fill="F2F5F9"/>
          </w:tcPr>
          <w:p>
            <w:pPr>
              <w:spacing w:after="20"/>
            </w:pPr>
            <w:r/>
            <w:r>
              <w:rPr>
                <w:sz w:val="17"/>
              </w:rPr>
              <w:t>Unlabelled breaks cause persistent bias</w:t>
            </w:r>
          </w:p>
        </w:tc>
        <w:tc>
          <w:tcPr>
            <w:tcW w:type="dxa" w:w="1606"/>
            <w:shd w:val="clear" w:color="auto" w:fill="F2F5F9"/>
          </w:tcPr>
          <w:p>
            <w:pPr>
              <w:spacing w:after="20"/>
            </w:pPr>
            <w:r/>
            <w:r>
              <w:rPr>
                <w:sz w:val="17"/>
              </w:rPr>
              <w:t>Residual diagnostics around known events</w:t>
            </w:r>
          </w:p>
        </w:tc>
      </w:tr>
      <w:tr>
        <w:tc>
          <w:tcPr>
            <w:tcW w:type="dxa" w:w="1738"/>
          </w:tcPr>
          <w:p>
            <w:pPr>
              <w:spacing w:after="20"/>
            </w:pPr>
            <w:r/>
            <w:r>
              <w:rPr>
                <w:sz w:val="17"/>
              </w:rPr>
              <w:t>Promotion features as-of order date</w:t>
            </w:r>
          </w:p>
        </w:tc>
        <w:tc>
          <w:tcPr>
            <w:tcW w:type="dxa" w:w="1911"/>
          </w:tcPr>
          <w:p>
            <w:pPr>
              <w:spacing w:after="20"/>
            </w:pPr>
            <w:r/>
            <w:r>
              <w:rPr>
                <w:sz w:val="17"/>
              </w:rPr>
              <w:t>Avoid future leakage</w:t>
            </w:r>
          </w:p>
        </w:tc>
        <w:tc>
          <w:tcPr>
            <w:tcW w:type="dxa" w:w="2907"/>
          </w:tcPr>
          <w:p>
            <w:pPr>
              <w:spacing w:after="20"/>
            </w:pPr>
            <w:r/>
            <w:r>
              <w:rPr>
                <w:sz w:val="17"/>
              </w:rPr>
              <w:t>Reconstruct promo state as known at each Monday cut-off using calendar versions; if unavailable, use only promos flagged ≥ N weeks ahead (N from lead-time/lock policy)</w:t>
            </w:r>
          </w:p>
        </w:tc>
        <w:tc>
          <w:tcPr>
            <w:tcW w:type="dxa" w:w="1477"/>
          </w:tcPr>
          <w:p>
            <w:pPr>
              <w:spacing w:after="20"/>
            </w:pPr>
            <w:r/>
            <w:r>
              <w:rPr>
                <w:sz w:val="17"/>
              </w:rPr>
              <w:t>Overstated promo effect in backtest</w:t>
            </w:r>
          </w:p>
        </w:tc>
        <w:tc>
          <w:tcPr>
            <w:tcW w:type="dxa" w:w="1606"/>
          </w:tcPr>
          <w:p>
            <w:pPr>
              <w:spacing w:after="20"/>
            </w:pPr>
            <w:r/>
            <w:r>
              <w:rPr>
                <w:sz w:val="17"/>
              </w:rPr>
              <w:t>Backtest with 'lagged-known' vs 'final' promo; large gap = leakage signal</w:t>
            </w:r>
          </w:p>
        </w:tc>
      </w:tr>
      <w:tr>
        <w:tc>
          <w:tcPr>
            <w:tcW w:type="dxa" w:w="1738"/>
            <w:shd w:val="clear" w:color="auto" w:fill="F2F5F9"/>
          </w:tcPr>
          <w:p>
            <w:pPr>
              <w:spacing w:after="20"/>
            </w:pPr>
            <w:r/>
            <w:r>
              <w:rPr>
                <w:sz w:val="17"/>
              </w:rPr>
              <w:t>Calendar/festival features</w:t>
            </w:r>
          </w:p>
        </w:tc>
        <w:tc>
          <w:tcPr>
            <w:tcW w:type="dxa" w:w="1911"/>
            <w:shd w:val="clear" w:color="auto" w:fill="F2F5F9"/>
          </w:tcPr>
          <w:p>
            <w:pPr>
              <w:spacing w:after="20"/>
            </w:pPr>
            <w:r/>
            <w:r>
              <w:rPr>
                <w:sz w:val="17"/>
              </w:rPr>
              <w:t>Moving festival dates</w:t>
            </w:r>
          </w:p>
        </w:tc>
        <w:tc>
          <w:tcPr>
            <w:tcW w:type="dxa" w:w="2907"/>
            <w:shd w:val="clear" w:color="auto" w:fill="F2F5F9"/>
          </w:tcPr>
          <w:p>
            <w:pPr>
              <w:spacing w:after="20"/>
            </w:pPr>
            <w:r/>
            <w:r>
              <w:rPr>
                <w:sz w:val="17"/>
              </w:rPr>
              <w:t>Days-to-festival, festival-week position, state-specific festival flags, pay-day/month-end, school calendar</w:t>
            </w:r>
          </w:p>
        </w:tc>
        <w:tc>
          <w:tcPr>
            <w:tcW w:type="dxa" w:w="1477"/>
            <w:shd w:val="clear" w:color="auto" w:fill="F2F5F9"/>
          </w:tcPr>
          <w:p>
            <w:pPr>
              <w:spacing w:after="20"/>
            </w:pPr>
            <w:r/>
            <w:r>
              <w:rPr>
                <w:sz w:val="17"/>
              </w:rPr>
              <w:t>Mis-assigned regional relevance</w:t>
            </w:r>
          </w:p>
        </w:tc>
        <w:tc>
          <w:tcPr>
            <w:tcW w:type="dxa" w:w="1606"/>
            <w:shd w:val="clear" w:color="auto" w:fill="F2F5F9"/>
          </w:tcPr>
          <w:p>
            <w:pPr>
              <w:spacing w:after="20"/>
            </w:pPr>
            <w:r/>
            <w:r>
              <w:rPr>
                <w:sz w:val="17"/>
              </w:rPr>
              <w:t>Event study: average weekly demand index around each festival by state</w:t>
            </w:r>
          </w:p>
        </w:tc>
      </w:tr>
      <w:tr>
        <w:tc>
          <w:tcPr>
            <w:tcW w:type="dxa" w:w="1738"/>
          </w:tcPr>
          <w:p>
            <w:pPr>
              <w:spacing w:after="20"/>
            </w:pPr>
            <w:r/>
            <w:r>
              <w:rPr>
                <w:sz w:val="17"/>
              </w:rPr>
              <w:t>Hierarchy and clustering</w:t>
            </w:r>
          </w:p>
        </w:tc>
        <w:tc>
          <w:tcPr>
            <w:tcW w:type="dxa" w:w="1911"/>
          </w:tcPr>
          <w:p>
            <w:pPr>
              <w:spacing w:after="20"/>
            </w:pPr>
            <w:r/>
            <w:r>
              <w:rPr>
                <w:sz w:val="17"/>
              </w:rPr>
              <w:t>Sparse series need pooling</w:t>
            </w:r>
          </w:p>
        </w:tc>
        <w:tc>
          <w:tcPr>
            <w:tcW w:type="dxa" w:w="2907"/>
          </w:tcPr>
          <w:p>
            <w:pPr>
              <w:spacing w:after="20"/>
            </w:pPr>
            <w:r/>
            <w:r>
              <w:rPr>
                <w:sz w:val="17"/>
              </w:rPr>
              <w:t>Product hierarchy (SKU→brand→category), store clusters (format/state/volume)</w:t>
            </w:r>
          </w:p>
        </w:tc>
        <w:tc>
          <w:tcPr>
            <w:tcW w:type="dxa" w:w="1477"/>
          </w:tcPr>
          <w:p>
            <w:pPr>
              <w:spacing w:after="20"/>
            </w:pPr>
            <w:r/>
            <w:r>
              <w:rPr>
                <w:sz w:val="17"/>
              </w:rPr>
              <w:t>Cluster definitions drifting</w:t>
            </w:r>
          </w:p>
        </w:tc>
        <w:tc>
          <w:tcPr>
            <w:tcW w:type="dxa" w:w="1606"/>
          </w:tcPr>
          <w:p>
            <w:pPr>
              <w:spacing w:after="20"/>
            </w:pPr>
            <w:r/>
            <w:r>
              <w:rPr>
                <w:sz w:val="17"/>
              </w:rPr>
              <w:t>Stability across years</w:t>
            </w:r>
          </w:p>
        </w:tc>
      </w:tr>
      <w:tr>
        <w:tc>
          <w:tcPr>
            <w:tcW w:type="dxa" w:w="1738"/>
            <w:shd w:val="clear" w:color="auto" w:fill="F2F5F9"/>
          </w:tcPr>
          <w:p>
            <w:pPr>
              <w:spacing w:after="20"/>
            </w:pPr>
            <w:r/>
            <w:r>
              <w:rPr>
                <w:sz w:val="17"/>
              </w:rPr>
              <w:t>Velocity classification</w:t>
            </w:r>
          </w:p>
        </w:tc>
        <w:tc>
          <w:tcPr>
            <w:tcW w:type="dxa" w:w="1911"/>
            <w:shd w:val="clear" w:color="auto" w:fill="F2F5F9"/>
          </w:tcPr>
          <w:p>
            <w:pPr>
              <w:spacing w:after="20"/>
            </w:pPr>
            <w:r/>
            <w:r>
              <w:rPr>
                <w:sz w:val="17"/>
              </w:rPr>
              <w:t>Different models for different series</w:t>
            </w:r>
          </w:p>
        </w:tc>
        <w:tc>
          <w:tcPr>
            <w:tcW w:type="dxa" w:w="2907"/>
            <w:shd w:val="clear" w:color="auto" w:fill="F2F5F9"/>
          </w:tcPr>
          <w:p>
            <w:pPr>
              <w:spacing w:after="20"/>
            </w:pPr>
            <w:r/>
            <w:r>
              <w:rPr>
                <w:sz w:val="17"/>
              </w:rPr>
              <w:t>ADI/CV² (smooth, erratic, intermittent, lumpy) and ABC on volume, computed on training data only</w:t>
            </w:r>
          </w:p>
        </w:tc>
        <w:tc>
          <w:tcPr>
            <w:tcW w:type="dxa" w:w="1477"/>
            <w:shd w:val="clear" w:color="auto" w:fill="F2F5F9"/>
          </w:tcPr>
          <w:p>
            <w:pPr>
              <w:spacing w:after="20"/>
            </w:pPr>
            <w:r/>
            <w:r>
              <w:rPr>
                <w:sz w:val="17"/>
              </w:rPr>
              <w:t>Class leakage if calculated on full history</w:t>
            </w:r>
          </w:p>
        </w:tc>
        <w:tc>
          <w:tcPr>
            <w:tcW w:type="dxa" w:w="1606"/>
            <w:shd w:val="clear" w:color="auto" w:fill="F2F5F9"/>
          </w:tcPr>
          <w:p>
            <w:pPr>
              <w:spacing w:after="20"/>
            </w:pPr>
            <w:r/>
            <w:r>
              <w:rPr>
                <w:sz w:val="17"/>
              </w:rPr>
              <w:t>Recompute per fold</w:t>
            </w:r>
          </w:p>
        </w:tc>
      </w:tr>
      <w:tr>
        <w:tc>
          <w:tcPr>
            <w:tcW w:type="dxa" w:w="1738"/>
          </w:tcPr>
          <w:p>
            <w:pPr>
              <w:spacing w:after="20"/>
            </w:pPr>
            <w:r/>
            <w:r>
              <w:rPr>
                <w:sz w:val="17"/>
              </w:rPr>
              <w:t>Scaling/encoding</w:t>
            </w:r>
          </w:p>
        </w:tc>
        <w:tc>
          <w:tcPr>
            <w:tcW w:type="dxa" w:w="1911"/>
          </w:tcPr>
          <w:p>
            <w:pPr>
              <w:spacing w:after="20"/>
            </w:pPr>
            <w:r/>
            <w:r>
              <w:rPr>
                <w:sz w:val="17"/>
              </w:rPr>
              <w:t>Model needs</w:t>
            </w:r>
          </w:p>
        </w:tc>
        <w:tc>
          <w:tcPr>
            <w:tcW w:type="dxa" w:w="2907"/>
          </w:tcPr>
          <w:p>
            <w:pPr>
              <w:spacing w:after="20"/>
            </w:pPr>
            <w:r/>
            <w:r>
              <w:rPr>
                <w:sz w:val="17"/>
              </w:rPr>
              <w:t>Target scaling per series (training window only); high-cardinality IDs as embeddings/categoricals; no leakage from target encoding (out-of-fold)</w:t>
            </w:r>
          </w:p>
        </w:tc>
        <w:tc>
          <w:tcPr>
            <w:tcW w:type="dxa" w:w="1477"/>
          </w:tcPr>
          <w:p>
            <w:pPr>
              <w:spacing w:after="20"/>
            </w:pPr>
            <w:r/>
            <w:r>
              <w:rPr>
                <w:sz w:val="17"/>
              </w:rPr>
              <w:t>Target-encoding leakage</w:t>
            </w:r>
          </w:p>
        </w:tc>
        <w:tc>
          <w:tcPr>
            <w:tcW w:type="dxa" w:w="1606"/>
          </w:tcPr>
          <w:p>
            <w:pPr>
              <w:spacing w:after="20"/>
            </w:pPr>
            <w:r/>
            <w:r>
              <w:rPr>
                <w:sz w:val="17"/>
              </w:rPr>
              <w:t>Fit inside each fold</w:t>
            </w:r>
          </w:p>
        </w:tc>
      </w:tr>
      <w:tr>
        <w:tc>
          <w:tcPr>
            <w:tcW w:type="dxa" w:w="1738"/>
            <w:shd w:val="clear" w:color="auto" w:fill="F2F5F9"/>
          </w:tcPr>
          <w:p>
            <w:pPr>
              <w:spacing w:after="20"/>
            </w:pPr>
            <w:r/>
            <w:r>
              <w:rPr>
                <w:sz w:val="17"/>
              </w:rPr>
              <w:t>Privacy</w:t>
            </w:r>
          </w:p>
        </w:tc>
        <w:tc>
          <w:tcPr>
            <w:tcW w:type="dxa" w:w="1911"/>
            <w:shd w:val="clear" w:color="auto" w:fill="F2F5F9"/>
          </w:tcPr>
          <w:p>
            <w:pPr>
              <w:spacing w:after="20"/>
            </w:pPr>
            <w:r/>
            <w:r>
              <w:rPr>
                <w:sz w:val="17"/>
              </w:rPr>
              <w:t>POS lines may carry customer IDs</w:t>
            </w:r>
          </w:p>
        </w:tc>
        <w:tc>
          <w:tcPr>
            <w:tcW w:type="dxa" w:w="2907"/>
            <w:shd w:val="clear" w:color="auto" w:fill="F2F5F9"/>
          </w:tcPr>
          <w:p>
            <w:pPr>
              <w:spacing w:after="20"/>
            </w:pPr>
            <w:r/>
            <w:r>
              <w:rPr>
                <w:sz w:val="17"/>
              </w:rPr>
              <w:t>Drop or irreversibly hash at extract; no customer-level modelling needed</w:t>
            </w:r>
          </w:p>
        </w:tc>
        <w:tc>
          <w:tcPr>
            <w:tcW w:type="dxa" w:w="1477"/>
            <w:shd w:val="clear" w:color="auto" w:fill="F2F5F9"/>
          </w:tcPr>
          <w:p>
            <w:pPr>
              <w:spacing w:after="20"/>
            </w:pPr>
            <w:r/>
            <w:r>
              <w:rPr>
                <w:sz w:val="17"/>
              </w:rPr>
              <w:t>Re-identification</w:t>
            </w:r>
          </w:p>
        </w:tc>
        <w:tc>
          <w:tcPr>
            <w:tcW w:type="dxa" w:w="1606"/>
            <w:shd w:val="clear" w:color="auto" w:fill="F2F5F9"/>
          </w:tcPr>
          <w:p>
            <w:pPr>
              <w:spacing w:after="20"/>
            </w:pPr>
            <w:r/>
            <w:r>
              <w:rPr>
                <w:sz w:val="17"/>
              </w:rPr>
              <w:t>Data-protection review</w:t>
            </w:r>
          </w:p>
        </w:tc>
      </w:tr>
    </w:tbl>
    <w:p>
      <w:pPr>
        <w:spacing w:after="40"/>
      </w:pPr>
    </w:p>
    <w:p>
      <w:r>
        <w:rPr>
          <w:b/>
        </w:rPr>
        <w:t>Target.</w:t>
      </w:r>
      <w:r>
        <w:rPr/>
        <w:t xml:space="preserve"> </w:t>
      </w:r>
      <w:r>
        <w:rPr>
          <w:rFonts w:ascii="Consolas" w:hAnsi="Consolas" w:eastAsia="Consolas"/>
        </w:rPr>
        <w:t>demand[s,i,w]</w:t>
      </w:r>
      <w:r>
        <w:rPr/>
        <w:t xml:space="preserve"> = units that would have sold in week </w:t>
      </w:r>
      <w:r>
        <w:rPr>
          <w:i/>
        </w:rPr>
        <w:t>w</w:t>
      </w:r>
      <w:r>
        <w:rPr/>
        <w:t xml:space="preserve"> with adequate availability. Phase-1 proxy: sales in non-censored weeks, with censored weeks masked from the loss. Evaluation uses </w:t>
      </w:r>
      <w:r>
        <w:rPr>
          <w:i/>
        </w:rPr>
        <w:t>sales in in-stock weeks</w:t>
      </w:r>
      <w:r>
        <w:rPr/>
        <w:t xml:space="preserve"> for the accuracy metrics and the separate stock-out KPI for service. Exclusions: store-weeks closed, SKU weeks before listing, bulk B2B bills if separately identifiable </w:t>
      </w:r>
      <w:r>
        <w:rPr>
          <w:b/>
          <w:color w:val="C0392B"/>
        </w:rPr>
        <w:t>[To investigate]</w:t>
      </w:r>
      <w:r>
        <w:rPr/>
        <w:t>.</w:t>
      </w:r>
    </w:p>
    <w:p>
      <w:r>
        <w:rPr>
          <w:b/>
        </w:rPr>
        <w:t>Estimand distortion note:</w:t>
      </w:r>
      <w:r>
        <w:rPr/>
        <w:t xml:space="preserve"> masking censored weeks removes the weeks with the highest demand pressure (stock-outs plausibly cluster in high-demand weeks; to be checked in EDA), which biases forecasts down if not handled; this is why the unconstrained-demand experiment (stage E4, card EX6) is mandatory.</w:t>
      </w:r>
    </w:p>
    <w:p>
      <w:pPr>
        <w:pStyle w:val="Heading2"/>
      </w:pPr>
      <w:r>
        <w:rPr/>
        <w:t>7. Feature &amp; Target Design</w:t>
      </w:r>
    </w:p>
    <w:tbl>
      <w:tblPr>
        <w:tblStyle w:val="TableGrid"/>
        <w:tblW w:type="auto" w:w="0"/>
        <w:jc w:val="center"/>
        <w:tblLayout w:type="fixed"/>
        <w:tblLook w:firstColumn="1" w:firstRow="1" w:lastColumn="0" w:lastRow="0" w:noHBand="0" w:noVBand="1" w:val="04A0"/>
        <w:tblLayout w:type="fixed"/>
      </w:tblPr>
      <w:tblGrid>
        <w:gridCol w:w="2612"/>
        <w:gridCol w:w="3239"/>
        <w:gridCol w:w="1567"/>
        <w:gridCol w:w="2220"/>
      </w:tblGrid>
      <w:tr>
        <w:trPr>
          <w:tblHeader w:val="true"/>
        </w:trPr>
        <w:tc>
          <w:tcPr>
            <w:tcW w:type="dxa" w:w="2612"/>
            <w:shd w:val="clear" w:color="auto" w:fill="1F3A5F"/>
          </w:tcPr>
          <w:p>
            <w:r/>
            <w:r>
              <w:rPr>
                <w:b/>
                <w:color w:val="FFFFFF"/>
                <w:sz w:val="19"/>
              </w:rPr>
              <w:t>Feature group</w:t>
            </w:r>
          </w:p>
        </w:tc>
        <w:tc>
          <w:tcPr>
            <w:tcW w:type="dxa" w:w="3239"/>
            <w:shd w:val="clear" w:color="auto" w:fill="1F3A5F"/>
          </w:tcPr>
          <w:p>
            <w:r/>
            <w:r>
              <w:rPr>
                <w:b/>
                <w:color w:val="FFFFFF"/>
                <w:sz w:val="19"/>
              </w:rPr>
              <w:t>Examples</w:t>
            </w:r>
          </w:p>
        </w:tc>
        <w:tc>
          <w:tcPr>
            <w:tcW w:type="dxa" w:w="1567"/>
            <w:shd w:val="clear" w:color="auto" w:fill="1F3A5F"/>
          </w:tcPr>
          <w:p>
            <w:r/>
            <w:r>
              <w:rPr>
                <w:b/>
                <w:color w:val="FFFFFF"/>
                <w:sz w:val="19"/>
              </w:rPr>
              <w:t>Availability relative to the Monday order</w:t>
            </w:r>
          </w:p>
        </w:tc>
        <w:tc>
          <w:tcPr>
            <w:tcW w:type="dxa" w:w="2220"/>
            <w:shd w:val="clear" w:color="auto" w:fill="1F3A5F"/>
          </w:tcPr>
          <w:p>
            <w:r/>
            <w:r>
              <w:rPr>
                <w:b/>
                <w:color w:val="FFFFFF"/>
                <w:sz w:val="19"/>
              </w:rPr>
              <w:t>Hypothesis</w:t>
            </w:r>
          </w:p>
        </w:tc>
      </w:tr>
      <w:tr>
        <w:tc>
          <w:tcPr>
            <w:tcW w:type="dxa" w:w="2612"/>
          </w:tcPr>
          <w:p>
            <w:pPr>
              <w:spacing w:after="20"/>
            </w:pPr>
            <w:r/>
            <w:r>
              <w:rPr>
                <w:sz w:val="19"/>
              </w:rPr>
              <w:t>Own history</w:t>
            </w:r>
          </w:p>
        </w:tc>
        <w:tc>
          <w:tcPr>
            <w:tcW w:type="dxa" w:w="3239"/>
          </w:tcPr>
          <w:p>
            <w:pPr>
              <w:spacing w:after="20"/>
            </w:pPr>
            <w:r/>
            <w:r>
              <w:rPr>
                <w:sz w:val="19"/>
              </w:rPr>
              <w:t>Lags (1,2,3,4,8,13,52 weeks), rolling means/std, zero-run length, weeks since last sale</w:t>
            </w:r>
          </w:p>
        </w:tc>
        <w:tc>
          <w:tcPr>
            <w:tcW w:type="dxa" w:w="1567"/>
          </w:tcPr>
          <w:p>
            <w:pPr>
              <w:spacing w:after="20"/>
            </w:pPr>
            <w:r/>
            <w:r>
              <w:rPr>
                <w:sz w:val="19"/>
              </w:rPr>
              <w:t>Through previous Sunday</w:t>
            </w:r>
          </w:p>
        </w:tc>
        <w:tc>
          <w:tcPr>
            <w:tcW w:type="dxa" w:w="2220"/>
          </w:tcPr>
          <w:p>
            <w:pPr>
              <w:spacing w:after="20"/>
            </w:pPr>
            <w:r/>
            <w:r>
              <w:rPr>
                <w:sz w:val="19"/>
              </w:rPr>
              <w:t>Level and trend</w:t>
            </w:r>
          </w:p>
        </w:tc>
      </w:tr>
      <w:tr>
        <w:tc>
          <w:tcPr>
            <w:tcW w:type="dxa" w:w="2612"/>
            <w:shd w:val="clear" w:color="auto" w:fill="F2F5F9"/>
          </w:tcPr>
          <w:p>
            <w:pPr>
              <w:spacing w:after="20"/>
            </w:pPr>
            <w:r/>
            <w:r>
              <w:rPr>
                <w:sz w:val="19"/>
              </w:rPr>
              <w:t>Seasonality/calendar</w:t>
            </w:r>
          </w:p>
        </w:tc>
        <w:tc>
          <w:tcPr>
            <w:tcW w:type="dxa" w:w="3239"/>
            <w:shd w:val="clear" w:color="auto" w:fill="F2F5F9"/>
          </w:tcPr>
          <w:p>
            <w:pPr>
              <w:spacing w:after="20"/>
            </w:pPr>
            <w:r/>
            <w:r>
              <w:rPr>
                <w:sz w:val="19"/>
              </w:rPr>
              <w:t>Week of year, month, month-end/pay cycle, school terms</w:t>
            </w:r>
          </w:p>
        </w:tc>
        <w:tc>
          <w:tcPr>
            <w:tcW w:type="dxa" w:w="1567"/>
            <w:shd w:val="clear" w:color="auto" w:fill="F2F5F9"/>
          </w:tcPr>
          <w:p>
            <w:pPr>
              <w:spacing w:after="20"/>
            </w:pPr>
            <w:r/>
            <w:r>
              <w:rPr>
                <w:sz w:val="19"/>
              </w:rPr>
              <w:t>Always known</w:t>
            </w:r>
          </w:p>
        </w:tc>
        <w:tc>
          <w:tcPr>
            <w:tcW w:type="dxa" w:w="2220"/>
            <w:shd w:val="clear" w:color="auto" w:fill="F2F5F9"/>
          </w:tcPr>
          <w:p>
            <w:pPr>
              <w:spacing w:after="20"/>
            </w:pPr>
            <w:r/>
            <w:r>
              <w:rPr>
                <w:sz w:val="19"/>
              </w:rPr>
              <w:t>Recurring patterns</w:t>
            </w:r>
          </w:p>
        </w:tc>
      </w:tr>
      <w:tr>
        <w:tc>
          <w:tcPr>
            <w:tcW w:type="dxa" w:w="2612"/>
          </w:tcPr>
          <w:p>
            <w:pPr>
              <w:spacing w:after="20"/>
            </w:pPr>
            <w:r/>
            <w:r>
              <w:rPr>
                <w:sz w:val="19"/>
              </w:rPr>
              <w:t>Festivals</w:t>
            </w:r>
          </w:p>
        </w:tc>
        <w:tc>
          <w:tcPr>
            <w:tcW w:type="dxa" w:w="3239"/>
          </w:tcPr>
          <w:p>
            <w:pPr>
              <w:spacing w:after="20"/>
            </w:pPr>
            <w:r/>
            <w:r>
              <w:rPr>
                <w:sz w:val="19"/>
              </w:rPr>
              <w:t>Days to/from festival, in-week fraction, festival type, state relevance, last-year same-festival uplift (computed from past years only)</w:t>
            </w:r>
          </w:p>
        </w:tc>
        <w:tc>
          <w:tcPr>
            <w:tcW w:type="dxa" w:w="1567"/>
          </w:tcPr>
          <w:p>
            <w:pPr>
              <w:spacing w:after="20"/>
            </w:pPr>
            <w:r/>
            <w:r>
              <w:rPr>
                <w:sz w:val="19"/>
              </w:rPr>
              <w:t>Known in advance</w:t>
            </w:r>
          </w:p>
        </w:tc>
        <w:tc>
          <w:tcPr>
            <w:tcW w:type="dxa" w:w="2220"/>
          </w:tcPr>
          <w:p>
            <w:pPr>
              <w:spacing w:after="20"/>
            </w:pPr>
            <w:r/>
            <w:r>
              <w:rPr>
                <w:sz w:val="19"/>
              </w:rPr>
              <w:t>Pre-festival ramp-up and post-festival drop</w:t>
            </w:r>
          </w:p>
        </w:tc>
      </w:tr>
      <w:tr>
        <w:tc>
          <w:tcPr>
            <w:tcW w:type="dxa" w:w="2612"/>
            <w:shd w:val="clear" w:color="auto" w:fill="F2F5F9"/>
          </w:tcPr>
          <w:p>
            <w:pPr>
              <w:spacing w:after="20"/>
            </w:pPr>
            <w:r/>
            <w:r>
              <w:rPr>
                <w:sz w:val="19"/>
              </w:rPr>
              <w:t>Promotions</w:t>
            </w:r>
          </w:p>
        </w:tc>
        <w:tc>
          <w:tcPr>
            <w:tcW w:type="dxa" w:w="3239"/>
            <w:shd w:val="clear" w:color="auto" w:fill="F2F5F9"/>
          </w:tcPr>
          <w:p>
            <w:pPr>
              <w:spacing w:after="20"/>
            </w:pPr>
            <w:r/>
            <w:r>
              <w:rPr>
                <w:sz w:val="19"/>
              </w:rPr>
              <w:t xml:space="preserve">Promo flag, depth, mechanic, display, prior-week promo, days since last promo; </w:t>
            </w:r>
            <w:r>
              <w:rPr>
                <w:b/>
                <w:sz w:val="19"/>
              </w:rPr>
              <w:t>as known at cut-off</w:t>
            </w:r>
          </w:p>
        </w:tc>
        <w:tc>
          <w:tcPr>
            <w:tcW w:type="dxa" w:w="1567"/>
            <w:shd w:val="clear" w:color="auto" w:fill="F2F5F9"/>
          </w:tcPr>
          <w:p>
            <w:pPr>
              <w:spacing w:after="20"/>
            </w:pPr>
            <w:r/>
            <w:r>
              <w:rPr>
                <w:sz w:val="19"/>
              </w:rPr>
              <w:t>Only if frozen before order (Q2)</w:t>
            </w:r>
          </w:p>
        </w:tc>
        <w:tc>
          <w:tcPr>
            <w:tcW w:type="dxa" w:w="2220"/>
            <w:shd w:val="clear" w:color="auto" w:fill="F2F5F9"/>
          </w:tcPr>
          <w:p>
            <w:pPr>
              <w:spacing w:after="20"/>
            </w:pPr>
            <w:r/>
            <w:r>
              <w:rPr>
                <w:sz w:val="19"/>
              </w:rPr>
              <w:t>Promotion volume lift and post-promo dip (association, not causal lift)</w:t>
            </w:r>
          </w:p>
        </w:tc>
      </w:tr>
      <w:tr>
        <w:tc>
          <w:tcPr>
            <w:tcW w:type="dxa" w:w="2612"/>
          </w:tcPr>
          <w:p>
            <w:pPr>
              <w:spacing w:after="20"/>
            </w:pPr>
            <w:r/>
            <w:r>
              <w:rPr>
                <w:sz w:val="19"/>
              </w:rPr>
              <w:t>Price</w:t>
            </w:r>
          </w:p>
        </w:tc>
        <w:tc>
          <w:tcPr>
            <w:tcW w:type="dxa" w:w="3239"/>
          </w:tcPr>
          <w:p>
            <w:pPr>
              <w:spacing w:after="20"/>
            </w:pPr>
            <w:r/>
            <w:r>
              <w:rPr>
                <w:sz w:val="19"/>
              </w:rPr>
              <w:t>Shelf price, relative price vs category, discount depth</w:t>
            </w:r>
          </w:p>
        </w:tc>
        <w:tc>
          <w:tcPr>
            <w:tcW w:type="dxa" w:w="1567"/>
          </w:tcPr>
          <w:p>
            <w:pPr>
              <w:spacing w:after="20"/>
            </w:pPr>
            <w:r/>
            <w:r>
              <w:rPr>
                <w:sz w:val="19"/>
              </w:rPr>
              <w:t>Planned prices known ahead; actuals not</w:t>
            </w:r>
          </w:p>
        </w:tc>
        <w:tc>
          <w:tcPr>
            <w:tcW w:type="dxa" w:w="2220"/>
          </w:tcPr>
          <w:p>
            <w:pPr>
              <w:spacing w:after="20"/>
            </w:pPr>
            <w:r/>
            <w:r>
              <w:rPr>
                <w:sz w:val="19"/>
              </w:rPr>
              <w:t>Price association (not causal elasticity)</w:t>
            </w:r>
          </w:p>
        </w:tc>
      </w:tr>
      <w:tr>
        <w:tc>
          <w:tcPr>
            <w:tcW w:type="dxa" w:w="2612"/>
            <w:shd w:val="clear" w:color="auto" w:fill="F2F5F9"/>
          </w:tcPr>
          <w:p>
            <w:pPr>
              <w:spacing w:after="20"/>
            </w:pPr>
            <w:r/>
            <w:r>
              <w:rPr>
                <w:sz w:val="19"/>
              </w:rPr>
              <w:t>Availability</w:t>
            </w:r>
          </w:p>
        </w:tc>
        <w:tc>
          <w:tcPr>
            <w:tcW w:type="dxa" w:w="3239"/>
            <w:shd w:val="clear" w:color="auto" w:fill="F2F5F9"/>
          </w:tcPr>
          <w:p>
            <w:pPr>
              <w:spacing w:after="20"/>
            </w:pPr>
            <w:r/>
            <w:r>
              <w:rPr>
                <w:sz w:val="19"/>
              </w:rPr>
              <w:t>Past stock-out frequency, recent in-stock rate</w:t>
            </w:r>
          </w:p>
        </w:tc>
        <w:tc>
          <w:tcPr>
            <w:tcW w:type="dxa" w:w="1567"/>
            <w:shd w:val="clear" w:color="auto" w:fill="F2F5F9"/>
          </w:tcPr>
          <w:p>
            <w:pPr>
              <w:spacing w:after="20"/>
            </w:pPr>
            <w:r/>
            <w:r>
              <w:rPr>
                <w:sz w:val="19"/>
              </w:rPr>
              <w:t>Past only</w:t>
            </w:r>
          </w:p>
        </w:tc>
        <w:tc>
          <w:tcPr>
            <w:tcW w:type="dxa" w:w="2220"/>
            <w:shd w:val="clear" w:color="auto" w:fill="F2F5F9"/>
          </w:tcPr>
          <w:p>
            <w:pPr>
              <w:spacing w:after="20"/>
            </w:pPr>
            <w:r/>
            <w:r>
              <w:rPr>
                <w:sz w:val="19"/>
              </w:rPr>
              <w:t>Understanding censoring</w:t>
            </w:r>
          </w:p>
        </w:tc>
      </w:tr>
      <w:tr>
        <w:tc>
          <w:tcPr>
            <w:tcW w:type="dxa" w:w="2612"/>
          </w:tcPr>
          <w:p>
            <w:pPr>
              <w:spacing w:after="20"/>
            </w:pPr>
            <w:r/>
            <w:r>
              <w:rPr>
                <w:sz w:val="19"/>
              </w:rPr>
              <w:t>Hierarchy/entity</w:t>
            </w:r>
          </w:p>
        </w:tc>
        <w:tc>
          <w:tcPr>
            <w:tcW w:type="dxa" w:w="3239"/>
          </w:tcPr>
          <w:p>
            <w:pPr>
              <w:spacing w:after="20"/>
            </w:pPr>
            <w:r/>
            <w:r>
              <w:rPr>
                <w:sz w:val="19"/>
              </w:rPr>
              <w:t>SKU/brand/category, pack size, store cluster/state/format, shelf life</w:t>
            </w:r>
          </w:p>
        </w:tc>
        <w:tc>
          <w:tcPr>
            <w:tcW w:type="dxa" w:w="1567"/>
          </w:tcPr>
          <w:p>
            <w:pPr>
              <w:spacing w:after="20"/>
            </w:pPr>
            <w:r/>
            <w:r>
              <w:rPr>
                <w:sz w:val="19"/>
              </w:rPr>
              <w:t>Static</w:t>
            </w:r>
          </w:p>
        </w:tc>
        <w:tc>
          <w:tcPr>
            <w:tcW w:type="dxa" w:w="2220"/>
          </w:tcPr>
          <w:p>
            <w:pPr>
              <w:spacing w:after="20"/>
            </w:pPr>
            <w:r/>
            <w:r>
              <w:rPr>
                <w:sz w:val="19"/>
              </w:rPr>
              <w:t>Cross-series learning, cold start</w:t>
            </w:r>
          </w:p>
        </w:tc>
      </w:tr>
      <w:tr>
        <w:tc>
          <w:tcPr>
            <w:tcW w:type="dxa" w:w="2612"/>
            <w:shd w:val="clear" w:color="auto" w:fill="F2F5F9"/>
          </w:tcPr>
          <w:p>
            <w:pPr>
              <w:spacing w:after="20"/>
            </w:pPr>
            <w:r/>
            <w:r>
              <w:rPr>
                <w:sz w:val="19"/>
              </w:rPr>
              <w:t>External (optional)</w:t>
            </w:r>
          </w:p>
        </w:tc>
        <w:tc>
          <w:tcPr>
            <w:tcW w:type="dxa" w:w="3239"/>
            <w:shd w:val="clear" w:color="auto" w:fill="F2F5F9"/>
          </w:tcPr>
          <w:p>
            <w:pPr>
              <w:spacing w:after="20"/>
            </w:pPr>
            <w:r/>
            <w:r>
              <w:rPr>
                <w:sz w:val="19"/>
              </w:rPr>
              <w:t>Weather observed lag, local events</w:t>
            </w:r>
          </w:p>
        </w:tc>
        <w:tc>
          <w:tcPr>
            <w:tcW w:type="dxa" w:w="1567"/>
            <w:shd w:val="clear" w:color="auto" w:fill="F2F5F9"/>
          </w:tcPr>
          <w:p>
            <w:pPr>
              <w:spacing w:after="20"/>
            </w:pPr>
            <w:r/>
            <w:r>
              <w:rPr>
                <w:sz w:val="19"/>
              </w:rPr>
              <w:t>Per source</w:t>
            </w:r>
          </w:p>
        </w:tc>
        <w:tc>
          <w:tcPr>
            <w:tcW w:type="dxa" w:w="2220"/>
            <w:shd w:val="clear" w:color="auto" w:fill="F2F5F9"/>
          </w:tcPr>
          <w:p>
            <w:pPr>
              <w:spacing w:after="20"/>
            </w:pPr>
            <w:r/>
            <w:r>
              <w:rPr>
                <w:sz w:val="19"/>
              </w:rPr>
              <w:t>Category-specific</w:t>
            </w:r>
          </w:p>
        </w:tc>
      </w:tr>
    </w:tbl>
    <w:p>
      <w:pPr>
        <w:spacing w:after="40"/>
      </w:pPr>
    </w:p>
    <w:p>
      <w:r>
        <w:rPr/>
        <w:t xml:space="preserve">New SKUs and stores: forecast with attribute-based analogues (same category/pack/price band; store cluster) until ≥ N weeks of history exist (N </w:t>
      </w:r>
      <w:r>
        <w:rPr>
          <w:b/>
          <w:color w:val="C0392B"/>
        </w:rPr>
        <w:t>[TBD]</w:t>
      </w:r>
      <w:r>
        <w:rPr/>
        <w:t>).</w:t>
      </w:r>
    </w:p>
    <w:p>
      <w:pPr>
        <w:pStyle w:val="Heading2"/>
      </w:pPr>
      <w:r>
        <w:rPr/>
        <w:t>8. Baseline Model Specification</w:t>
      </w:r>
    </w:p>
    <w:tbl>
      <w:tblPr>
        <w:tblStyle w:val="TableGrid"/>
        <w:tblW w:type="auto" w:w="0"/>
        <w:jc w:val="center"/>
        <w:tblLayout w:type="fixed"/>
        <w:tblLook w:firstColumn="1" w:firstRow="1" w:lastColumn="0" w:lastRow="0" w:noHBand="0" w:noVBand="1" w:val="04A0"/>
        <w:tblLayout w:type="fixed"/>
      </w:tblPr>
      <w:tblGrid>
        <w:gridCol w:w="2622"/>
        <w:gridCol w:w="1653"/>
        <w:gridCol w:w="1710"/>
        <w:gridCol w:w="1765"/>
        <w:gridCol w:w="1888"/>
      </w:tblGrid>
      <w:tr>
        <w:trPr>
          <w:tblHeader w:val="true"/>
        </w:trPr>
        <w:tc>
          <w:tcPr>
            <w:tcW w:type="dxa" w:w="2622"/>
            <w:shd w:val="clear" w:color="auto" w:fill="1F3A5F"/>
          </w:tcPr>
          <w:p>
            <w:r/>
            <w:r>
              <w:rPr>
                <w:b/>
                <w:color w:val="FFFFFF"/>
                <w:sz w:val="17"/>
              </w:rPr>
              <w:t>Baseline</w:t>
            </w:r>
          </w:p>
        </w:tc>
        <w:tc>
          <w:tcPr>
            <w:tcW w:type="dxa" w:w="1653"/>
            <w:shd w:val="clear" w:color="auto" w:fill="1F3A5F"/>
          </w:tcPr>
          <w:p>
            <w:r/>
            <w:r>
              <w:rPr>
                <w:b/>
                <w:color w:val="FFFFFF"/>
                <w:sz w:val="17"/>
              </w:rPr>
              <w:t>Inputs</w:t>
            </w:r>
          </w:p>
        </w:tc>
        <w:tc>
          <w:tcPr>
            <w:tcW w:type="dxa" w:w="1710"/>
            <w:shd w:val="clear" w:color="auto" w:fill="1F3A5F"/>
          </w:tcPr>
          <w:p>
            <w:r/>
            <w:r>
              <w:rPr>
                <w:b/>
                <w:color w:val="FFFFFF"/>
                <w:sz w:val="17"/>
              </w:rPr>
              <w:t>Protocol</w:t>
            </w:r>
          </w:p>
        </w:tc>
        <w:tc>
          <w:tcPr>
            <w:tcW w:type="dxa" w:w="1765"/>
            <w:shd w:val="clear" w:color="auto" w:fill="1F3A5F"/>
          </w:tcPr>
          <w:p>
            <w:r/>
            <w:r>
              <w:rPr>
                <w:b/>
                <w:color w:val="FFFFFF"/>
                <w:sz w:val="17"/>
              </w:rPr>
              <w:t>Limitation</w:t>
            </w:r>
          </w:p>
        </w:tc>
        <w:tc>
          <w:tcPr>
            <w:tcW w:type="dxa" w:w="1888"/>
            <w:shd w:val="clear" w:color="auto" w:fill="1F3A5F"/>
          </w:tcPr>
          <w:p>
            <w:r/>
            <w:r>
              <w:rPr>
                <w:b/>
                <w:color w:val="FFFFFF"/>
                <w:sz w:val="17"/>
              </w:rPr>
              <w:t>Role</w:t>
            </w:r>
          </w:p>
        </w:tc>
      </w:tr>
      <w:tr>
        <w:tc>
          <w:tcPr>
            <w:tcW w:type="dxa" w:w="2622"/>
          </w:tcPr>
          <w:p>
            <w:pPr>
              <w:spacing w:after="20"/>
            </w:pPr>
            <w:r/>
            <w:r>
              <w:rPr>
                <w:sz w:val="17"/>
              </w:rPr>
              <w:t>B0 Current process: 4-week moving average of sales, scaled to protection interval</w:t>
            </w:r>
          </w:p>
        </w:tc>
        <w:tc>
          <w:tcPr>
            <w:tcW w:type="dxa" w:w="1653"/>
          </w:tcPr>
          <w:p>
            <w:pPr>
              <w:spacing w:after="20"/>
            </w:pPr>
            <w:r/>
            <w:r>
              <w:rPr>
                <w:sz w:val="17"/>
              </w:rPr>
              <w:t>Last 4 weeks of sales at SKU×store</w:t>
            </w:r>
          </w:p>
        </w:tc>
        <w:tc>
          <w:tcPr>
            <w:tcW w:type="dxa" w:w="1710"/>
          </w:tcPr>
          <w:p>
            <w:pPr>
              <w:spacing w:after="20"/>
            </w:pPr>
            <w:r/>
            <w:r>
              <w:rPr>
                <w:sz w:val="17"/>
              </w:rPr>
              <w:t>Re-implemented exactly as the planners do it (confirm any manual adjustments); evaluated in the same walk-forward backtest</w:t>
            </w:r>
          </w:p>
        </w:tc>
        <w:tc>
          <w:tcPr>
            <w:tcW w:type="dxa" w:w="1765"/>
          </w:tcPr>
          <w:p>
            <w:pPr>
              <w:spacing w:after="20"/>
            </w:pPr>
            <w:r/>
            <w:r>
              <w:rPr>
                <w:sz w:val="17"/>
              </w:rPr>
              <w:t>May hide manual overrides not in the data</w:t>
            </w:r>
          </w:p>
        </w:tc>
        <w:tc>
          <w:tcPr>
            <w:tcW w:type="dxa" w:w="1888"/>
          </w:tcPr>
          <w:p>
            <w:pPr>
              <w:spacing w:after="20"/>
            </w:pPr>
            <w:r/>
            <w:r>
              <w:rPr>
                <w:b/>
                <w:sz w:val="17"/>
              </w:rPr>
              <w:t>Primary bar to beat</w:t>
            </w:r>
            <w:r>
              <w:rPr>
                <w:sz w:val="17"/>
              </w:rPr>
              <w:t xml:space="preserve"> (forecast value added)</w:t>
            </w:r>
          </w:p>
        </w:tc>
      </w:tr>
      <w:tr>
        <w:tc>
          <w:tcPr>
            <w:tcW w:type="dxa" w:w="2622"/>
            <w:shd w:val="clear" w:color="auto" w:fill="F2F5F9"/>
          </w:tcPr>
          <w:p>
            <w:pPr>
              <w:spacing w:after="20"/>
            </w:pPr>
            <w:r/>
            <w:r>
              <w:rPr>
                <w:sz w:val="17"/>
              </w:rPr>
              <w:t>B1 Seasonal naive (same week last year) plus level adjustment</w:t>
            </w:r>
          </w:p>
        </w:tc>
        <w:tc>
          <w:tcPr>
            <w:tcW w:type="dxa" w:w="1653"/>
            <w:shd w:val="clear" w:color="auto" w:fill="F2F5F9"/>
          </w:tcPr>
          <w:p>
            <w:pPr>
              <w:spacing w:after="20"/>
            </w:pPr>
            <w:r/>
            <w:r>
              <w:rPr>
                <w:sz w:val="17"/>
              </w:rPr>
              <w:t>52-week lag, recent level</w:t>
            </w:r>
          </w:p>
        </w:tc>
        <w:tc>
          <w:tcPr>
            <w:tcW w:type="dxa" w:w="1710"/>
            <w:shd w:val="clear" w:color="auto" w:fill="F2F5F9"/>
          </w:tcPr>
          <w:p>
            <w:pPr>
              <w:spacing w:after="20"/>
            </w:pPr>
            <w:r/>
            <w:r>
              <w:rPr>
                <w:sz w:val="17"/>
              </w:rPr>
              <w:t>Same protocol</w:t>
            </w:r>
          </w:p>
        </w:tc>
        <w:tc>
          <w:tcPr>
            <w:tcW w:type="dxa" w:w="1765"/>
            <w:shd w:val="clear" w:color="auto" w:fill="F2F5F9"/>
          </w:tcPr>
          <w:p>
            <w:pPr>
              <w:spacing w:after="20"/>
            </w:pPr>
            <w:r/>
            <w:r>
              <w:rPr>
                <w:sz w:val="17"/>
              </w:rPr>
              <w:t>Only 2 usable years; fails on moving festivals</w:t>
            </w:r>
          </w:p>
        </w:tc>
        <w:tc>
          <w:tcPr>
            <w:tcW w:type="dxa" w:w="1888"/>
            <w:shd w:val="clear" w:color="auto" w:fill="F2F5F9"/>
          </w:tcPr>
          <w:p>
            <w:pPr>
              <w:spacing w:after="20"/>
            </w:pPr>
            <w:r/>
            <w:r>
              <w:rPr>
                <w:sz w:val="17"/>
              </w:rPr>
              <w:t>Checks whether seasonality is worth modelling</w:t>
            </w:r>
          </w:p>
        </w:tc>
      </w:tr>
      <w:tr>
        <w:tc>
          <w:tcPr>
            <w:tcW w:type="dxa" w:w="2622"/>
          </w:tcPr>
          <w:p>
            <w:pPr>
              <w:spacing w:after="20"/>
            </w:pPr>
            <w:r/>
            <w:r>
              <w:rPr>
                <w:sz w:val="17"/>
              </w:rPr>
              <w:t>B2 Moving average + festival/promo uplift factors by category</w:t>
            </w:r>
          </w:p>
        </w:tc>
        <w:tc>
          <w:tcPr>
            <w:tcW w:type="dxa" w:w="1653"/>
          </w:tcPr>
          <w:p>
            <w:pPr>
              <w:spacing w:after="20"/>
            </w:pPr>
            <w:r/>
            <w:r>
              <w:rPr>
                <w:sz w:val="17"/>
              </w:rPr>
              <w:t>4-wk average × category-level historic ratios</w:t>
            </w:r>
          </w:p>
        </w:tc>
        <w:tc>
          <w:tcPr>
            <w:tcW w:type="dxa" w:w="1710"/>
          </w:tcPr>
          <w:p>
            <w:pPr>
              <w:spacing w:after="20"/>
            </w:pPr>
            <w:r/>
            <w:r>
              <w:rPr>
                <w:sz w:val="17"/>
              </w:rPr>
              <w:t>Same</w:t>
            </w:r>
          </w:p>
        </w:tc>
        <w:tc>
          <w:tcPr>
            <w:tcW w:type="dxa" w:w="1765"/>
          </w:tcPr>
          <w:p>
            <w:pPr>
              <w:spacing w:after="20"/>
            </w:pPr>
            <w:r/>
            <w:r>
              <w:rPr>
                <w:sz w:val="17"/>
              </w:rPr>
              <w:t>Ratios estimated from few occurrences</w:t>
            </w:r>
          </w:p>
        </w:tc>
        <w:tc>
          <w:tcPr>
            <w:tcW w:type="dxa" w:w="1888"/>
          </w:tcPr>
          <w:p>
            <w:pPr>
              <w:spacing w:after="20"/>
            </w:pPr>
            <w:r/>
            <w:r>
              <w:rPr>
                <w:sz w:val="17"/>
              </w:rPr>
              <w:t>Simple, explainable improvement that candidates must beat</w:t>
            </w:r>
          </w:p>
        </w:tc>
      </w:tr>
      <w:tr>
        <w:tc>
          <w:tcPr>
            <w:tcW w:type="dxa" w:w="2622"/>
            <w:shd w:val="clear" w:color="auto" w:fill="F2F5F9"/>
          </w:tcPr>
          <w:p>
            <w:pPr>
              <w:spacing w:after="20"/>
            </w:pPr>
            <w:r/>
            <w:r>
              <w:rPr>
                <w:sz w:val="17"/>
              </w:rPr>
              <w:t>B3 Tuned statistical per-series (ETS/TSB/Croston by velocity class)</w:t>
            </w:r>
          </w:p>
        </w:tc>
        <w:tc>
          <w:tcPr>
            <w:tcW w:type="dxa" w:w="1653"/>
            <w:shd w:val="clear" w:color="auto" w:fill="F2F5F9"/>
          </w:tcPr>
          <w:p>
            <w:pPr>
              <w:spacing w:after="20"/>
            </w:pPr>
            <w:r/>
            <w:r>
              <w:rPr>
                <w:sz w:val="17"/>
              </w:rPr>
              <w:t>Own history</w:t>
            </w:r>
          </w:p>
        </w:tc>
        <w:tc>
          <w:tcPr>
            <w:tcW w:type="dxa" w:w="1710"/>
            <w:shd w:val="clear" w:color="auto" w:fill="F2F5F9"/>
          </w:tcPr>
          <w:p>
            <w:pPr>
              <w:spacing w:after="20"/>
            </w:pPr>
            <w:r/>
            <w:r>
              <w:rPr>
                <w:sz w:val="17"/>
              </w:rPr>
              <w:t>Same</w:t>
            </w:r>
          </w:p>
        </w:tc>
        <w:tc>
          <w:tcPr>
            <w:tcW w:type="dxa" w:w="1765"/>
            <w:shd w:val="clear" w:color="auto" w:fill="F2F5F9"/>
          </w:tcPr>
          <w:p>
            <w:pPr>
              <w:spacing w:after="20"/>
            </w:pPr>
            <w:r/>
            <w:r>
              <w:rPr>
                <w:sz w:val="17"/>
              </w:rPr>
              <w:t>No cross-series learning</w:t>
            </w:r>
          </w:p>
        </w:tc>
        <w:tc>
          <w:tcPr>
            <w:tcW w:type="dxa" w:w="1888"/>
            <w:shd w:val="clear" w:color="auto" w:fill="F2F5F9"/>
          </w:tcPr>
          <w:p>
            <w:pPr>
              <w:spacing w:after="20"/>
            </w:pPr>
            <w:r/>
            <w:r>
              <w:rPr>
                <w:sz w:val="17"/>
              </w:rPr>
              <w:t>Strong classical benchmark</w:t>
            </w:r>
          </w:p>
        </w:tc>
      </w:tr>
    </w:tbl>
    <w:p>
      <w:pPr>
        <w:spacing w:after="40"/>
      </w:pPr>
    </w:p>
    <w:p>
      <w:r>
        <w:rPr>
          <w:b/>
        </w:rPr>
        <w:t>Bar for candidates (to be agreed with the client):</w:t>
      </w:r>
      <w:r>
        <w:rPr/>
        <w:t xml:space="preserve"> beat B0 on WAPE and bias over the protection interval, and beat B2/B3, across all rolling-origin windows and in the festival windows, by a pre-declared minimum margin </w:t>
      </w:r>
      <w:r>
        <w:rPr>
          <w:b/>
          <w:color w:val="C0392B"/>
        </w:rPr>
        <w:t>[TBD with client]</w:t>
      </w:r>
      <w:r>
        <w:rPr/>
        <w:t>, without worsening bias in the high-volume A-class items. No baseline numbers are assumed; they will be measured in E0/E1.</w:t>
      </w:r>
    </w:p>
    <w:p>
      <w:pPr>
        <w:pStyle w:val="Heading2"/>
      </w:pPr>
      <w:r>
        <w:rPr/>
        <w:t>9. Candidate Algorithms &amp; Prioritisation</w:t>
      </w:r>
    </w:p>
    <w:tbl>
      <w:tblPr>
        <w:tblStyle w:val="TableGrid"/>
        <w:tblW w:type="auto" w:w="0"/>
        <w:jc w:val="center"/>
        <w:tblLayout w:type="fixed"/>
        <w:tblLook w:firstColumn="1" w:firstRow="1" w:lastColumn="0" w:lastRow="0" w:noHBand="0" w:noVBand="1" w:val="04A0"/>
        <w:tblLayout w:type="fixed"/>
      </w:tblPr>
      <w:tblGrid>
        <w:gridCol w:w="771"/>
        <w:gridCol w:w="1519"/>
        <w:gridCol w:w="1200"/>
        <w:gridCol w:w="1046"/>
        <w:gridCol w:w="874"/>
        <w:gridCol w:w="922"/>
        <w:gridCol w:w="985"/>
        <w:gridCol w:w="1092"/>
        <w:gridCol w:w="1230"/>
      </w:tblGrid>
      <w:tr>
        <w:trPr>
          <w:tblHeader w:val="true"/>
        </w:trPr>
        <w:tc>
          <w:tcPr>
            <w:tcW w:type="dxa" w:w="771"/>
            <w:shd w:val="clear" w:color="auto" w:fill="1F3A5F"/>
          </w:tcPr>
          <w:p>
            <w:r/>
            <w:r>
              <w:rPr>
                <w:b/>
                <w:color w:val="FFFFFF"/>
                <w:sz w:val="15"/>
              </w:rPr>
              <w:t>Priority</w:t>
            </w:r>
          </w:p>
        </w:tc>
        <w:tc>
          <w:tcPr>
            <w:tcW w:type="dxa" w:w="1519"/>
            <w:shd w:val="clear" w:color="auto" w:fill="1F3A5F"/>
          </w:tcPr>
          <w:p>
            <w:r/>
            <w:r>
              <w:rPr>
                <w:b/>
                <w:color w:val="FFFFFF"/>
                <w:sz w:val="15"/>
              </w:rPr>
              <w:t>Algorithm</w:t>
            </w:r>
          </w:p>
        </w:tc>
        <w:tc>
          <w:tcPr>
            <w:tcW w:type="dxa" w:w="1200"/>
            <w:shd w:val="clear" w:color="auto" w:fill="1F3A5F"/>
          </w:tcPr>
          <w:p>
            <w:r/>
            <w:r>
              <w:rPr>
                <w:b/>
                <w:color w:val="FFFFFF"/>
                <w:sz w:val="15"/>
              </w:rPr>
              <w:t>Why plausible</w:t>
            </w:r>
          </w:p>
        </w:tc>
        <w:tc>
          <w:tcPr>
            <w:tcW w:type="dxa" w:w="1046"/>
            <w:shd w:val="clear" w:color="auto" w:fill="1F3A5F"/>
          </w:tcPr>
          <w:p>
            <w:r/>
            <w:r>
              <w:rPr>
                <w:b/>
                <w:color w:val="FFFFFF"/>
                <w:sz w:val="15"/>
              </w:rPr>
              <w:t>Assumptions/needs</w:t>
            </w:r>
          </w:p>
        </w:tc>
        <w:tc>
          <w:tcPr>
            <w:tcW w:type="dxa" w:w="874"/>
            <w:shd w:val="clear" w:color="auto" w:fill="1F3A5F"/>
          </w:tcPr>
          <w:p>
            <w:r/>
            <w:r>
              <w:rPr>
                <w:b/>
                <w:color w:val="FFFFFF"/>
                <w:sz w:val="15"/>
              </w:rPr>
              <w:t>Strengths</w:t>
            </w:r>
          </w:p>
        </w:tc>
        <w:tc>
          <w:tcPr>
            <w:tcW w:type="dxa" w:w="922"/>
            <w:shd w:val="clear" w:color="auto" w:fill="1F3A5F"/>
          </w:tcPr>
          <w:p>
            <w:r/>
            <w:r>
              <w:rPr>
                <w:b/>
                <w:color w:val="FFFFFF"/>
                <w:sz w:val="15"/>
              </w:rPr>
              <w:t>Weaknesses</w:t>
            </w:r>
          </w:p>
        </w:tc>
        <w:tc>
          <w:tcPr>
            <w:tcW w:type="dxa" w:w="985"/>
            <w:shd w:val="clear" w:color="auto" w:fill="1F3A5F"/>
          </w:tcPr>
          <w:p>
            <w:r/>
            <w:r>
              <w:rPr>
                <w:b/>
                <w:color w:val="FFFFFF"/>
                <w:sz w:val="15"/>
              </w:rPr>
              <w:t>Interpretability</w:t>
            </w:r>
          </w:p>
        </w:tc>
        <w:tc>
          <w:tcPr>
            <w:tcW w:type="dxa" w:w="1092"/>
            <w:shd w:val="clear" w:color="auto" w:fill="1F3A5F"/>
          </w:tcPr>
          <w:p>
            <w:r/>
            <w:r>
              <w:rPr>
                <w:b/>
                <w:color w:val="FFFFFF"/>
                <w:sz w:val="15"/>
              </w:rPr>
              <w:t>Key hyperparameters</w:t>
            </w:r>
          </w:p>
        </w:tc>
        <w:tc>
          <w:tcPr>
            <w:tcW w:type="dxa" w:w="1230"/>
            <w:shd w:val="clear" w:color="auto" w:fill="1F3A5F"/>
          </w:tcPr>
          <w:p>
            <w:r/>
            <w:r>
              <w:rPr>
                <w:b/>
                <w:color w:val="FFFFFF"/>
                <w:sz w:val="15"/>
              </w:rPr>
              <w:t>Reject if</w:t>
            </w:r>
          </w:p>
        </w:tc>
      </w:tr>
      <w:tr>
        <w:tc>
          <w:tcPr>
            <w:tcW w:type="dxa" w:w="771"/>
          </w:tcPr>
          <w:p>
            <w:pPr>
              <w:spacing w:after="20"/>
            </w:pPr>
            <w:r/>
            <w:r>
              <w:rPr>
                <w:sz w:val="15"/>
              </w:rPr>
              <w:t>1</w:t>
            </w:r>
          </w:p>
        </w:tc>
        <w:tc>
          <w:tcPr>
            <w:tcW w:type="dxa" w:w="1519"/>
          </w:tcPr>
          <w:p>
            <w:pPr>
              <w:spacing w:after="20"/>
            </w:pPr>
            <w:r/>
            <w:r>
              <w:rPr>
                <w:sz w:val="15"/>
              </w:rPr>
              <w:t>Global gradient boosting (LightGBM-class), direct multi-horizon, quantile or Tweedie/Poisson-type objective</w:t>
            </w:r>
          </w:p>
        </w:tc>
        <w:tc>
          <w:tcPr>
            <w:tcW w:type="dxa" w:w="1200"/>
          </w:tcPr>
          <w:p>
            <w:pPr>
              <w:spacing w:after="20"/>
            </w:pPr>
            <w:r/>
            <w:r>
              <w:rPr>
                <w:sz w:val="15"/>
              </w:rPr>
              <w:t>Large panel with rich covariates; handles promo/festival features; fast</w:t>
            </w:r>
          </w:p>
        </w:tc>
        <w:tc>
          <w:tcPr>
            <w:tcW w:type="dxa" w:w="1046"/>
          </w:tcPr>
          <w:p>
            <w:pPr>
              <w:spacing w:after="20"/>
            </w:pPr>
            <w:r/>
            <w:r>
              <w:rPr>
                <w:sz w:val="15"/>
              </w:rPr>
              <w:t>Lags built point-in-time; feature panel</w:t>
            </w:r>
          </w:p>
        </w:tc>
        <w:tc>
          <w:tcPr>
            <w:tcW w:type="dxa" w:w="874"/>
          </w:tcPr>
          <w:p>
            <w:pPr>
              <w:spacing w:after="20"/>
            </w:pPr>
            <w:r/>
            <w:r>
              <w:rPr>
                <w:sz w:val="15"/>
              </w:rPr>
              <w:t>Learns across series; handles non-linearity; scalable to large panels</w:t>
            </w:r>
          </w:p>
        </w:tc>
        <w:tc>
          <w:tcPr>
            <w:tcW w:type="dxa" w:w="922"/>
          </w:tcPr>
          <w:p>
            <w:pPr>
              <w:spacing w:after="20"/>
            </w:pPr>
            <w:r/>
            <w:r>
              <w:rPr>
                <w:sz w:val="15"/>
              </w:rPr>
              <w:t>Quantile crossing; needs good lag features; weak for ultra-sparse series</w:t>
            </w:r>
          </w:p>
        </w:tc>
        <w:tc>
          <w:tcPr>
            <w:tcW w:type="dxa" w:w="985"/>
          </w:tcPr>
          <w:p>
            <w:pPr>
              <w:spacing w:after="20"/>
            </w:pPr>
            <w:r/>
            <w:r>
              <w:rPr>
                <w:sz w:val="15"/>
              </w:rPr>
              <w:t>Feature importance/SHAP (associative)</w:t>
            </w:r>
          </w:p>
        </w:tc>
        <w:tc>
          <w:tcPr>
            <w:tcW w:type="dxa" w:w="1092"/>
          </w:tcPr>
          <w:p>
            <w:pPr>
              <w:spacing w:after="20"/>
            </w:pPr>
            <w:r/>
            <w:r>
              <w:rPr>
                <w:sz w:val="15"/>
              </w:rPr>
              <w:t>learning rate, num_leaves, min_data_in_leaf, feature/bagging fraction, regularisation, number of trees, quantile levels</w:t>
            </w:r>
          </w:p>
        </w:tc>
        <w:tc>
          <w:tcPr>
            <w:tcW w:type="dxa" w:w="1230"/>
          </w:tcPr>
          <w:p>
            <w:pPr>
              <w:spacing w:after="20"/>
            </w:pPr>
            <w:r/>
            <w:r>
              <w:rPr>
                <w:sz w:val="15"/>
              </w:rPr>
              <w:t>Does not beat B2/B3 in the pre-declared windows or is unstable across folds</w:t>
            </w:r>
          </w:p>
        </w:tc>
      </w:tr>
      <w:tr>
        <w:tc>
          <w:tcPr>
            <w:tcW w:type="dxa" w:w="771"/>
            <w:shd w:val="clear" w:color="auto" w:fill="F2F5F9"/>
          </w:tcPr>
          <w:p>
            <w:pPr>
              <w:spacing w:after="20"/>
            </w:pPr>
            <w:r/>
            <w:r>
              <w:rPr>
                <w:sz w:val="15"/>
              </w:rPr>
              <w:t>2</w:t>
            </w:r>
          </w:p>
        </w:tc>
        <w:tc>
          <w:tcPr>
            <w:tcW w:type="dxa" w:w="1519"/>
            <w:shd w:val="clear" w:color="auto" w:fill="F2F5F9"/>
          </w:tcPr>
          <w:p>
            <w:pPr>
              <w:spacing w:after="20"/>
            </w:pPr>
            <w:r/>
            <w:r>
              <w:rPr>
                <w:sz w:val="15"/>
              </w:rPr>
              <w:t>Statistical per-series: ETS/ARIMA for smooth items; Croston-SBA/TSB for intermittent</w:t>
            </w:r>
          </w:p>
        </w:tc>
        <w:tc>
          <w:tcPr>
            <w:tcW w:type="dxa" w:w="1200"/>
            <w:shd w:val="clear" w:color="auto" w:fill="F2F5F9"/>
          </w:tcPr>
          <w:p>
            <w:pPr>
              <w:spacing w:after="20"/>
            </w:pPr>
            <w:r/>
            <w:r>
              <w:rPr>
                <w:sz w:val="15"/>
              </w:rPr>
              <w:t>Strong, cheap benchmark; good for slow movers</w:t>
            </w:r>
          </w:p>
        </w:tc>
        <w:tc>
          <w:tcPr>
            <w:tcW w:type="dxa" w:w="1046"/>
            <w:shd w:val="clear" w:color="auto" w:fill="F2F5F9"/>
          </w:tcPr>
          <w:p>
            <w:pPr>
              <w:spacing w:after="20"/>
            </w:pPr>
            <w:r/>
            <w:r>
              <w:rPr>
                <w:sz w:val="15"/>
              </w:rPr>
              <w:t>Enough history per series</w:t>
            </w:r>
          </w:p>
        </w:tc>
        <w:tc>
          <w:tcPr>
            <w:tcW w:type="dxa" w:w="874"/>
            <w:shd w:val="clear" w:color="auto" w:fill="F2F5F9"/>
          </w:tcPr>
          <w:p>
            <w:pPr>
              <w:spacing w:after="20"/>
            </w:pPr>
            <w:r/>
            <w:r>
              <w:rPr>
                <w:sz w:val="15"/>
              </w:rPr>
              <w:t>Robust, simple</w:t>
            </w:r>
          </w:p>
        </w:tc>
        <w:tc>
          <w:tcPr>
            <w:tcW w:type="dxa" w:w="922"/>
            <w:shd w:val="clear" w:color="auto" w:fill="F2F5F9"/>
          </w:tcPr>
          <w:p>
            <w:pPr>
              <w:spacing w:after="20"/>
            </w:pPr>
            <w:r/>
            <w:r>
              <w:rPr>
                <w:sz w:val="15"/>
              </w:rPr>
              <w:t>No covariates (or limited); per-series noise</w:t>
            </w:r>
          </w:p>
        </w:tc>
        <w:tc>
          <w:tcPr>
            <w:tcW w:type="dxa" w:w="985"/>
            <w:shd w:val="clear" w:color="auto" w:fill="F2F5F9"/>
          </w:tcPr>
          <w:p>
            <w:pPr>
              <w:spacing w:after="20"/>
            </w:pPr>
            <w:r/>
            <w:r>
              <w:rPr>
                <w:sz w:val="15"/>
              </w:rPr>
              <w:t>High</w:t>
            </w:r>
          </w:p>
        </w:tc>
        <w:tc>
          <w:tcPr>
            <w:tcW w:type="dxa" w:w="1092"/>
            <w:shd w:val="clear" w:color="auto" w:fill="F2F5F9"/>
          </w:tcPr>
          <w:p>
            <w:pPr>
              <w:spacing w:after="20"/>
            </w:pPr>
            <w:r/>
            <w:r>
              <w:rPr>
                <w:sz w:val="15"/>
              </w:rPr>
              <w:t>smoothing parameters, intermittency method</w:t>
            </w:r>
          </w:p>
        </w:tc>
        <w:tc>
          <w:tcPr>
            <w:tcW w:type="dxa" w:w="1230"/>
            <w:shd w:val="clear" w:color="auto" w:fill="F2F5F9"/>
          </w:tcPr>
          <w:p>
            <w:pPr>
              <w:spacing w:after="20"/>
            </w:pPr>
            <w:r/>
            <w:r>
              <w:rPr>
                <w:sz w:val="15"/>
              </w:rPr>
              <w:t>Used as a benchmark; kept for classes where it wins</w:t>
            </w:r>
          </w:p>
        </w:tc>
      </w:tr>
      <w:tr>
        <w:tc>
          <w:tcPr>
            <w:tcW w:type="dxa" w:w="771"/>
          </w:tcPr>
          <w:p>
            <w:pPr>
              <w:spacing w:after="20"/>
            </w:pPr>
            <w:r/>
            <w:r>
              <w:rPr>
                <w:sz w:val="15"/>
              </w:rPr>
              <w:t>3</w:t>
            </w:r>
          </w:p>
        </w:tc>
        <w:tc>
          <w:tcPr>
            <w:tcW w:type="dxa" w:w="1519"/>
          </w:tcPr>
          <w:p>
            <w:pPr>
              <w:spacing w:after="20"/>
            </w:pPr>
            <w:r/>
            <w:r>
              <w:rPr>
                <w:sz w:val="15"/>
              </w:rPr>
              <w:t>Count/negative-binomial or hierarchical Bayesian model for sparse SKUs</w:t>
            </w:r>
          </w:p>
        </w:tc>
        <w:tc>
          <w:tcPr>
            <w:tcW w:type="dxa" w:w="1200"/>
          </w:tcPr>
          <w:p>
            <w:pPr>
              <w:spacing w:after="20"/>
            </w:pPr>
            <w:r/>
            <w:r>
              <w:rPr>
                <w:sz w:val="15"/>
              </w:rPr>
              <w:t>Natural for low counts and uncertainty; pooling</w:t>
            </w:r>
          </w:p>
        </w:tc>
        <w:tc>
          <w:tcPr>
            <w:tcW w:type="dxa" w:w="1046"/>
          </w:tcPr>
          <w:p>
            <w:pPr>
              <w:spacing w:after="20"/>
            </w:pPr>
            <w:r/>
            <w:r>
              <w:rPr>
                <w:sz w:val="15"/>
              </w:rPr>
              <w:t>Count data</w:t>
            </w:r>
          </w:p>
        </w:tc>
        <w:tc>
          <w:tcPr>
            <w:tcW w:type="dxa" w:w="874"/>
          </w:tcPr>
          <w:p>
            <w:pPr>
              <w:spacing w:after="20"/>
            </w:pPr>
            <w:r/>
            <w:r>
              <w:rPr>
                <w:sz w:val="15"/>
              </w:rPr>
              <w:t>Proper predictive distribution</w:t>
            </w:r>
          </w:p>
        </w:tc>
        <w:tc>
          <w:tcPr>
            <w:tcW w:type="dxa" w:w="922"/>
          </w:tcPr>
          <w:p>
            <w:pPr>
              <w:spacing w:after="20"/>
            </w:pPr>
            <w:r/>
            <w:r>
              <w:rPr>
                <w:sz w:val="15"/>
              </w:rPr>
              <w:t>Slower; harder to scale</w:t>
            </w:r>
          </w:p>
        </w:tc>
        <w:tc>
          <w:tcPr>
            <w:tcW w:type="dxa" w:w="985"/>
          </w:tcPr>
          <w:p>
            <w:pPr>
              <w:spacing w:after="20"/>
            </w:pPr>
            <w:r/>
            <w:r>
              <w:rPr>
                <w:sz w:val="15"/>
              </w:rPr>
              <w:t>Medium-high</w:t>
            </w:r>
          </w:p>
        </w:tc>
        <w:tc>
          <w:tcPr>
            <w:tcW w:type="dxa" w:w="1092"/>
          </w:tcPr>
          <w:p>
            <w:pPr>
              <w:spacing w:after="20"/>
            </w:pPr>
            <w:r/>
            <w:r>
              <w:rPr>
                <w:sz w:val="15"/>
              </w:rPr>
              <w:t>priors, pooling levels</w:t>
            </w:r>
          </w:p>
        </w:tc>
        <w:tc>
          <w:tcPr>
            <w:tcW w:type="dxa" w:w="1230"/>
          </w:tcPr>
          <w:p>
            <w:pPr>
              <w:spacing w:after="20"/>
            </w:pPr>
            <w:r/>
            <w:r>
              <w:rPr>
                <w:sz w:val="15"/>
              </w:rPr>
              <w:t>No gain over TSB/GBM on intermittent classes</w:t>
            </w:r>
          </w:p>
        </w:tc>
      </w:tr>
      <w:tr>
        <w:tc>
          <w:tcPr>
            <w:tcW w:type="dxa" w:w="771"/>
            <w:shd w:val="clear" w:color="auto" w:fill="F2F5F9"/>
          </w:tcPr>
          <w:p>
            <w:pPr>
              <w:spacing w:after="20"/>
            </w:pPr>
            <w:r/>
            <w:r>
              <w:rPr>
                <w:sz w:val="15"/>
              </w:rPr>
              <w:t>4</w:t>
            </w:r>
          </w:p>
        </w:tc>
        <w:tc>
          <w:tcPr>
            <w:tcW w:type="dxa" w:w="1519"/>
            <w:shd w:val="clear" w:color="auto" w:fill="F2F5F9"/>
          </w:tcPr>
          <w:p>
            <w:pPr>
              <w:spacing w:after="20"/>
            </w:pPr>
            <w:r/>
            <w:r>
              <w:rPr>
                <w:sz w:val="15"/>
              </w:rPr>
              <w:t>Hierarchical reconciliation (MinT-style or top-down) over category/store/SKU</w:t>
            </w:r>
          </w:p>
        </w:tc>
        <w:tc>
          <w:tcPr>
            <w:tcW w:type="dxa" w:w="1200"/>
            <w:shd w:val="clear" w:color="auto" w:fill="F2F5F9"/>
          </w:tcPr>
          <w:p>
            <w:pPr>
              <w:spacing w:after="20"/>
            </w:pPr>
            <w:r/>
            <w:r>
              <w:rPr>
                <w:sz w:val="15"/>
              </w:rPr>
              <w:t>Coherent forecasts between levels, helps the sparse tail</w:t>
            </w:r>
          </w:p>
        </w:tc>
        <w:tc>
          <w:tcPr>
            <w:tcW w:type="dxa" w:w="1046"/>
            <w:shd w:val="clear" w:color="auto" w:fill="F2F5F9"/>
          </w:tcPr>
          <w:p>
            <w:pPr>
              <w:spacing w:after="20"/>
            </w:pPr>
            <w:r/>
            <w:r>
              <w:rPr>
                <w:sz w:val="15"/>
              </w:rPr>
              <w:t>Hierarchy defined</w:t>
            </w:r>
          </w:p>
        </w:tc>
        <w:tc>
          <w:tcPr>
            <w:tcW w:type="dxa" w:w="874"/>
            <w:shd w:val="clear" w:color="auto" w:fill="F2F5F9"/>
          </w:tcPr>
          <w:p>
            <w:pPr>
              <w:spacing w:after="20"/>
            </w:pPr>
            <w:r/>
            <w:r>
              <w:rPr>
                <w:sz w:val="15"/>
              </w:rPr>
              <w:t>Reduces noise at SKU×store</w:t>
            </w:r>
          </w:p>
        </w:tc>
        <w:tc>
          <w:tcPr>
            <w:tcW w:type="dxa" w:w="922"/>
            <w:shd w:val="clear" w:color="auto" w:fill="F2F5F9"/>
          </w:tcPr>
          <w:p>
            <w:pPr>
              <w:spacing w:after="20"/>
            </w:pPr>
            <w:r/>
            <w:r>
              <w:rPr>
                <w:sz w:val="15"/>
              </w:rPr>
              <w:t>Added complexity</w:t>
            </w:r>
          </w:p>
        </w:tc>
        <w:tc>
          <w:tcPr>
            <w:tcW w:type="dxa" w:w="985"/>
            <w:shd w:val="clear" w:color="auto" w:fill="F2F5F9"/>
          </w:tcPr>
          <w:p>
            <w:pPr>
              <w:spacing w:after="20"/>
            </w:pPr>
            <w:r/>
            <w:r>
              <w:rPr>
                <w:sz w:val="15"/>
              </w:rPr>
              <w:t>Medium</w:t>
            </w:r>
          </w:p>
        </w:tc>
        <w:tc>
          <w:tcPr>
            <w:tcW w:type="dxa" w:w="1092"/>
            <w:shd w:val="clear" w:color="auto" w:fill="F2F5F9"/>
          </w:tcPr>
          <w:p>
            <w:pPr>
              <w:spacing w:after="20"/>
            </w:pPr>
            <w:r/>
            <w:r>
              <w:rPr>
                <w:sz w:val="15"/>
              </w:rPr>
              <w:t>reconciliation method, covariance estimator</w:t>
            </w:r>
          </w:p>
        </w:tc>
        <w:tc>
          <w:tcPr>
            <w:tcW w:type="dxa" w:w="1230"/>
            <w:shd w:val="clear" w:color="auto" w:fill="F2F5F9"/>
          </w:tcPr>
          <w:p>
            <w:pPr>
              <w:spacing w:after="20"/>
            </w:pPr>
            <w:r/>
            <w:r>
              <w:rPr>
                <w:sz w:val="15"/>
              </w:rPr>
              <w:t>No improvement on accuracy or coherence</w:t>
            </w:r>
          </w:p>
        </w:tc>
      </w:tr>
      <w:tr>
        <w:tc>
          <w:tcPr>
            <w:tcW w:type="dxa" w:w="771"/>
          </w:tcPr>
          <w:p>
            <w:pPr>
              <w:spacing w:after="20"/>
            </w:pPr>
            <w:r/>
            <w:r>
              <w:rPr>
                <w:sz w:val="15"/>
              </w:rPr>
              <w:t>Later</w:t>
            </w:r>
          </w:p>
        </w:tc>
        <w:tc>
          <w:tcPr>
            <w:tcW w:type="dxa" w:w="1519"/>
          </w:tcPr>
          <w:p>
            <w:pPr>
              <w:spacing w:after="20"/>
            </w:pPr>
            <w:r/>
            <w:r>
              <w:rPr>
                <w:sz w:val="15"/>
              </w:rPr>
              <w:t>Deep global models (e.g. DeepAR/TFT-style)</w:t>
            </w:r>
          </w:p>
        </w:tc>
        <w:tc>
          <w:tcPr>
            <w:tcW w:type="dxa" w:w="1200"/>
          </w:tcPr>
          <w:p>
            <w:pPr>
              <w:spacing w:after="20"/>
            </w:pPr>
            <w:r/>
            <w:r>
              <w:rPr>
                <w:sz w:val="15"/>
              </w:rPr>
              <w:t>Only if GBM plateaus and compute is available</w:t>
            </w:r>
          </w:p>
        </w:tc>
        <w:tc>
          <w:tcPr>
            <w:tcW w:type="dxa" w:w="1046"/>
          </w:tcPr>
          <w:p>
            <w:pPr>
              <w:spacing w:after="20"/>
            </w:pPr>
            <w:r/>
            <w:r>
              <w:rPr>
                <w:sz w:val="15"/>
              </w:rPr>
              <w:t>GPU, tuning effort</w:t>
            </w:r>
          </w:p>
        </w:tc>
        <w:tc>
          <w:tcPr>
            <w:tcW w:type="dxa" w:w="874"/>
          </w:tcPr>
          <w:p>
            <w:pPr>
              <w:spacing w:after="20"/>
            </w:pPr>
            <w:r/>
            <w:r>
              <w:rPr>
                <w:sz w:val="15"/>
              </w:rPr>
              <w:t>Native probabilistic outputs</w:t>
            </w:r>
          </w:p>
        </w:tc>
        <w:tc>
          <w:tcPr>
            <w:tcW w:type="dxa" w:w="922"/>
          </w:tcPr>
          <w:p>
            <w:pPr>
              <w:spacing w:after="20"/>
            </w:pPr>
            <w:r/>
            <w:r>
              <w:rPr>
                <w:sz w:val="15"/>
              </w:rPr>
              <w:t>Hard to tune; data-hungry</w:t>
            </w:r>
          </w:p>
        </w:tc>
        <w:tc>
          <w:tcPr>
            <w:tcW w:type="dxa" w:w="985"/>
          </w:tcPr>
          <w:p>
            <w:pPr>
              <w:spacing w:after="20"/>
            </w:pPr>
            <w:r/>
            <w:r>
              <w:rPr>
                <w:sz w:val="15"/>
              </w:rPr>
              <w:t>Low</w:t>
            </w:r>
          </w:p>
        </w:tc>
        <w:tc>
          <w:tcPr>
            <w:tcW w:type="dxa" w:w="1092"/>
          </w:tcPr>
          <w:p>
            <w:pPr>
              <w:spacing w:after="20"/>
            </w:pPr>
            <w:r/>
            <w:r>
              <w:rPr>
                <w:sz w:val="15"/>
              </w:rPr>
              <w:t>–</w:t>
            </w:r>
          </w:p>
        </w:tc>
        <w:tc>
          <w:tcPr>
            <w:tcW w:type="dxa" w:w="1230"/>
          </w:tcPr>
          <w:p>
            <w:pPr>
              <w:spacing w:after="20"/>
            </w:pPr>
            <w:r/>
            <w:r>
              <w:rPr>
                <w:sz w:val="15"/>
              </w:rPr>
              <w:t>Not considered until Priority 1–4 are complete and a clear gap exists</w:t>
            </w:r>
          </w:p>
        </w:tc>
      </w:tr>
    </w:tbl>
    <w:p>
      <w:pPr>
        <w:spacing w:after="40"/>
      </w:pPr>
    </w:p>
    <w:p>
      <w:r>
        <w:rPr>
          <w:b/>
        </w:rPr>
        <w:t>Trade-off narrative.</w:t>
      </w:r>
      <w:r>
        <w:rPr/>
        <w:t xml:space="preserve"> With ~1.6M potential series and sparse tails, a global GBM paired with strong statistical models for slow movers is the most defensible starting point; it is also easy to deploy with Excel-like outputs. Deep models are costly and carry no guaranteed gain over a well-featured GBM on 3 years of weekly data.</w:t>
      </w:r>
    </w:p>
    <w:p>
      <w:r>
        <w:rPr>
          <w:b/>
        </w:rPr>
        <w:t>Model selection decision rule.</w:t>
      </w:r>
      <w:r>
        <w:rPr/>
        <w:t xml:space="preserve"> Choose per velocity class (not globally) the simplest model whose WAPE/pinball loss is better than B0/B2 by the pre-declared margin on paired rolling-origin comparison; prefer the simpler model when the difference is within the fold-to-fold noise band; require no worse bias in A-class items and no deterioration in festival windows; weight the final choice by operational cost (run time before Monday) and explainability for planners.</w:t>
      </w:r>
    </w:p>
    <w:p>
      <w:pPr>
        <w:pStyle w:val="Heading2"/>
      </w:pPr>
      <w:r>
        <w:rPr/>
        <w:t>10. Metrics &amp; Decision Criteria</w:t>
      </w:r>
    </w:p>
    <w:tbl>
      <w:tblPr>
        <w:tblStyle w:val="TableGrid"/>
        <w:tblW w:type="auto" w:w="0"/>
        <w:jc w:val="center"/>
        <w:tblLayout w:type="fixed"/>
        <w:tblLook w:firstColumn="1" w:firstRow="1" w:lastColumn="0" w:lastRow="0" w:noHBand="0" w:noVBand="1" w:val="04A0"/>
        <w:tblLayout w:type="fixed"/>
      </w:tblPr>
      <w:tblGrid>
        <w:gridCol w:w="1677"/>
        <w:gridCol w:w="2124"/>
        <w:gridCol w:w="1702"/>
        <w:gridCol w:w="1788"/>
        <w:gridCol w:w="2347"/>
      </w:tblGrid>
      <w:tr>
        <w:trPr>
          <w:tblHeader w:val="true"/>
        </w:trPr>
        <w:tc>
          <w:tcPr>
            <w:tcW w:type="dxa" w:w="1677"/>
            <w:shd w:val="clear" w:color="auto" w:fill="1F3A5F"/>
          </w:tcPr>
          <w:p>
            <w:r/>
            <w:r>
              <w:rPr>
                <w:b/>
                <w:color w:val="FFFFFF"/>
                <w:sz w:val="17"/>
              </w:rPr>
              <w:t>Tier</w:t>
            </w:r>
          </w:p>
        </w:tc>
        <w:tc>
          <w:tcPr>
            <w:tcW w:type="dxa" w:w="2124"/>
            <w:shd w:val="clear" w:color="auto" w:fill="1F3A5F"/>
          </w:tcPr>
          <w:p>
            <w:r/>
            <w:r>
              <w:rPr>
                <w:b/>
                <w:color w:val="FFFFFF"/>
                <w:sz w:val="17"/>
              </w:rPr>
              <w:t>Metric</w:t>
            </w:r>
          </w:p>
        </w:tc>
        <w:tc>
          <w:tcPr>
            <w:tcW w:type="dxa" w:w="1702"/>
            <w:shd w:val="clear" w:color="auto" w:fill="1F3A5F"/>
          </w:tcPr>
          <w:p>
            <w:r/>
            <w:r>
              <w:rPr>
                <w:b/>
                <w:color w:val="FFFFFF"/>
                <w:sz w:val="17"/>
              </w:rPr>
              <w:t>Definition</w:t>
            </w:r>
          </w:p>
        </w:tc>
        <w:tc>
          <w:tcPr>
            <w:tcW w:type="dxa" w:w="1788"/>
            <w:shd w:val="clear" w:color="auto" w:fill="1F3A5F"/>
          </w:tcPr>
          <w:p>
            <w:r/>
            <w:r>
              <w:rPr>
                <w:b/>
                <w:color w:val="FFFFFF"/>
                <w:sz w:val="17"/>
              </w:rPr>
              <w:t>Why</w:t>
            </w:r>
          </w:p>
        </w:tc>
        <w:tc>
          <w:tcPr>
            <w:tcW w:type="dxa" w:w="2347"/>
            <w:shd w:val="clear" w:color="auto" w:fill="1F3A5F"/>
          </w:tcPr>
          <w:p>
            <w:r/>
            <w:r>
              <w:rPr>
                <w:b/>
                <w:color w:val="FFFFFF"/>
                <w:sz w:val="17"/>
              </w:rPr>
              <w:t>Caveat</w:t>
            </w:r>
          </w:p>
        </w:tc>
      </w:tr>
      <w:tr>
        <w:tc>
          <w:tcPr>
            <w:tcW w:type="dxa" w:w="1677"/>
          </w:tcPr>
          <w:p>
            <w:pPr>
              <w:spacing w:after="20"/>
            </w:pPr>
            <w:r/>
            <w:r>
              <w:rPr>
                <w:sz w:val="17"/>
              </w:rPr>
              <w:t>Primary</w:t>
            </w:r>
          </w:p>
        </w:tc>
        <w:tc>
          <w:tcPr>
            <w:tcW w:type="dxa" w:w="2124"/>
          </w:tcPr>
          <w:p>
            <w:pPr>
              <w:spacing w:after="20"/>
            </w:pPr>
            <w:r/>
            <w:r>
              <w:rPr>
                <w:sz w:val="17"/>
              </w:rPr>
              <w:t>WAPE on the protection-interval demand</w:t>
            </w:r>
          </w:p>
        </w:tc>
        <w:tc>
          <w:tcPr>
            <w:tcW w:type="dxa" w:w="1702"/>
          </w:tcPr>
          <w:p>
            <w:pPr>
              <w:spacing w:after="20"/>
            </w:pPr>
            <w:r/>
            <w:r>
              <w:rPr>
                <w:sz w:val="17"/>
              </w:rPr>
              <w:t>Σ|forecast − actual| / Σ actual, aggregated by class and across the portfolio</w:t>
            </w:r>
          </w:p>
        </w:tc>
        <w:tc>
          <w:tcPr>
            <w:tcW w:type="dxa" w:w="1788"/>
          </w:tcPr>
          <w:p>
            <w:pPr>
              <w:spacing w:after="20"/>
            </w:pPr>
            <w:r/>
            <w:r>
              <w:rPr>
                <w:sz w:val="17"/>
              </w:rPr>
              <w:t>Volume-weighted; fits ordering</w:t>
            </w:r>
          </w:p>
        </w:tc>
        <w:tc>
          <w:tcPr>
            <w:tcW w:type="dxa" w:w="2347"/>
          </w:tcPr>
          <w:p>
            <w:pPr>
              <w:spacing w:after="20"/>
            </w:pPr>
            <w:r/>
            <w:r>
              <w:rPr>
                <w:sz w:val="17"/>
              </w:rPr>
              <w:t>Dominated by large SKUs; report by ABC class and festival/non-festival</w:t>
            </w:r>
          </w:p>
        </w:tc>
      </w:tr>
      <w:tr>
        <w:tc>
          <w:tcPr>
            <w:tcW w:type="dxa" w:w="1677"/>
            <w:shd w:val="clear" w:color="auto" w:fill="F2F5F9"/>
          </w:tcPr>
          <w:p>
            <w:pPr>
              <w:spacing w:after="20"/>
            </w:pPr>
            <w:r/>
            <w:r>
              <w:rPr>
                <w:sz w:val="17"/>
              </w:rPr>
              <w:t>Primary (probabilistic)</w:t>
            </w:r>
          </w:p>
        </w:tc>
        <w:tc>
          <w:tcPr>
            <w:tcW w:type="dxa" w:w="2124"/>
            <w:shd w:val="clear" w:color="auto" w:fill="F2F5F9"/>
          </w:tcPr>
          <w:p>
            <w:pPr>
              <w:spacing w:after="20"/>
            </w:pPr>
            <w:r/>
            <w:r>
              <w:rPr>
                <w:sz w:val="17"/>
              </w:rPr>
              <w:t>Weighted pinball (quantile) loss at service-level quantiles</w:t>
            </w:r>
          </w:p>
        </w:tc>
        <w:tc>
          <w:tcPr>
            <w:tcW w:type="dxa" w:w="1702"/>
            <w:shd w:val="clear" w:color="auto" w:fill="F2F5F9"/>
          </w:tcPr>
          <w:p>
            <w:pPr>
              <w:spacing w:after="20"/>
            </w:pPr>
            <w:r/>
            <w:r>
              <w:rPr>
                <w:sz w:val="17"/>
              </w:rPr>
              <w:t>Mean of quantile loss at target quantiles (e.g. those implied by category service levels)</w:t>
            </w:r>
          </w:p>
        </w:tc>
        <w:tc>
          <w:tcPr>
            <w:tcW w:type="dxa" w:w="1788"/>
            <w:shd w:val="clear" w:color="auto" w:fill="F2F5F9"/>
          </w:tcPr>
          <w:p>
            <w:pPr>
              <w:spacing w:after="20"/>
            </w:pPr>
            <w:r/>
            <w:r>
              <w:rPr>
                <w:sz w:val="17"/>
              </w:rPr>
              <w:t>Orders use upper quantiles</w:t>
            </w:r>
          </w:p>
        </w:tc>
        <w:tc>
          <w:tcPr>
            <w:tcW w:type="dxa" w:w="2347"/>
            <w:shd w:val="clear" w:color="auto" w:fill="F2F5F9"/>
          </w:tcPr>
          <w:p>
            <w:pPr>
              <w:spacing w:after="20"/>
            </w:pPr>
            <w:r/>
            <w:r>
              <w:rPr>
                <w:sz w:val="17"/>
              </w:rPr>
              <w:t>Needs calibrated quantiles</w:t>
            </w:r>
          </w:p>
        </w:tc>
      </w:tr>
      <w:tr>
        <w:tc>
          <w:tcPr>
            <w:tcW w:type="dxa" w:w="1677"/>
          </w:tcPr>
          <w:p>
            <w:pPr>
              <w:spacing w:after="20"/>
            </w:pPr>
            <w:r/>
            <w:r>
              <w:rPr>
                <w:sz w:val="17"/>
              </w:rPr>
              <w:t>Secondary</w:t>
            </w:r>
          </w:p>
        </w:tc>
        <w:tc>
          <w:tcPr>
            <w:tcW w:type="dxa" w:w="2124"/>
          </w:tcPr>
          <w:p>
            <w:pPr>
              <w:spacing w:after="20"/>
            </w:pPr>
            <w:r/>
            <w:r>
              <w:rPr>
                <w:sz w:val="17"/>
              </w:rPr>
              <w:t>Bias (signed error %)</w:t>
            </w:r>
          </w:p>
        </w:tc>
        <w:tc>
          <w:tcPr>
            <w:tcW w:type="dxa" w:w="1702"/>
          </w:tcPr>
          <w:p>
            <w:pPr>
              <w:spacing w:after="20"/>
            </w:pPr>
            <w:r/>
            <w:r>
              <w:rPr>
                <w:sz w:val="17"/>
              </w:rPr>
              <w:t>Σ(forecast − actual)/Σ actual</w:t>
            </w:r>
          </w:p>
        </w:tc>
        <w:tc>
          <w:tcPr>
            <w:tcW w:type="dxa" w:w="1788"/>
          </w:tcPr>
          <w:p>
            <w:pPr>
              <w:spacing w:after="20"/>
            </w:pPr>
            <w:r/>
            <w:r>
              <w:rPr>
                <w:sz w:val="17"/>
              </w:rPr>
              <w:t>Systematic under/over</w:t>
            </w:r>
          </w:p>
        </w:tc>
        <w:tc>
          <w:tcPr>
            <w:tcW w:type="dxa" w:w="2347"/>
          </w:tcPr>
          <w:p>
            <w:pPr>
              <w:spacing w:after="20"/>
            </w:pPr>
            <w:r/>
            <w:r>
              <w:rPr>
                <w:sz w:val="17"/>
              </w:rPr>
              <w:t>Can hide offsetting errors</w:t>
            </w:r>
          </w:p>
        </w:tc>
      </w:tr>
      <w:tr>
        <w:tc>
          <w:tcPr>
            <w:tcW w:type="dxa" w:w="1677"/>
            <w:shd w:val="clear" w:color="auto" w:fill="F2F5F9"/>
          </w:tcPr>
          <w:p>
            <w:pPr>
              <w:spacing w:after="20"/>
            </w:pPr>
            <w:r/>
            <w:r>
              <w:rPr>
                <w:sz w:val="17"/>
              </w:rPr>
              <w:t>Secondary</w:t>
            </w:r>
          </w:p>
        </w:tc>
        <w:tc>
          <w:tcPr>
            <w:tcW w:type="dxa" w:w="2124"/>
            <w:shd w:val="clear" w:color="auto" w:fill="F2F5F9"/>
          </w:tcPr>
          <w:p>
            <w:pPr>
              <w:spacing w:after="20"/>
            </w:pPr>
            <w:r/>
            <w:r>
              <w:rPr>
                <w:sz w:val="17"/>
              </w:rPr>
              <w:t>Forecast value added (FVA)</w:t>
            </w:r>
          </w:p>
        </w:tc>
        <w:tc>
          <w:tcPr>
            <w:tcW w:type="dxa" w:w="1702"/>
            <w:shd w:val="clear" w:color="auto" w:fill="F2F5F9"/>
          </w:tcPr>
          <w:p>
            <w:pPr>
              <w:spacing w:after="20"/>
            </w:pPr>
            <w:r/>
            <w:r>
              <w:rPr>
                <w:sz w:val="17"/>
              </w:rPr>
              <w:t>Error reduction vs B0 and vs B2</w:t>
            </w:r>
          </w:p>
        </w:tc>
        <w:tc>
          <w:tcPr>
            <w:tcW w:type="dxa" w:w="1788"/>
            <w:shd w:val="clear" w:color="auto" w:fill="F2F5F9"/>
          </w:tcPr>
          <w:p>
            <w:pPr>
              <w:spacing w:after="20"/>
            </w:pPr>
            <w:r/>
            <w:r>
              <w:rPr>
                <w:sz w:val="17"/>
              </w:rPr>
              <w:t>Directly answers "better than what we do today"</w:t>
            </w:r>
          </w:p>
        </w:tc>
        <w:tc>
          <w:tcPr>
            <w:tcW w:type="dxa" w:w="2347"/>
            <w:shd w:val="clear" w:color="auto" w:fill="F2F5F9"/>
          </w:tcPr>
          <w:p>
            <w:pPr>
              <w:spacing w:after="20"/>
            </w:pPr>
            <w:r/>
            <w:r>
              <w:rPr>
                <w:sz w:val="17"/>
              </w:rPr>
              <w:t>Measure on identical windows</w:t>
            </w:r>
          </w:p>
        </w:tc>
      </w:tr>
      <w:tr>
        <w:tc>
          <w:tcPr>
            <w:tcW w:type="dxa" w:w="1677"/>
          </w:tcPr>
          <w:p>
            <w:pPr>
              <w:spacing w:after="20"/>
            </w:pPr>
            <w:r/>
            <w:r>
              <w:rPr>
                <w:sz w:val="17"/>
              </w:rPr>
              <w:t>Secondary</w:t>
            </w:r>
          </w:p>
        </w:tc>
        <w:tc>
          <w:tcPr>
            <w:tcW w:type="dxa" w:w="2124"/>
          </w:tcPr>
          <w:p>
            <w:pPr>
              <w:spacing w:after="20"/>
            </w:pPr>
            <w:r/>
            <w:r>
              <w:rPr>
                <w:sz w:val="17"/>
              </w:rPr>
              <w:t>Quantile calibration / coverage</w:t>
            </w:r>
          </w:p>
        </w:tc>
        <w:tc>
          <w:tcPr>
            <w:tcW w:type="dxa" w:w="1702"/>
          </w:tcPr>
          <w:p>
            <w:pPr>
              <w:spacing w:after="20"/>
            </w:pPr>
            <w:r/>
            <w:r>
              <w:rPr>
                <w:sz w:val="17"/>
              </w:rPr>
              <w:t>Share of actuals below each predicted quantile</w:t>
            </w:r>
          </w:p>
        </w:tc>
        <w:tc>
          <w:tcPr>
            <w:tcW w:type="dxa" w:w="1788"/>
          </w:tcPr>
          <w:p>
            <w:pPr>
              <w:spacing w:after="20"/>
            </w:pPr>
            <w:r/>
            <w:r>
              <w:rPr>
                <w:sz w:val="17"/>
              </w:rPr>
              <w:t>Trust in safety stock</w:t>
            </w:r>
          </w:p>
        </w:tc>
        <w:tc>
          <w:tcPr>
            <w:tcW w:type="dxa" w:w="2347"/>
          </w:tcPr>
          <w:p>
            <w:pPr>
              <w:spacing w:after="20"/>
            </w:pPr>
            <w:r/>
            <w:r>
              <w:rPr>
                <w:sz w:val="17"/>
              </w:rPr>
              <w:t>Coverage shifts in festival weeks</w:t>
            </w:r>
          </w:p>
        </w:tc>
      </w:tr>
      <w:tr>
        <w:tc>
          <w:tcPr>
            <w:tcW w:type="dxa" w:w="1677"/>
            <w:shd w:val="clear" w:color="auto" w:fill="F2F5F9"/>
          </w:tcPr>
          <w:p>
            <w:pPr>
              <w:spacing w:after="20"/>
            </w:pPr>
            <w:r/>
            <w:r>
              <w:rPr>
                <w:sz w:val="17"/>
              </w:rPr>
              <w:t>Diagnostic</w:t>
            </w:r>
          </w:p>
        </w:tc>
        <w:tc>
          <w:tcPr>
            <w:tcW w:type="dxa" w:w="2124"/>
            <w:shd w:val="clear" w:color="auto" w:fill="F2F5F9"/>
          </w:tcPr>
          <w:p>
            <w:pPr>
              <w:spacing w:after="20"/>
            </w:pPr>
            <w:r/>
            <w:r>
              <w:rPr>
                <w:sz w:val="17"/>
              </w:rPr>
              <w:t>MASE/RMSSE</w:t>
            </w:r>
          </w:p>
        </w:tc>
        <w:tc>
          <w:tcPr>
            <w:tcW w:type="dxa" w:w="1702"/>
            <w:shd w:val="clear" w:color="auto" w:fill="F2F5F9"/>
          </w:tcPr>
          <w:p>
            <w:pPr>
              <w:spacing w:after="20"/>
            </w:pPr>
            <w:r/>
            <w:r>
              <w:rPr>
                <w:sz w:val="17"/>
              </w:rPr>
              <w:t>Scale-free across SKUs</w:t>
            </w:r>
          </w:p>
        </w:tc>
        <w:tc>
          <w:tcPr>
            <w:tcW w:type="dxa" w:w="1788"/>
            <w:shd w:val="clear" w:color="auto" w:fill="F2F5F9"/>
          </w:tcPr>
          <w:p>
            <w:pPr>
              <w:spacing w:after="20"/>
            </w:pPr>
            <w:r/>
            <w:r>
              <w:rPr>
                <w:sz w:val="17"/>
              </w:rPr>
              <w:t>Cross-SKU comparison</w:t>
            </w:r>
          </w:p>
        </w:tc>
        <w:tc>
          <w:tcPr>
            <w:tcW w:type="dxa" w:w="2347"/>
            <w:shd w:val="clear" w:color="auto" w:fill="F2F5F9"/>
          </w:tcPr>
          <w:p>
            <w:pPr>
              <w:spacing w:after="20"/>
            </w:pPr>
            <w:r/>
            <w:r>
              <w:rPr>
                <w:sz w:val="17"/>
              </w:rPr>
              <w:t>Unstable for ultra-sparse series</w:t>
            </w:r>
          </w:p>
        </w:tc>
      </w:tr>
      <w:tr>
        <w:tc>
          <w:tcPr>
            <w:tcW w:type="dxa" w:w="1677"/>
          </w:tcPr>
          <w:p>
            <w:pPr>
              <w:spacing w:after="20"/>
            </w:pPr>
            <w:r/>
            <w:r>
              <w:rPr>
                <w:sz w:val="17"/>
              </w:rPr>
              <w:t>Diagnostic</w:t>
            </w:r>
          </w:p>
        </w:tc>
        <w:tc>
          <w:tcPr>
            <w:tcW w:type="dxa" w:w="2124"/>
          </w:tcPr>
          <w:p>
            <w:pPr>
              <w:spacing w:after="20"/>
            </w:pPr>
            <w:r/>
            <w:r>
              <w:rPr>
                <w:sz w:val="17"/>
              </w:rPr>
              <w:t>Error by horizon, class, state, category, festival vs normal, promo vs non-promo, new SKUs</w:t>
            </w:r>
          </w:p>
        </w:tc>
        <w:tc>
          <w:tcPr>
            <w:tcW w:type="dxa" w:w="1702"/>
          </w:tcPr>
          <w:p>
            <w:pPr>
              <w:spacing w:after="20"/>
            </w:pPr>
            <w:r/>
            <w:r>
              <w:rPr>
                <w:sz w:val="17"/>
              </w:rPr>
              <w:t>Slice analysis</w:t>
            </w:r>
          </w:p>
        </w:tc>
        <w:tc>
          <w:tcPr>
            <w:tcW w:type="dxa" w:w="1788"/>
          </w:tcPr>
          <w:p>
            <w:pPr>
              <w:spacing w:after="20"/>
            </w:pPr>
            <w:r/>
            <w:r>
              <w:rPr>
                <w:sz w:val="17"/>
              </w:rPr>
              <w:t>Finds where it fails</w:t>
            </w:r>
          </w:p>
        </w:tc>
        <w:tc>
          <w:tcPr>
            <w:tcW w:type="dxa" w:w="2347"/>
          </w:tcPr>
          <w:p>
            <w:pPr>
              <w:spacing w:after="20"/>
            </w:pPr>
            <w:r/>
            <w:r>
              <w:rPr>
                <w:sz w:val="17"/>
              </w:rPr>
              <w:t>Multiple slices → exploratory only</w:t>
            </w:r>
          </w:p>
        </w:tc>
      </w:tr>
      <w:tr>
        <w:tc>
          <w:tcPr>
            <w:tcW w:type="dxa" w:w="1677"/>
            <w:shd w:val="clear" w:color="auto" w:fill="F2F5F9"/>
          </w:tcPr>
          <w:p>
            <w:pPr>
              <w:spacing w:after="20"/>
            </w:pPr>
            <w:r/>
            <w:r>
              <w:rPr>
                <w:sz w:val="17"/>
              </w:rPr>
              <w:t>Business (pilot)</w:t>
            </w:r>
          </w:p>
        </w:tc>
        <w:tc>
          <w:tcPr>
            <w:tcW w:type="dxa" w:w="2124"/>
            <w:shd w:val="clear" w:color="auto" w:fill="F2F5F9"/>
          </w:tcPr>
          <w:p>
            <w:pPr>
              <w:spacing w:after="20"/>
            </w:pPr>
            <w:r/>
            <w:r>
              <w:rPr>
                <w:sz w:val="17"/>
              </w:rPr>
              <w:t>Stock-out rate / in-stock rate / fill rate (unit-level lost-sales proxy)</w:t>
            </w:r>
          </w:p>
        </w:tc>
        <w:tc>
          <w:tcPr>
            <w:tcW w:type="dxa" w:w="1702"/>
            <w:shd w:val="clear" w:color="auto" w:fill="F2F5F9"/>
          </w:tcPr>
          <w:p>
            <w:pPr>
              <w:spacing w:after="20"/>
            </w:pPr>
            <w:r/>
            <w:r>
              <w:rPr>
                <w:sz w:val="17"/>
              </w:rPr>
              <w:t>Stock-out SKU-store-days ÷ SKU-store-days on range</w:t>
            </w:r>
          </w:p>
        </w:tc>
        <w:tc>
          <w:tcPr>
            <w:tcW w:type="dxa" w:w="1788"/>
            <w:shd w:val="clear" w:color="auto" w:fill="F2F5F9"/>
          </w:tcPr>
          <w:p>
            <w:pPr>
              <w:spacing w:after="20"/>
            </w:pPr>
            <w:r/>
            <w:r>
              <w:rPr>
                <w:sz w:val="17"/>
              </w:rPr>
              <w:t>The stated goal</w:t>
            </w:r>
          </w:p>
        </w:tc>
        <w:tc>
          <w:tcPr>
            <w:tcW w:type="dxa" w:w="2347"/>
            <w:shd w:val="clear" w:color="auto" w:fill="F2F5F9"/>
          </w:tcPr>
          <w:p>
            <w:pPr>
              <w:spacing w:after="20"/>
            </w:pPr>
            <w:r/>
            <w:r>
              <w:rPr>
                <w:sz w:val="17"/>
              </w:rPr>
              <w:t>Needs Q1 data; definition must be fixed before pilot</w:t>
            </w:r>
          </w:p>
        </w:tc>
      </w:tr>
      <w:tr>
        <w:tc>
          <w:tcPr>
            <w:tcW w:type="dxa" w:w="1677"/>
          </w:tcPr>
          <w:p>
            <w:pPr>
              <w:spacing w:after="20"/>
            </w:pPr>
            <w:r/>
            <w:r>
              <w:rPr>
                <w:sz w:val="17"/>
              </w:rPr>
              <w:t>Business (pilot)</w:t>
            </w:r>
          </w:p>
        </w:tc>
        <w:tc>
          <w:tcPr>
            <w:tcW w:type="dxa" w:w="2124"/>
          </w:tcPr>
          <w:p>
            <w:pPr>
              <w:spacing w:after="20"/>
            </w:pPr>
            <w:r/>
            <w:r>
              <w:rPr>
                <w:sz w:val="17"/>
              </w:rPr>
              <w:t>Inventory days (weeks of cover), wastage/markdown on perishables</w:t>
            </w:r>
          </w:p>
        </w:tc>
        <w:tc>
          <w:tcPr>
            <w:tcW w:type="dxa" w:w="1702"/>
          </w:tcPr>
          <w:p>
            <w:pPr>
              <w:spacing w:after="20"/>
            </w:pPr>
            <w:r/>
            <w:r>
              <w:rPr>
                <w:sz w:val="17"/>
              </w:rPr>
              <w:t>Stock ÷ demand rate</w:t>
            </w:r>
          </w:p>
        </w:tc>
        <w:tc>
          <w:tcPr>
            <w:tcW w:type="dxa" w:w="1788"/>
          </w:tcPr>
          <w:p>
            <w:pPr>
              <w:spacing w:after="20"/>
            </w:pPr>
            <w:r/>
            <w:r>
              <w:rPr>
                <w:sz w:val="17"/>
              </w:rPr>
              <w:t>Guard against over-ordering</w:t>
            </w:r>
          </w:p>
        </w:tc>
        <w:tc>
          <w:tcPr>
            <w:tcW w:type="dxa" w:w="2347"/>
          </w:tcPr>
          <w:p>
            <w:pPr>
              <w:spacing w:after="20"/>
            </w:pPr>
            <w:r/>
            <w:r>
              <w:rPr>
                <w:sz w:val="17"/>
              </w:rPr>
              <w:t>Compare at equal service</w:t>
            </w:r>
          </w:p>
        </w:tc>
      </w:tr>
      <w:tr>
        <w:tc>
          <w:tcPr>
            <w:tcW w:type="dxa" w:w="1677"/>
            <w:shd w:val="clear" w:color="auto" w:fill="F2F5F9"/>
          </w:tcPr>
          <w:p>
            <w:pPr>
              <w:spacing w:after="20"/>
            </w:pPr>
            <w:r/>
            <w:r>
              <w:rPr>
                <w:sz w:val="17"/>
              </w:rPr>
              <w:t>Rejected</w:t>
            </w:r>
          </w:p>
        </w:tc>
        <w:tc>
          <w:tcPr>
            <w:tcW w:type="dxa" w:w="2124"/>
            <w:shd w:val="clear" w:color="auto" w:fill="F2F5F9"/>
          </w:tcPr>
          <w:p>
            <w:pPr>
              <w:spacing w:after="20"/>
            </w:pPr>
            <w:r/>
            <w:r>
              <w:rPr>
                <w:sz w:val="17"/>
              </w:rPr>
              <w:t>MAPE / sMAPE</w:t>
            </w:r>
          </w:p>
        </w:tc>
        <w:tc>
          <w:tcPr>
            <w:tcW w:type="dxa" w:w="1702"/>
            <w:shd w:val="clear" w:color="auto" w:fill="F2F5F9"/>
          </w:tcPr>
          <w:p>
            <w:pPr>
              <w:spacing w:after="20"/>
            </w:pPr>
            <w:r/>
            <w:r>
              <w:rPr>
                <w:sz w:val="17"/>
              </w:rPr>
              <w:t>–</w:t>
            </w:r>
          </w:p>
        </w:tc>
        <w:tc>
          <w:tcPr>
            <w:tcW w:type="dxa" w:w="1788"/>
            <w:shd w:val="clear" w:color="auto" w:fill="F2F5F9"/>
          </w:tcPr>
          <w:p>
            <w:pPr>
              <w:spacing w:after="20"/>
            </w:pPr>
            <w:r/>
            <w:r>
              <w:rPr>
                <w:sz w:val="17"/>
              </w:rPr>
              <w:t>Unstable with zeros and intermittent demand</w:t>
            </w:r>
          </w:p>
        </w:tc>
        <w:tc>
          <w:tcPr>
            <w:tcW w:type="dxa" w:w="2347"/>
            <w:shd w:val="clear" w:color="auto" w:fill="F2F5F9"/>
          </w:tcPr>
          <w:p>
            <w:pPr>
              <w:spacing w:after="20"/>
            </w:pPr>
            <w:r/>
            <w:r>
              <w:rPr>
                <w:sz w:val="17"/>
              </w:rPr>
              <w:t>Do not use for SKU×store</w:t>
            </w:r>
          </w:p>
        </w:tc>
      </w:tr>
      <w:tr>
        <w:tc>
          <w:tcPr>
            <w:tcW w:type="dxa" w:w="1677"/>
          </w:tcPr>
          <w:p>
            <w:pPr>
              <w:spacing w:after="20"/>
            </w:pPr>
            <w:r/>
            <w:r>
              <w:rPr>
                <w:sz w:val="17"/>
              </w:rPr>
              <w:t>Rejected</w:t>
            </w:r>
          </w:p>
        </w:tc>
        <w:tc>
          <w:tcPr>
            <w:tcW w:type="dxa" w:w="2124"/>
          </w:tcPr>
          <w:p>
            <w:pPr>
              <w:spacing w:after="20"/>
            </w:pPr>
            <w:r/>
            <w:r>
              <w:rPr>
                <w:sz w:val="17"/>
              </w:rPr>
              <w:t>Accuracy at the SKU×store×week level alone</w:t>
            </w:r>
          </w:p>
        </w:tc>
        <w:tc>
          <w:tcPr>
            <w:tcW w:type="dxa" w:w="1702"/>
          </w:tcPr>
          <w:p>
            <w:pPr>
              <w:spacing w:after="20"/>
            </w:pPr>
            <w:r/>
            <w:r>
              <w:rPr>
                <w:sz w:val="17"/>
              </w:rPr>
              <w:t>–</w:t>
            </w:r>
          </w:p>
        </w:tc>
        <w:tc>
          <w:tcPr>
            <w:tcW w:type="dxa" w:w="1788"/>
          </w:tcPr>
          <w:p>
            <w:pPr>
              <w:spacing w:after="20"/>
            </w:pPr>
            <w:r/>
            <w:r>
              <w:rPr>
                <w:sz w:val="17"/>
              </w:rPr>
              <w:t>The decision is made over the protection interval</w:t>
            </w:r>
          </w:p>
        </w:tc>
        <w:tc>
          <w:tcPr>
            <w:tcW w:type="dxa" w:w="2347"/>
          </w:tcPr>
          <w:p>
            <w:pPr>
              <w:spacing w:after="20"/>
            </w:pPr>
            <w:r/>
            <w:r>
              <w:rPr>
                <w:sz w:val="17"/>
              </w:rPr>
              <w:t>Report as diagnostic only</w:t>
            </w:r>
          </w:p>
        </w:tc>
      </w:tr>
    </w:tbl>
    <w:p>
      <w:pPr>
        <w:spacing w:after="40"/>
      </w:pPr>
    </w:p>
    <w:p>
      <w:r>
        <w:rPr>
          <w:b/>
        </w:rPr>
        <w:t>What is scored.</w:t>
      </w:r>
      <w:r>
        <w:rPr/>
        <w:t xml:space="preserve"> WAPE, bias and FVA use the P50 forecast of protection-interval demand; service quantiles (P-τ) are scored by pinball loss and coverage. B0–B3 are point forecasts, so for pinball comparison each gets an empirical-residual quantile band estimated on training windows only. Protection intervals that overlap stock-outs are scored with censored weeks masked at the weekly level, and the share of masked intervals is reported with every result; results on in-stock-only weeks are labelled as biased towards lower demand.</w:t>
      </w:r>
    </w:p>
    <w:p>
      <w:r>
        <w:rPr>
          <w:b/>
        </w:rPr>
        <w:t>Offline policy simulation (AN2).</w:t>
      </w:r>
      <w:r>
        <w:rPr/>
        <w:t xml:space="preserve"> Before the pilot, replay past weeks with the recommended order rule vs the B0-based rule, sampling lead-time variability from receipts (Q4) and using observed demand where uncensored, to estimate service level and inventory days with intervals. Results are model-based and are not proof of benefit.</w:t>
      </w:r>
    </w:p>
    <w:p>
      <w:r>
        <w:rPr>
          <w:b/>
        </w:rPr>
        <w:t>Decision rule / order recommendation.</w:t>
      </w:r>
      <w:r>
        <w:rPr/>
        <w:t xml:space="preserve"> Recommended order = max(0, Q_τ(protection-interval demand) − on-hand − in-transit), rounded to case-pack/MOQ, where τ = target service level for the category (e.g. higher for festival staples, lower for slow, perishable items). τ values are </w:t>
      </w:r>
      <w:r>
        <w:rPr>
          <w:b/>
          <w:color w:val="C0392B"/>
        </w:rPr>
        <w:t>[TBD with client]</w:t>
      </w:r>
      <w:r>
        <w:rPr/>
        <w:t xml:space="preserve"> and chosen using cost of a stock-out vs holding/wastage cost, then frozen before the pilot. Without on-hand data, the recommendation is a forecast quantile only.</w:t>
      </w:r>
    </w:p>
    <w:p>
      <w:pPr>
        <w:pStyle w:val="Heading2"/>
      </w:pPr>
      <w:r>
        <w:rPr/>
        <w:t>11. Experiment Matrix &amp; Tuning Strategy</w:t>
      </w:r>
    </w:p>
    <w:tbl>
      <w:tblPr>
        <w:tblStyle w:val="TableGrid"/>
        <w:tblW w:type="auto" w:w="0"/>
        <w:jc w:val="center"/>
        <w:tblLayout w:type="fixed"/>
        <w:tblLook w:firstColumn="1" w:firstRow="1" w:lastColumn="0" w:lastRow="0" w:noHBand="0" w:noVBand="1" w:val="04A0"/>
        <w:tblLayout w:type="fixed"/>
      </w:tblPr>
      <w:tblGrid>
        <w:gridCol w:w="3923"/>
        <w:gridCol w:w="3084"/>
        <w:gridCol w:w="2631"/>
      </w:tblGrid>
      <w:tr>
        <w:trPr>
          <w:tblHeader w:val="true"/>
        </w:trPr>
        <w:tc>
          <w:tcPr>
            <w:tcW w:type="dxa" w:w="3923"/>
            <w:shd w:val="clear" w:color="auto" w:fill="1F3A5F"/>
          </w:tcPr>
          <w:p>
            <w:r/>
            <w:r>
              <w:rPr>
                <w:b/>
                <w:color w:val="FFFFFF"/>
                <w:sz w:val="19"/>
              </w:rPr>
              <w:t>Stage</w:t>
            </w:r>
          </w:p>
        </w:tc>
        <w:tc>
          <w:tcPr>
            <w:tcW w:type="dxa" w:w="3084"/>
            <w:shd w:val="clear" w:color="auto" w:fill="1F3A5F"/>
          </w:tcPr>
          <w:p>
            <w:r/>
            <w:r>
              <w:rPr>
                <w:b/>
                <w:color w:val="FFFFFF"/>
                <w:sz w:val="19"/>
              </w:rPr>
              <w:t>Purpose</w:t>
            </w:r>
          </w:p>
        </w:tc>
        <w:tc>
          <w:tcPr>
            <w:tcW w:type="dxa" w:w="2631"/>
            <w:shd w:val="clear" w:color="auto" w:fill="1F3A5F"/>
          </w:tcPr>
          <w:p>
            <w:r/>
            <w:r>
              <w:rPr>
                <w:b/>
                <w:color w:val="FFFFFF"/>
                <w:sz w:val="19"/>
              </w:rPr>
              <w:t>Exit criterion</w:t>
            </w:r>
          </w:p>
        </w:tc>
      </w:tr>
      <w:tr>
        <w:tc>
          <w:tcPr>
            <w:tcW w:type="dxa" w:w="3923"/>
          </w:tcPr>
          <w:p>
            <w:pPr>
              <w:spacing w:after="20"/>
            </w:pPr>
            <w:r/>
            <w:r>
              <w:rPr>
                <w:sz w:val="19"/>
              </w:rPr>
              <w:t>E0 Sanity</w:t>
            </w:r>
          </w:p>
        </w:tc>
        <w:tc>
          <w:tcPr>
            <w:tcW w:type="dxa" w:w="3084"/>
          </w:tcPr>
          <w:p>
            <w:pPr>
              <w:spacing w:after="20"/>
            </w:pPr>
            <w:r/>
            <w:r>
              <w:rPr>
                <w:sz w:val="19"/>
              </w:rPr>
              <w:t>Data reconciliation, panel completeness, split harness, shuffle/leak tests</w:t>
            </w:r>
          </w:p>
        </w:tc>
        <w:tc>
          <w:tcPr>
            <w:tcW w:type="dxa" w:w="2631"/>
          </w:tcPr>
          <w:p>
            <w:pPr>
              <w:spacing w:after="20"/>
            </w:pPr>
            <w:r/>
            <w:r>
              <w:rPr>
                <w:sz w:val="19"/>
              </w:rPr>
              <w:t>Totals reconcile; harness reproduces B0</w:t>
            </w:r>
          </w:p>
        </w:tc>
      </w:tr>
      <w:tr>
        <w:tc>
          <w:tcPr>
            <w:tcW w:type="dxa" w:w="3923"/>
            <w:shd w:val="clear" w:color="auto" w:fill="F2F5F9"/>
          </w:tcPr>
          <w:p>
            <w:pPr>
              <w:spacing w:after="20"/>
            </w:pPr>
            <w:r/>
            <w:r>
              <w:rPr>
                <w:sz w:val="19"/>
              </w:rPr>
              <w:t>E1 Baselines</w:t>
            </w:r>
          </w:p>
        </w:tc>
        <w:tc>
          <w:tcPr>
            <w:tcW w:type="dxa" w:w="3084"/>
            <w:shd w:val="clear" w:color="auto" w:fill="F2F5F9"/>
          </w:tcPr>
          <w:p>
            <w:pPr>
              <w:spacing w:after="20"/>
            </w:pPr>
            <w:r/>
            <w:r>
              <w:rPr>
                <w:sz w:val="19"/>
              </w:rPr>
              <w:t>Measure B0–B3 on all windows</w:t>
            </w:r>
          </w:p>
        </w:tc>
        <w:tc>
          <w:tcPr>
            <w:tcW w:type="dxa" w:w="2631"/>
            <w:shd w:val="clear" w:color="auto" w:fill="F2F5F9"/>
          </w:tcPr>
          <w:p>
            <w:pPr>
              <w:spacing w:after="20"/>
            </w:pPr>
            <w:r/>
            <w:r>
              <w:rPr>
                <w:sz w:val="19"/>
              </w:rPr>
              <w:t>Baseline table stored; bar defined with client</w:t>
            </w:r>
          </w:p>
        </w:tc>
      </w:tr>
      <w:tr>
        <w:tc>
          <w:tcPr>
            <w:tcW w:type="dxa" w:w="3923"/>
          </w:tcPr>
          <w:p>
            <w:pPr>
              <w:spacing w:after="20"/>
            </w:pPr>
            <w:r/>
            <w:r>
              <w:rPr>
                <w:sz w:val="19"/>
              </w:rPr>
              <w:t>E2 Simple candidates</w:t>
            </w:r>
          </w:p>
        </w:tc>
        <w:tc>
          <w:tcPr>
            <w:tcW w:type="dxa" w:w="3084"/>
          </w:tcPr>
          <w:p>
            <w:pPr>
              <w:spacing w:after="20"/>
            </w:pPr>
            <w:r/>
            <w:r>
              <w:rPr>
                <w:sz w:val="19"/>
              </w:rPr>
              <w:t>Global GBM with core features; statistical models by class</w:t>
            </w:r>
          </w:p>
        </w:tc>
        <w:tc>
          <w:tcPr>
            <w:tcW w:type="dxa" w:w="2631"/>
          </w:tcPr>
          <w:p>
            <w:pPr>
              <w:spacing w:after="20"/>
            </w:pPr>
            <w:r/>
            <w:r>
              <w:rPr>
                <w:sz w:val="19"/>
              </w:rPr>
              <w:t>Beats B0 on pre-declared margin or stop</w:t>
            </w:r>
          </w:p>
        </w:tc>
      </w:tr>
      <w:tr>
        <w:tc>
          <w:tcPr>
            <w:tcW w:type="dxa" w:w="3923"/>
            <w:shd w:val="clear" w:color="auto" w:fill="F2F5F9"/>
          </w:tcPr>
          <w:p>
            <w:pPr>
              <w:spacing w:after="20"/>
            </w:pPr>
            <w:r/>
            <w:r>
              <w:rPr>
                <w:sz w:val="19"/>
              </w:rPr>
              <w:t>E3 Feature ablation</w:t>
            </w:r>
          </w:p>
        </w:tc>
        <w:tc>
          <w:tcPr>
            <w:tcW w:type="dxa" w:w="3084"/>
            <w:shd w:val="clear" w:color="auto" w:fill="F2F5F9"/>
          </w:tcPr>
          <w:p>
            <w:pPr>
              <w:spacing w:after="20"/>
            </w:pPr>
            <w:r/>
            <w:r>
              <w:rPr>
                <w:sz w:val="19"/>
              </w:rPr>
              <w:t>Which data sources are worth it</w:t>
            </w:r>
          </w:p>
        </w:tc>
        <w:tc>
          <w:tcPr>
            <w:tcW w:type="dxa" w:w="2631"/>
            <w:shd w:val="clear" w:color="auto" w:fill="F2F5F9"/>
          </w:tcPr>
          <w:p>
            <w:pPr>
              <w:spacing w:after="20"/>
            </w:pPr>
            <w:r/>
            <w:r>
              <w:rPr>
                <w:sz w:val="19"/>
              </w:rPr>
              <w:t>Report with intervals</w:t>
            </w:r>
          </w:p>
        </w:tc>
      </w:tr>
      <w:tr>
        <w:tc>
          <w:tcPr>
            <w:tcW w:type="dxa" w:w="3923"/>
          </w:tcPr>
          <w:p>
            <w:pPr>
              <w:spacing w:after="20"/>
            </w:pPr>
            <w:r/>
            <w:r>
              <w:rPr>
                <w:sz w:val="19"/>
              </w:rPr>
              <w:t>E4 Censoring treatment</w:t>
            </w:r>
          </w:p>
        </w:tc>
        <w:tc>
          <w:tcPr>
            <w:tcW w:type="dxa" w:w="3084"/>
          </w:tcPr>
          <w:p>
            <w:pPr>
              <w:spacing w:after="20"/>
            </w:pPr>
            <w:r/>
            <w:r>
              <w:rPr>
                <w:sz w:val="19"/>
              </w:rPr>
              <w:t>Masking vs imputation vs censored loss</w:t>
            </w:r>
          </w:p>
        </w:tc>
        <w:tc>
          <w:tcPr>
            <w:tcW w:type="dxa" w:w="2631"/>
          </w:tcPr>
          <w:p>
            <w:pPr>
              <w:spacing w:after="20"/>
            </w:pPr>
            <w:r/>
            <w:r>
              <w:rPr>
                <w:sz w:val="19"/>
              </w:rPr>
              <w:t>Choose on in-stock-week error and stock-out proxy</w:t>
            </w:r>
          </w:p>
        </w:tc>
      </w:tr>
      <w:tr>
        <w:tc>
          <w:tcPr>
            <w:tcW w:type="dxa" w:w="3923"/>
            <w:shd w:val="clear" w:color="auto" w:fill="F2F5F9"/>
          </w:tcPr>
          <w:p>
            <w:pPr>
              <w:spacing w:after="20"/>
            </w:pPr>
            <w:r/>
            <w:r>
              <w:rPr>
                <w:sz w:val="19"/>
              </w:rPr>
              <w:t>E5 Probabilistic/quantile</w:t>
            </w:r>
          </w:p>
        </w:tc>
        <w:tc>
          <w:tcPr>
            <w:tcW w:type="dxa" w:w="3084"/>
            <w:shd w:val="clear" w:color="auto" w:fill="F2F5F9"/>
          </w:tcPr>
          <w:p>
            <w:pPr>
              <w:spacing w:after="20"/>
            </w:pPr>
            <w:r/>
            <w:r>
              <w:rPr>
                <w:sz w:val="19"/>
              </w:rPr>
              <w:t>Calibrated service-level quantiles</w:t>
            </w:r>
          </w:p>
        </w:tc>
        <w:tc>
          <w:tcPr>
            <w:tcW w:type="dxa" w:w="2631"/>
            <w:shd w:val="clear" w:color="auto" w:fill="F2F5F9"/>
          </w:tcPr>
          <w:p>
            <w:pPr>
              <w:spacing w:after="20"/>
            </w:pPr>
            <w:r/>
            <w:r>
              <w:rPr>
                <w:sz w:val="19"/>
              </w:rPr>
              <w:t>Coverage within agreed tolerance</w:t>
            </w:r>
          </w:p>
        </w:tc>
      </w:tr>
      <w:tr>
        <w:tc>
          <w:tcPr>
            <w:tcW w:type="dxa" w:w="3923"/>
          </w:tcPr>
          <w:p>
            <w:pPr>
              <w:spacing w:after="20"/>
            </w:pPr>
            <w:r/>
            <w:r>
              <w:rPr>
                <w:sz w:val="19"/>
              </w:rPr>
              <w:t>E6 Hierarchy/sparse tail</w:t>
            </w:r>
          </w:p>
        </w:tc>
        <w:tc>
          <w:tcPr>
            <w:tcW w:type="dxa" w:w="3084"/>
          </w:tcPr>
          <w:p>
            <w:pPr>
              <w:spacing w:after="20"/>
            </w:pPr>
            <w:r/>
            <w:r>
              <w:rPr>
                <w:sz w:val="19"/>
              </w:rPr>
              <w:t>Reconciliation, pooling, cold-start</w:t>
            </w:r>
          </w:p>
        </w:tc>
        <w:tc>
          <w:tcPr>
            <w:tcW w:type="dxa" w:w="2631"/>
          </w:tcPr>
          <w:p>
            <w:pPr>
              <w:spacing w:after="20"/>
            </w:pPr>
            <w:r/>
            <w:r>
              <w:rPr>
                <w:sz w:val="19"/>
              </w:rPr>
              <w:t>Gains on sparse classes</w:t>
            </w:r>
          </w:p>
        </w:tc>
      </w:tr>
      <w:tr>
        <w:tc>
          <w:tcPr>
            <w:tcW w:type="dxa" w:w="3923"/>
            <w:shd w:val="clear" w:color="auto" w:fill="F2F5F9"/>
          </w:tcPr>
          <w:p>
            <w:pPr>
              <w:spacing w:after="20"/>
            </w:pPr>
            <w:r/>
            <w:r>
              <w:rPr>
                <w:sz w:val="19"/>
              </w:rPr>
              <w:t>E7 Tuning</w:t>
            </w:r>
          </w:p>
        </w:tc>
        <w:tc>
          <w:tcPr>
            <w:tcW w:type="dxa" w:w="3084"/>
            <w:shd w:val="clear" w:color="auto" w:fill="F2F5F9"/>
          </w:tcPr>
          <w:p>
            <w:pPr>
              <w:spacing w:after="20"/>
            </w:pPr>
            <w:r/>
            <w:r>
              <w:rPr>
                <w:sz w:val="19"/>
              </w:rPr>
              <w:t>Hyperparameter search on survivors only</w:t>
            </w:r>
          </w:p>
        </w:tc>
        <w:tc>
          <w:tcPr>
            <w:tcW w:type="dxa" w:w="2631"/>
            <w:shd w:val="clear" w:color="auto" w:fill="F2F5F9"/>
          </w:tcPr>
          <w:p>
            <w:pPr>
              <w:spacing w:after="20"/>
            </w:pPr>
            <w:r/>
            <w:r>
              <w:rPr>
                <w:sz w:val="19"/>
              </w:rPr>
              <w:t>Gain beyond noise band</w:t>
            </w:r>
          </w:p>
        </w:tc>
      </w:tr>
      <w:tr>
        <w:tc>
          <w:tcPr>
            <w:tcW w:type="dxa" w:w="3923"/>
          </w:tcPr>
          <w:p>
            <w:pPr>
              <w:spacing w:after="20"/>
            </w:pPr>
            <w:r/>
            <w:r>
              <w:rPr>
                <w:sz w:val="19"/>
              </w:rPr>
              <w:t>E8 Locked test + shadow</w:t>
            </w:r>
          </w:p>
        </w:tc>
        <w:tc>
          <w:tcPr>
            <w:tcW w:type="dxa" w:w="3084"/>
          </w:tcPr>
          <w:p>
            <w:pPr>
              <w:spacing w:after="20"/>
            </w:pPr>
            <w:r/>
            <w:r>
              <w:rPr>
                <w:sz w:val="19"/>
              </w:rPr>
              <w:t>One-time test on held-out period; live shadow</w:t>
            </w:r>
          </w:p>
        </w:tc>
        <w:tc>
          <w:tcPr>
            <w:tcW w:type="dxa" w:w="2631"/>
          </w:tcPr>
          <w:p>
            <w:pPr>
              <w:spacing w:after="20"/>
            </w:pPr>
            <w:r/>
            <w:r>
              <w:rPr>
                <w:sz w:val="19"/>
              </w:rPr>
              <w:t>Meets acceptance criteria</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762"/>
        <w:gridCol w:w="1884"/>
        <w:gridCol w:w="1308"/>
        <w:gridCol w:w="934"/>
        <w:gridCol w:w="1401"/>
        <w:gridCol w:w="909"/>
        <w:gridCol w:w="2440"/>
      </w:tblGrid>
      <w:tr>
        <w:trPr>
          <w:tblHeader w:val="true"/>
        </w:trPr>
        <w:tc>
          <w:tcPr>
            <w:tcW w:type="dxa" w:w="762"/>
            <w:shd w:val="clear" w:color="auto" w:fill="1F3A5F"/>
          </w:tcPr>
          <w:p>
            <w:r/>
            <w:r>
              <w:rPr>
                <w:b/>
                <w:color w:val="FFFFFF"/>
                <w:sz w:val="15"/>
              </w:rPr>
              <w:t>ID</w:t>
            </w:r>
          </w:p>
        </w:tc>
        <w:tc>
          <w:tcPr>
            <w:tcW w:type="dxa" w:w="1884"/>
            <w:shd w:val="clear" w:color="auto" w:fill="1F3A5F"/>
          </w:tcPr>
          <w:p>
            <w:r/>
            <w:r>
              <w:rPr>
                <w:b/>
                <w:color w:val="FFFFFF"/>
                <w:sz w:val="15"/>
              </w:rPr>
              <w:t>Hypothesis</w:t>
            </w:r>
          </w:p>
        </w:tc>
        <w:tc>
          <w:tcPr>
            <w:tcW w:type="dxa" w:w="1308"/>
            <w:shd w:val="clear" w:color="auto" w:fill="1F3A5F"/>
          </w:tcPr>
          <w:p>
            <w:r/>
            <w:r>
              <w:rPr>
                <w:b/>
                <w:color w:val="FFFFFF"/>
                <w:sz w:val="15"/>
              </w:rPr>
              <w:t>Change</w:t>
            </w:r>
          </w:p>
        </w:tc>
        <w:tc>
          <w:tcPr>
            <w:tcW w:type="dxa" w:w="934"/>
            <w:shd w:val="clear" w:color="auto" w:fill="1F3A5F"/>
          </w:tcPr>
          <w:p>
            <w:r/>
            <w:r>
              <w:rPr>
                <w:b/>
                <w:color w:val="FFFFFF"/>
                <w:sz w:val="15"/>
              </w:rPr>
              <w:t>Fixed conditions</w:t>
            </w:r>
          </w:p>
        </w:tc>
        <w:tc>
          <w:tcPr>
            <w:tcW w:type="dxa" w:w="1401"/>
            <w:shd w:val="clear" w:color="auto" w:fill="1F3A5F"/>
          </w:tcPr>
          <w:p>
            <w:r/>
            <w:r>
              <w:rPr>
                <w:b/>
                <w:color w:val="FFFFFF"/>
                <w:sz w:val="15"/>
              </w:rPr>
              <w:t>Split</w:t>
            </w:r>
          </w:p>
        </w:tc>
        <w:tc>
          <w:tcPr>
            <w:tcW w:type="dxa" w:w="909"/>
            <w:shd w:val="clear" w:color="auto" w:fill="1F3A5F"/>
          </w:tcPr>
          <w:p>
            <w:r/>
            <w:r>
              <w:rPr>
                <w:b/>
                <w:color w:val="FFFFFF"/>
                <w:sz w:val="15"/>
              </w:rPr>
              <w:t>Metrics</w:t>
            </w:r>
          </w:p>
        </w:tc>
        <w:tc>
          <w:tcPr>
            <w:tcW w:type="dxa" w:w="2440"/>
            <w:shd w:val="clear" w:color="auto" w:fill="1F3A5F"/>
          </w:tcPr>
          <w:p>
            <w:r/>
            <w:r>
              <w:rPr>
                <w:b/>
                <w:color w:val="FFFFFF"/>
                <w:sz w:val="15"/>
              </w:rPr>
              <w:t>Stopping rule</w:t>
            </w:r>
          </w:p>
        </w:tc>
      </w:tr>
      <w:tr>
        <w:tc>
          <w:tcPr>
            <w:tcW w:type="dxa" w:w="762"/>
          </w:tcPr>
          <w:p>
            <w:pPr>
              <w:spacing w:after="20"/>
            </w:pPr>
            <w:r/>
            <w:r>
              <w:rPr>
                <w:sz w:val="15"/>
              </w:rPr>
              <w:t>EX1</w:t>
            </w:r>
          </w:p>
        </w:tc>
        <w:tc>
          <w:tcPr>
            <w:tcW w:type="dxa" w:w="1884"/>
          </w:tcPr>
          <w:p>
            <w:pPr>
              <w:spacing w:after="20"/>
            </w:pPr>
            <w:r/>
            <w:r>
              <w:rPr>
                <w:sz w:val="15"/>
              </w:rPr>
              <w:t>The Excel process is replicable; our B0 matches planner behaviour</w:t>
            </w:r>
          </w:p>
        </w:tc>
        <w:tc>
          <w:tcPr>
            <w:tcW w:type="dxa" w:w="1308"/>
          </w:tcPr>
          <w:p>
            <w:pPr>
              <w:spacing w:after="20"/>
            </w:pPr>
            <w:r/>
            <w:r>
              <w:rPr>
                <w:sz w:val="15"/>
              </w:rPr>
              <w:t>Implement B0</w:t>
            </w:r>
          </w:p>
        </w:tc>
        <w:tc>
          <w:tcPr>
            <w:tcW w:type="dxa" w:w="934"/>
          </w:tcPr>
          <w:p>
            <w:pPr>
              <w:spacing w:after="20"/>
            </w:pPr>
            <w:r/>
            <w:r>
              <w:rPr>
                <w:sz w:val="15"/>
              </w:rPr>
              <w:t>Same data and windows</w:t>
            </w:r>
          </w:p>
        </w:tc>
        <w:tc>
          <w:tcPr>
            <w:tcW w:type="dxa" w:w="1401"/>
          </w:tcPr>
          <w:p>
            <w:pPr>
              <w:spacing w:after="20"/>
            </w:pPr>
            <w:r/>
            <w:r>
              <w:rPr>
                <w:sz w:val="15"/>
              </w:rPr>
              <w:t>Rolling origin</w:t>
            </w:r>
          </w:p>
        </w:tc>
        <w:tc>
          <w:tcPr>
            <w:tcW w:type="dxa" w:w="909"/>
          </w:tcPr>
          <w:p>
            <w:pPr>
              <w:spacing w:after="20"/>
            </w:pPr>
            <w:r/>
            <w:r>
              <w:rPr>
                <w:sz w:val="15"/>
              </w:rPr>
              <w:t>WAPE, bias</w:t>
            </w:r>
          </w:p>
        </w:tc>
        <w:tc>
          <w:tcPr>
            <w:tcW w:type="dxa" w:w="2440"/>
          </w:tcPr>
          <w:p>
            <w:pPr>
              <w:spacing w:after="20"/>
            </w:pPr>
            <w:r/>
            <w:r>
              <w:rPr>
                <w:sz w:val="15"/>
              </w:rPr>
              <w:t>Stop when B0 reproduces historical planner orders within a tolerance agreed in Discovery; if it cannot, document the gap and use the data-only B0</w:t>
            </w:r>
          </w:p>
        </w:tc>
      </w:tr>
      <w:tr>
        <w:tc>
          <w:tcPr>
            <w:tcW w:type="dxa" w:w="762"/>
            <w:shd w:val="clear" w:color="auto" w:fill="F2F5F9"/>
          </w:tcPr>
          <w:p>
            <w:pPr>
              <w:spacing w:after="20"/>
            </w:pPr>
            <w:r/>
            <w:r>
              <w:rPr>
                <w:sz w:val="15"/>
              </w:rPr>
              <w:t>EX2</w:t>
            </w:r>
          </w:p>
        </w:tc>
        <w:tc>
          <w:tcPr>
            <w:tcW w:type="dxa" w:w="1884"/>
            <w:shd w:val="clear" w:color="auto" w:fill="F2F5F9"/>
          </w:tcPr>
          <w:p>
            <w:pPr>
              <w:spacing w:after="20"/>
            </w:pPr>
            <w:r/>
            <w:r>
              <w:rPr>
                <w:sz w:val="15"/>
              </w:rPr>
              <w:t>Seasonality and festival/promo uplift add value over B0</w:t>
            </w:r>
          </w:p>
        </w:tc>
        <w:tc>
          <w:tcPr>
            <w:tcW w:type="dxa" w:w="1308"/>
            <w:shd w:val="clear" w:color="auto" w:fill="F2F5F9"/>
          </w:tcPr>
          <w:p>
            <w:pPr>
              <w:spacing w:after="20"/>
            </w:pPr>
            <w:r/>
            <w:r>
              <w:rPr>
                <w:sz w:val="15"/>
              </w:rPr>
              <w:t>B1, B2</w:t>
            </w:r>
          </w:p>
        </w:tc>
        <w:tc>
          <w:tcPr>
            <w:tcW w:type="dxa" w:w="934"/>
            <w:shd w:val="clear" w:color="auto" w:fill="F2F5F9"/>
          </w:tcPr>
          <w:p>
            <w:pPr>
              <w:spacing w:after="20"/>
            </w:pPr>
            <w:r/>
            <w:r>
              <w:rPr>
                <w:sz w:val="15"/>
              </w:rPr>
              <w:t>Same</w:t>
            </w:r>
          </w:p>
        </w:tc>
        <w:tc>
          <w:tcPr>
            <w:tcW w:type="dxa" w:w="1401"/>
            <w:shd w:val="clear" w:color="auto" w:fill="F2F5F9"/>
          </w:tcPr>
          <w:p>
            <w:pPr>
              <w:spacing w:after="20"/>
            </w:pPr>
            <w:r/>
            <w:r>
              <w:rPr>
                <w:sz w:val="15"/>
              </w:rPr>
              <w:t>Rolling origin + festival windows</w:t>
            </w:r>
          </w:p>
        </w:tc>
        <w:tc>
          <w:tcPr>
            <w:tcW w:type="dxa" w:w="909"/>
            <w:shd w:val="clear" w:color="auto" w:fill="F2F5F9"/>
          </w:tcPr>
          <w:p>
            <w:pPr>
              <w:spacing w:after="20"/>
            </w:pPr>
            <w:r/>
            <w:r>
              <w:rPr>
                <w:sz w:val="15"/>
              </w:rPr>
              <w:t>FVA vs B0</w:t>
            </w:r>
          </w:p>
        </w:tc>
        <w:tc>
          <w:tcPr>
            <w:tcW w:type="dxa" w:w="2440"/>
            <w:shd w:val="clear" w:color="auto" w:fill="F2F5F9"/>
          </w:tcPr>
          <w:p>
            <w:pPr>
              <w:spacing w:after="20"/>
            </w:pPr>
            <w:r/>
            <w:r>
              <w:rPr>
                <w:sz w:val="15"/>
              </w:rPr>
              <w:t>If B2 is within noise of B0, festival uplift is weak or mis-specified; investigate</w:t>
            </w:r>
          </w:p>
        </w:tc>
      </w:tr>
      <w:tr>
        <w:tc>
          <w:tcPr>
            <w:tcW w:type="dxa" w:w="762"/>
          </w:tcPr>
          <w:p>
            <w:pPr>
              <w:spacing w:after="20"/>
            </w:pPr>
            <w:r/>
            <w:r>
              <w:rPr>
                <w:sz w:val="15"/>
              </w:rPr>
              <w:t>EX3</w:t>
            </w:r>
          </w:p>
        </w:tc>
        <w:tc>
          <w:tcPr>
            <w:tcW w:type="dxa" w:w="1884"/>
          </w:tcPr>
          <w:p>
            <w:pPr>
              <w:spacing w:after="20"/>
            </w:pPr>
            <w:r/>
            <w:r>
              <w:rPr>
                <w:sz w:val="15"/>
              </w:rPr>
              <w:t>A global GBM beats B0/B2/B3</w:t>
            </w:r>
          </w:p>
        </w:tc>
        <w:tc>
          <w:tcPr>
            <w:tcW w:type="dxa" w:w="1308"/>
          </w:tcPr>
          <w:p>
            <w:pPr>
              <w:spacing w:after="20"/>
            </w:pPr>
            <w:r/>
            <w:r>
              <w:rPr>
                <w:sz w:val="15"/>
              </w:rPr>
              <w:t>LightGBM-class with core features</w:t>
            </w:r>
          </w:p>
        </w:tc>
        <w:tc>
          <w:tcPr>
            <w:tcW w:type="dxa" w:w="934"/>
          </w:tcPr>
          <w:p>
            <w:pPr>
              <w:spacing w:after="20"/>
            </w:pPr>
            <w:r/>
            <w:r>
              <w:rPr>
                <w:sz w:val="15"/>
              </w:rPr>
              <w:t>Same folds</w:t>
            </w:r>
          </w:p>
        </w:tc>
        <w:tc>
          <w:tcPr>
            <w:tcW w:type="dxa" w:w="1401"/>
          </w:tcPr>
          <w:p>
            <w:pPr>
              <w:spacing w:after="20"/>
            </w:pPr>
            <w:r/>
            <w:r>
              <w:rPr>
                <w:sz w:val="15"/>
              </w:rPr>
              <w:t>Rolling origin</w:t>
            </w:r>
          </w:p>
        </w:tc>
        <w:tc>
          <w:tcPr>
            <w:tcW w:type="dxa" w:w="909"/>
          </w:tcPr>
          <w:p>
            <w:pPr>
              <w:spacing w:after="20"/>
            </w:pPr>
            <w:r/>
            <w:r>
              <w:rPr>
                <w:sz w:val="15"/>
              </w:rPr>
              <w:t>WAPE, pinball, bias</w:t>
            </w:r>
          </w:p>
        </w:tc>
        <w:tc>
          <w:tcPr>
            <w:tcW w:type="dxa" w:w="2440"/>
          </w:tcPr>
          <w:p>
            <w:pPr>
              <w:spacing w:after="20"/>
            </w:pPr>
            <w:r/>
            <w:r>
              <w:rPr>
                <w:sz w:val="15"/>
              </w:rPr>
              <w:t>Stop if not better than B2/B3 by margin in ≥ agreed share of windows</w:t>
            </w:r>
          </w:p>
        </w:tc>
      </w:tr>
      <w:tr>
        <w:tc>
          <w:tcPr>
            <w:tcW w:type="dxa" w:w="762"/>
            <w:shd w:val="clear" w:color="auto" w:fill="F2F5F9"/>
          </w:tcPr>
          <w:p>
            <w:pPr>
              <w:spacing w:after="20"/>
            </w:pPr>
            <w:r/>
            <w:r>
              <w:rPr>
                <w:sz w:val="15"/>
              </w:rPr>
              <w:t>EX4</w:t>
            </w:r>
          </w:p>
        </w:tc>
        <w:tc>
          <w:tcPr>
            <w:tcW w:type="dxa" w:w="1884"/>
            <w:shd w:val="clear" w:color="auto" w:fill="F2F5F9"/>
          </w:tcPr>
          <w:p>
            <w:pPr>
              <w:spacing w:after="20"/>
            </w:pPr>
            <w:r/>
            <w:r>
              <w:rPr>
                <w:sz w:val="15"/>
              </w:rPr>
              <w:t>Festival features improve festival-window error</w:t>
            </w:r>
          </w:p>
        </w:tc>
        <w:tc>
          <w:tcPr>
            <w:tcW w:type="dxa" w:w="1308"/>
            <w:shd w:val="clear" w:color="auto" w:fill="F2F5F9"/>
          </w:tcPr>
          <w:p>
            <w:pPr>
              <w:spacing w:after="20"/>
            </w:pPr>
            <w:r/>
            <w:r>
              <w:rPr>
                <w:sz w:val="15"/>
              </w:rPr>
              <w:t>Add festival group</w:t>
            </w:r>
          </w:p>
        </w:tc>
        <w:tc>
          <w:tcPr>
            <w:tcW w:type="dxa" w:w="934"/>
            <w:shd w:val="clear" w:color="auto" w:fill="F2F5F9"/>
          </w:tcPr>
          <w:p>
            <w:pPr>
              <w:spacing w:after="20"/>
            </w:pPr>
            <w:r/>
            <w:r>
              <w:rPr>
                <w:sz w:val="15"/>
              </w:rPr>
              <w:t>Same model, same folds</w:t>
            </w:r>
          </w:p>
        </w:tc>
        <w:tc>
          <w:tcPr>
            <w:tcW w:type="dxa" w:w="1401"/>
            <w:shd w:val="clear" w:color="auto" w:fill="F2F5F9"/>
          </w:tcPr>
          <w:p>
            <w:pPr>
              <w:spacing w:after="20"/>
            </w:pPr>
            <w:r/>
            <w:r>
              <w:rPr>
                <w:sz w:val="15"/>
              </w:rPr>
              <w:t>Festival-window backtests</w:t>
            </w:r>
          </w:p>
        </w:tc>
        <w:tc>
          <w:tcPr>
            <w:tcW w:type="dxa" w:w="909"/>
            <w:shd w:val="clear" w:color="auto" w:fill="F2F5F9"/>
          </w:tcPr>
          <w:p>
            <w:pPr>
              <w:spacing w:after="20"/>
            </w:pPr>
            <w:r/>
            <w:r>
              <w:rPr>
                <w:sz w:val="15"/>
              </w:rPr>
              <w:t>WAPE in festival windows</w:t>
            </w:r>
          </w:p>
        </w:tc>
        <w:tc>
          <w:tcPr>
            <w:tcW w:type="dxa" w:w="2440"/>
            <w:shd w:val="clear" w:color="auto" w:fill="F2F5F9"/>
          </w:tcPr>
          <w:p>
            <w:pPr>
              <w:spacing w:after="20"/>
            </w:pPr>
            <w:r/>
            <w:r>
              <w:rPr>
                <w:sz w:val="15"/>
              </w:rPr>
              <w:t>Keep if gain exceeds noise band and non-festival error is not worse</w:t>
            </w:r>
          </w:p>
        </w:tc>
      </w:tr>
      <w:tr>
        <w:tc>
          <w:tcPr>
            <w:tcW w:type="dxa" w:w="762"/>
          </w:tcPr>
          <w:p>
            <w:pPr>
              <w:spacing w:after="20"/>
            </w:pPr>
            <w:r/>
            <w:r>
              <w:rPr>
                <w:sz w:val="15"/>
              </w:rPr>
              <w:t>EX5</w:t>
            </w:r>
          </w:p>
        </w:tc>
        <w:tc>
          <w:tcPr>
            <w:tcW w:type="dxa" w:w="1884"/>
          </w:tcPr>
          <w:p>
            <w:pPr>
              <w:spacing w:after="20"/>
            </w:pPr>
            <w:r/>
            <w:r>
              <w:rPr>
                <w:sz w:val="15"/>
              </w:rPr>
              <w:t>Promo information at order-time adds value; using final calendar overstates it</w:t>
            </w:r>
          </w:p>
        </w:tc>
        <w:tc>
          <w:tcPr>
            <w:tcW w:type="dxa" w:w="1308"/>
          </w:tcPr>
          <w:p>
            <w:pPr>
              <w:spacing w:after="20"/>
            </w:pPr>
            <w:r/>
            <w:r>
              <w:rPr>
                <w:sz w:val="15"/>
              </w:rPr>
              <w:t>Promo (as-of cut-off) vs promo (final)</w:t>
            </w:r>
          </w:p>
        </w:tc>
        <w:tc>
          <w:tcPr>
            <w:tcW w:type="dxa" w:w="934"/>
          </w:tcPr>
          <w:p>
            <w:pPr>
              <w:spacing w:after="20"/>
            </w:pPr>
            <w:r/>
            <w:r>
              <w:rPr>
                <w:sz w:val="15"/>
              </w:rPr>
              <w:t>Same model</w:t>
            </w:r>
          </w:p>
        </w:tc>
        <w:tc>
          <w:tcPr>
            <w:tcW w:type="dxa" w:w="1401"/>
          </w:tcPr>
          <w:p>
            <w:pPr>
              <w:spacing w:after="20"/>
            </w:pPr>
            <w:r/>
            <w:r>
              <w:rPr>
                <w:sz w:val="15"/>
              </w:rPr>
              <w:t>Rolling origin</w:t>
            </w:r>
          </w:p>
        </w:tc>
        <w:tc>
          <w:tcPr>
            <w:tcW w:type="dxa" w:w="909"/>
          </w:tcPr>
          <w:p>
            <w:pPr>
              <w:spacing w:after="20"/>
            </w:pPr>
            <w:r/>
            <w:r>
              <w:rPr>
                <w:sz w:val="15"/>
              </w:rPr>
              <w:t>WAPE promo weeks</w:t>
            </w:r>
          </w:p>
        </w:tc>
        <w:tc>
          <w:tcPr>
            <w:tcW w:type="dxa" w:w="2440"/>
          </w:tcPr>
          <w:p>
            <w:pPr>
              <w:spacing w:after="20"/>
            </w:pPr>
            <w:r/>
            <w:r>
              <w:rPr>
                <w:sz w:val="15"/>
              </w:rPr>
              <w:t>Large gap = leakage warning; use as-of version only</w:t>
            </w:r>
          </w:p>
        </w:tc>
      </w:tr>
      <w:tr>
        <w:tc>
          <w:tcPr>
            <w:tcW w:type="dxa" w:w="762"/>
            <w:shd w:val="clear" w:color="auto" w:fill="F2F5F9"/>
          </w:tcPr>
          <w:p>
            <w:pPr>
              <w:spacing w:after="20"/>
            </w:pPr>
            <w:r/>
            <w:r>
              <w:rPr>
                <w:sz w:val="15"/>
              </w:rPr>
              <w:t>EX6</w:t>
            </w:r>
          </w:p>
        </w:tc>
        <w:tc>
          <w:tcPr>
            <w:tcW w:type="dxa" w:w="1884"/>
            <w:shd w:val="clear" w:color="auto" w:fill="F2F5F9"/>
          </w:tcPr>
          <w:p>
            <w:pPr>
              <w:spacing w:after="20"/>
            </w:pPr>
            <w:r/>
            <w:r>
              <w:rPr>
                <w:sz w:val="15"/>
              </w:rPr>
              <w:t>Masking censored weeks beats naive training; imputation may beat masking</w:t>
            </w:r>
          </w:p>
        </w:tc>
        <w:tc>
          <w:tcPr>
            <w:tcW w:type="dxa" w:w="1308"/>
            <w:shd w:val="clear" w:color="auto" w:fill="F2F5F9"/>
          </w:tcPr>
          <w:p>
            <w:pPr>
              <w:spacing w:after="20"/>
            </w:pPr>
            <w:r/>
            <w:r>
              <w:rPr>
                <w:sz w:val="15"/>
              </w:rPr>
              <w:t>Three censoring treatments</w:t>
            </w:r>
          </w:p>
        </w:tc>
        <w:tc>
          <w:tcPr>
            <w:tcW w:type="dxa" w:w="934"/>
            <w:shd w:val="clear" w:color="auto" w:fill="F2F5F9"/>
          </w:tcPr>
          <w:p>
            <w:pPr>
              <w:spacing w:after="20"/>
            </w:pPr>
            <w:r/>
            <w:r>
              <w:rPr>
                <w:sz w:val="15"/>
              </w:rPr>
              <w:t>Same model</w:t>
            </w:r>
          </w:p>
        </w:tc>
        <w:tc>
          <w:tcPr>
            <w:tcW w:type="dxa" w:w="1401"/>
            <w:shd w:val="clear" w:color="auto" w:fill="F2F5F9"/>
          </w:tcPr>
          <w:p>
            <w:pPr>
              <w:spacing w:after="20"/>
            </w:pPr>
            <w:r/>
            <w:r>
              <w:rPr>
                <w:sz w:val="15"/>
              </w:rPr>
              <w:t>Rolling origin</w:t>
            </w:r>
          </w:p>
        </w:tc>
        <w:tc>
          <w:tcPr>
            <w:tcW w:type="dxa" w:w="909"/>
            <w:shd w:val="clear" w:color="auto" w:fill="F2F5F9"/>
          </w:tcPr>
          <w:p>
            <w:pPr>
              <w:spacing w:after="20"/>
            </w:pPr>
            <w:r/>
            <w:r>
              <w:rPr>
                <w:sz w:val="15"/>
              </w:rPr>
              <w:t>In-stock WAPE; bias; stock-out proxy</w:t>
            </w:r>
          </w:p>
        </w:tc>
        <w:tc>
          <w:tcPr>
            <w:tcW w:type="dxa" w:w="2440"/>
            <w:shd w:val="clear" w:color="auto" w:fill="F2F5F9"/>
          </w:tcPr>
          <w:p>
            <w:pPr>
              <w:spacing w:after="20"/>
            </w:pPr>
            <w:r/>
            <w:r>
              <w:rPr>
                <w:sz w:val="15"/>
              </w:rPr>
              <w:t>Stop after the three treatments are compared on identical folds; adopt masking unless imputation reduces bias on high-demand weeks by more than the noise band, in which case adopt imputation</w:t>
            </w:r>
          </w:p>
        </w:tc>
      </w:tr>
      <w:tr>
        <w:tc>
          <w:tcPr>
            <w:tcW w:type="dxa" w:w="762"/>
          </w:tcPr>
          <w:p>
            <w:pPr>
              <w:spacing w:after="20"/>
            </w:pPr>
            <w:r/>
            <w:r>
              <w:rPr>
                <w:sz w:val="15"/>
              </w:rPr>
              <w:t>EX7</w:t>
            </w:r>
          </w:p>
        </w:tc>
        <w:tc>
          <w:tcPr>
            <w:tcW w:type="dxa" w:w="1884"/>
          </w:tcPr>
          <w:p>
            <w:pPr>
              <w:spacing w:after="20"/>
            </w:pPr>
            <w:r/>
            <w:r>
              <w:rPr>
                <w:sz w:val="15"/>
              </w:rPr>
              <w:t>Velocity-class routing beats a single model</w:t>
            </w:r>
          </w:p>
        </w:tc>
        <w:tc>
          <w:tcPr>
            <w:tcW w:type="dxa" w:w="1308"/>
          </w:tcPr>
          <w:p>
            <w:pPr>
              <w:spacing w:after="20"/>
            </w:pPr>
            <w:r/>
            <w:r>
              <w:rPr>
                <w:sz w:val="15"/>
              </w:rPr>
              <w:t>Route intermittent to TSB/NB</w:t>
            </w:r>
          </w:p>
        </w:tc>
        <w:tc>
          <w:tcPr>
            <w:tcW w:type="dxa" w:w="934"/>
          </w:tcPr>
          <w:p>
            <w:pPr>
              <w:spacing w:after="20"/>
            </w:pPr>
            <w:r/>
            <w:r>
              <w:rPr>
                <w:sz w:val="15"/>
              </w:rPr>
              <w:t>Same</w:t>
            </w:r>
          </w:p>
        </w:tc>
        <w:tc>
          <w:tcPr>
            <w:tcW w:type="dxa" w:w="1401"/>
          </w:tcPr>
          <w:p>
            <w:pPr>
              <w:spacing w:after="20"/>
            </w:pPr>
            <w:r/>
            <w:r>
              <w:rPr>
                <w:sz w:val="15"/>
              </w:rPr>
              <w:t>Rolling origin</w:t>
            </w:r>
          </w:p>
        </w:tc>
        <w:tc>
          <w:tcPr>
            <w:tcW w:type="dxa" w:w="909"/>
          </w:tcPr>
          <w:p>
            <w:pPr>
              <w:spacing w:after="20"/>
            </w:pPr>
            <w:r/>
            <w:r>
              <w:rPr>
                <w:sz w:val="15"/>
              </w:rPr>
              <w:t>WAPE and pinball by class</w:t>
            </w:r>
          </w:p>
        </w:tc>
        <w:tc>
          <w:tcPr>
            <w:tcW w:type="dxa" w:w="2440"/>
          </w:tcPr>
          <w:p>
            <w:pPr>
              <w:spacing w:after="20"/>
            </w:pPr>
            <w:r/>
            <w:r>
              <w:rPr>
                <w:sz w:val="15"/>
              </w:rPr>
              <w:t>Keep if better on slow movers without hurting A-class</w:t>
            </w:r>
          </w:p>
        </w:tc>
      </w:tr>
      <w:tr>
        <w:tc>
          <w:tcPr>
            <w:tcW w:type="dxa" w:w="762"/>
            <w:shd w:val="clear" w:color="auto" w:fill="F2F5F9"/>
          </w:tcPr>
          <w:p>
            <w:pPr>
              <w:spacing w:after="20"/>
            </w:pPr>
            <w:r/>
            <w:r>
              <w:rPr>
                <w:sz w:val="15"/>
              </w:rPr>
              <w:t>EX8</w:t>
            </w:r>
          </w:p>
        </w:tc>
        <w:tc>
          <w:tcPr>
            <w:tcW w:type="dxa" w:w="1884"/>
            <w:shd w:val="clear" w:color="auto" w:fill="F2F5F9"/>
          </w:tcPr>
          <w:p>
            <w:pPr>
              <w:spacing w:after="20"/>
            </w:pPr>
            <w:r/>
            <w:r>
              <w:rPr>
                <w:sz w:val="15"/>
              </w:rPr>
              <w:t>Quantile forecasts achieve target coverage</w:t>
            </w:r>
          </w:p>
        </w:tc>
        <w:tc>
          <w:tcPr>
            <w:tcW w:type="dxa" w:w="1308"/>
            <w:shd w:val="clear" w:color="auto" w:fill="F2F5F9"/>
          </w:tcPr>
          <w:p>
            <w:pPr>
              <w:spacing w:after="20"/>
            </w:pPr>
            <w:r/>
            <w:r>
              <w:rPr>
                <w:sz w:val="15"/>
              </w:rPr>
              <w:t>Quantile objective or conformal calibration</w:t>
            </w:r>
          </w:p>
        </w:tc>
        <w:tc>
          <w:tcPr>
            <w:tcW w:type="dxa" w:w="934"/>
            <w:shd w:val="clear" w:color="auto" w:fill="F2F5F9"/>
          </w:tcPr>
          <w:p>
            <w:pPr>
              <w:spacing w:after="20"/>
            </w:pPr>
            <w:r/>
            <w:r>
              <w:rPr>
                <w:sz w:val="15"/>
              </w:rPr>
              <w:t>Same</w:t>
            </w:r>
          </w:p>
        </w:tc>
        <w:tc>
          <w:tcPr>
            <w:tcW w:type="dxa" w:w="1401"/>
            <w:shd w:val="clear" w:color="auto" w:fill="F2F5F9"/>
          </w:tcPr>
          <w:p>
            <w:pPr>
              <w:spacing w:after="20"/>
            </w:pPr>
            <w:r/>
            <w:r>
              <w:rPr>
                <w:sz w:val="15"/>
              </w:rPr>
              <w:t>Rolling + festival windows</w:t>
            </w:r>
          </w:p>
        </w:tc>
        <w:tc>
          <w:tcPr>
            <w:tcW w:type="dxa" w:w="909"/>
            <w:shd w:val="clear" w:color="auto" w:fill="F2F5F9"/>
          </w:tcPr>
          <w:p>
            <w:pPr>
              <w:spacing w:after="20"/>
            </w:pPr>
            <w:r/>
            <w:r>
              <w:rPr>
                <w:sz w:val="15"/>
              </w:rPr>
              <w:t>Coverage, pinball</w:t>
            </w:r>
          </w:p>
        </w:tc>
        <w:tc>
          <w:tcPr>
            <w:tcW w:type="dxa" w:w="2440"/>
            <w:shd w:val="clear" w:color="auto" w:fill="F2F5F9"/>
          </w:tcPr>
          <w:p>
            <w:pPr>
              <w:spacing w:after="20"/>
            </w:pPr>
            <w:r/>
            <w:r>
              <w:rPr>
                <w:sz w:val="15"/>
              </w:rPr>
              <w:t xml:space="preserve">Tolerance band </w:t>
            </w:r>
            <w:r>
              <w:rPr>
                <w:b/>
                <w:color w:val="C0392B"/>
                <w:sz w:val="15"/>
              </w:rPr>
              <w:t>[TBD]</w:t>
            </w:r>
            <w:r>
              <w:rPr>
                <w:sz w:val="15"/>
              </w:rPr>
              <w:t>; recalibrate otherwise</w:t>
            </w:r>
          </w:p>
        </w:tc>
      </w:tr>
      <w:tr>
        <w:tc>
          <w:tcPr>
            <w:tcW w:type="dxa" w:w="762"/>
          </w:tcPr>
          <w:p>
            <w:pPr>
              <w:spacing w:after="20"/>
            </w:pPr>
            <w:r/>
            <w:r>
              <w:rPr>
                <w:sz w:val="15"/>
              </w:rPr>
              <w:t>EX9</w:t>
            </w:r>
          </w:p>
        </w:tc>
        <w:tc>
          <w:tcPr>
            <w:tcW w:type="dxa" w:w="1884"/>
          </w:tcPr>
          <w:p>
            <w:pPr>
              <w:spacing w:after="20"/>
            </w:pPr>
            <w:r/>
            <w:r>
              <w:rPr>
                <w:sz w:val="15"/>
              </w:rPr>
              <w:t>Reconciliation improves sparse series</w:t>
            </w:r>
          </w:p>
        </w:tc>
        <w:tc>
          <w:tcPr>
            <w:tcW w:type="dxa" w:w="1308"/>
          </w:tcPr>
          <w:p>
            <w:pPr>
              <w:spacing w:after="20"/>
            </w:pPr>
            <w:r/>
            <w:r>
              <w:rPr>
                <w:sz w:val="15"/>
              </w:rPr>
              <w:t>Reconciliation on/off</w:t>
            </w:r>
          </w:p>
        </w:tc>
        <w:tc>
          <w:tcPr>
            <w:tcW w:type="dxa" w:w="934"/>
          </w:tcPr>
          <w:p>
            <w:pPr>
              <w:spacing w:after="20"/>
            </w:pPr>
            <w:r/>
            <w:r>
              <w:rPr>
                <w:sz w:val="15"/>
              </w:rPr>
              <w:t>Same</w:t>
            </w:r>
          </w:p>
        </w:tc>
        <w:tc>
          <w:tcPr>
            <w:tcW w:type="dxa" w:w="1401"/>
          </w:tcPr>
          <w:p>
            <w:pPr>
              <w:spacing w:after="20"/>
            </w:pPr>
            <w:r/>
            <w:r>
              <w:rPr>
                <w:sz w:val="15"/>
              </w:rPr>
              <w:t>Rolling origin</w:t>
            </w:r>
          </w:p>
        </w:tc>
        <w:tc>
          <w:tcPr>
            <w:tcW w:type="dxa" w:w="909"/>
          </w:tcPr>
          <w:p>
            <w:pPr>
              <w:spacing w:after="20"/>
            </w:pPr>
            <w:r/>
            <w:r>
              <w:rPr>
                <w:sz w:val="15"/>
              </w:rPr>
              <w:t>WAPE on tail</w:t>
            </w:r>
          </w:p>
        </w:tc>
        <w:tc>
          <w:tcPr>
            <w:tcW w:type="dxa" w:w="2440"/>
          </w:tcPr>
          <w:p>
            <w:pPr>
              <w:spacing w:after="20"/>
            </w:pPr>
            <w:r/>
            <w:r>
              <w:rPr>
                <w:sz w:val="15"/>
              </w:rPr>
              <w:t>Keep if gain &gt; noise</w:t>
            </w:r>
          </w:p>
        </w:tc>
      </w:tr>
      <w:tr>
        <w:tc>
          <w:tcPr>
            <w:tcW w:type="dxa" w:w="762"/>
            <w:shd w:val="clear" w:color="auto" w:fill="F2F5F9"/>
          </w:tcPr>
          <w:p>
            <w:pPr>
              <w:spacing w:after="20"/>
            </w:pPr>
            <w:r/>
            <w:r>
              <w:rPr>
                <w:sz w:val="15"/>
              </w:rPr>
              <w:t>EX10</w:t>
            </w:r>
          </w:p>
        </w:tc>
        <w:tc>
          <w:tcPr>
            <w:tcW w:type="dxa" w:w="1884"/>
            <w:shd w:val="clear" w:color="auto" w:fill="F2F5F9"/>
          </w:tcPr>
          <w:p>
            <w:pPr>
              <w:spacing w:after="20"/>
            </w:pPr>
            <w:r/>
            <w:r>
              <w:rPr>
                <w:sz w:val="15"/>
              </w:rPr>
              <w:t>External weather/events add value for selected categories</w:t>
            </w:r>
          </w:p>
        </w:tc>
        <w:tc>
          <w:tcPr>
            <w:tcW w:type="dxa" w:w="1308"/>
            <w:shd w:val="clear" w:color="auto" w:fill="F2F5F9"/>
          </w:tcPr>
          <w:p>
            <w:pPr>
              <w:spacing w:after="20"/>
            </w:pPr>
            <w:r/>
            <w:r>
              <w:rPr>
                <w:sz w:val="15"/>
              </w:rPr>
              <w:t>Add features by category</w:t>
            </w:r>
          </w:p>
        </w:tc>
        <w:tc>
          <w:tcPr>
            <w:tcW w:type="dxa" w:w="934"/>
            <w:shd w:val="clear" w:color="auto" w:fill="F2F5F9"/>
          </w:tcPr>
          <w:p>
            <w:pPr>
              <w:spacing w:after="20"/>
            </w:pPr>
            <w:r/>
            <w:r>
              <w:rPr>
                <w:sz w:val="15"/>
              </w:rPr>
              <w:t>Same</w:t>
            </w:r>
          </w:p>
        </w:tc>
        <w:tc>
          <w:tcPr>
            <w:tcW w:type="dxa" w:w="1401"/>
            <w:shd w:val="clear" w:color="auto" w:fill="F2F5F9"/>
          </w:tcPr>
          <w:p>
            <w:pPr>
              <w:spacing w:after="20"/>
            </w:pPr>
            <w:r/>
            <w:r>
              <w:rPr>
                <w:sz w:val="15"/>
              </w:rPr>
              <w:t>Rolling origin</w:t>
            </w:r>
          </w:p>
        </w:tc>
        <w:tc>
          <w:tcPr>
            <w:tcW w:type="dxa" w:w="909"/>
            <w:shd w:val="clear" w:color="auto" w:fill="F2F5F9"/>
          </w:tcPr>
          <w:p>
            <w:pPr>
              <w:spacing w:after="20"/>
            </w:pPr>
            <w:r/>
            <w:r>
              <w:rPr>
                <w:sz w:val="15"/>
              </w:rPr>
              <w:t>Category WAPE</w:t>
            </w:r>
          </w:p>
        </w:tc>
        <w:tc>
          <w:tcPr>
            <w:tcW w:type="dxa" w:w="2440"/>
            <w:shd w:val="clear" w:color="auto" w:fill="F2F5F9"/>
          </w:tcPr>
          <w:p>
            <w:pPr>
              <w:spacing w:after="20"/>
            </w:pPr>
            <w:r/>
            <w:r>
              <w:rPr>
                <w:sz w:val="15"/>
              </w:rPr>
              <w:t>Drop if no gain; record cost of acquiring</w:t>
            </w:r>
          </w:p>
        </w:tc>
      </w:tr>
    </w:tbl>
    <w:p>
      <w:pPr>
        <w:spacing w:after="40"/>
      </w:pPr>
    </w:p>
    <w:p>
      <w:r>
        <w:rPr>
          <w:b/>
        </w:rPr>
        <w:t>Tuning.</w:t>
      </w:r>
      <w:r>
        <w:rPr/>
        <w:t xml:space="preserve"> Random search with early stopping first (cheap, wide), then Bayesian (e.g. Optuna-style with pruning) on survivors only; budget </w:t>
      </w:r>
      <w:r>
        <w:rPr>
          <w:b/>
          <w:color w:val="C0392B"/>
        </w:rPr>
        <w:t>[TBD, e.g. a fixed number of trials/hours agreed after E2]</w:t>
      </w:r>
      <w:r>
        <w:rPr/>
        <w:t>. Priorities for GBM: learning rate × number of trees, leaf count/min data in leaf, regularisation, feature fraction; then quantile levels and loss-power for Tweedie. Tuning is done on the validation folds only (never on the locked test); tune once per velocity class.</w:t>
      </w:r>
    </w:p>
    <w:p>
      <w:r>
        <w:rPr>
          <w:b/>
        </w:rPr>
        <w:t>Reproducibility &amp; tracking.</w:t>
      </w:r>
      <w:r>
        <w:rPr/>
        <w:t xml:space="preserve"> Fixed seeds, environment lockfile, immutable data snapshot with hash, versioned split definitions and feature code, config-driven runs, experiment tracker (MLflow or an equivalent versioned log), model card for each released version, test-set access log.</w:t>
      </w:r>
    </w:p>
    <w:p>
      <w:r>
        <w:rPr>
          <w:b/>
        </w:rPr>
        <w:t>Comparison protocol.</w:t>
      </w:r>
      <w:r>
        <w:rPr/>
        <w:t xml:space="preserve"> Identical folds and windows for every model; paired comparisons (block bootstrap over weeks, or Diebold–Mariano-type tests with HAC variance to handle overlapping multi-week windows) with a pre-declared minimum meaningful improvement; results reported with intervals, not just means.</w:t>
      </w:r>
    </w:p>
    <w:p>
      <w:pPr>
        <w:pStyle w:val="Heading2"/>
      </w:pPr>
      <w:r>
        <w:rPr/>
        <w:t>12. Train / Validation / Test Design</w:t>
      </w:r>
    </w:p>
    <w:p>
      <w:r>
        <w:rPr>
          <w:b/>
        </w:rPr>
        <w:t>Deployment scenario.</w:t>
      </w:r>
      <w:r>
        <w:rPr/>
        <w:t xml:space="preserve"> Every Monday morning the system has POS data through the previous Sunday (latency </w:t>
      </w:r>
      <w:r>
        <w:rPr>
          <w:b/>
          <w:color w:val="C0392B"/>
        </w:rPr>
        <w:t>[To investigate]</w:t>
      </w:r>
      <w:r>
        <w:rPr/>
        <w:t xml:space="preserve">), promotions as frozen by the cut-off, and known future festival calendar; it must output quantile forecasts for the protection interval for all active SKU×store series. Stores and SKUs are mostly returning; a minority are new. Hence the validation design is </w:t>
      </w:r>
      <w:r>
        <w:rPr>
          <w:b/>
        </w:rPr>
        <w:t>temporal</w:t>
      </w:r>
      <w:r>
        <w:rPr/>
        <w:t xml:space="preserve">, with some </w:t>
      </w:r>
      <w:r>
        <w:rPr>
          <w:b/>
        </w:rPr>
        <w:t>grouped</w:t>
      </w:r>
      <w:r>
        <w:rPr/>
        <w:t xml:space="preserve"> checks for cold-start.</w:t>
      </w:r>
    </w:p>
    <w:p>
      <w:r>
        <w:rPr>
          <w:b/>
        </w:rPr>
        <w:t>Strategy</w:t>
      </w:r>
    </w:p>
    <w:p>
      <w:pPr>
        <w:pStyle w:val="ListBullet"/>
        <w:spacing w:after="40"/>
        <w:ind w:left="357" w:hanging="357"/>
      </w:pPr>
      <w:r>
        <w:rPr>
          <w:b/>
        </w:rPr>
        <w:t>Rolling-origin (walk-forward) backtest with weekly Monday origins</w:t>
      </w:r>
      <w:r>
        <w:rPr/>
        <w:t xml:space="preserve"> — estimates routine weekly performance, one origin per order Monday.</w:t>
      </w:r>
    </w:p>
    <w:p>
      <w:pPr>
        <w:pStyle w:val="ListBullet"/>
        <w:spacing w:after="40"/>
        <w:ind w:left="357" w:hanging="357"/>
      </w:pPr>
      <w:r>
        <w:rPr>
          <w:b/>
        </w:rPr>
        <w:t>Festival-window backtests</w:t>
      </w:r>
      <w:r>
        <w:rPr/>
        <w:t xml:space="preserve"> — origins placed 1–10 weeks ahead of each past major festival, estimating performance exactly when stock-outs matter. Each is a separate stratum; results are reported per festival and not averaged with ordinary weeks.</w:t>
      </w:r>
    </w:p>
    <w:p>
      <w:pPr>
        <w:pStyle w:val="ListBullet"/>
        <w:spacing w:after="40"/>
        <w:ind w:left="357" w:hanging="357"/>
      </w:pPr>
      <w:r>
        <w:rPr>
          <w:b/>
        </w:rPr>
        <w:t>Cold-start (grouped) check</w:t>
      </w:r>
      <w:r>
        <w:rPr/>
        <w:t xml:space="preserve"> — hold out a set of new SKUs and new stores (all history after listing) to evaluate analogue-based forecasts. Estimates behaviour for items with no history.</w:t>
      </w:r>
    </w:p>
    <w:p>
      <w:pPr>
        <w:pStyle w:val="ListBullet"/>
        <w:spacing w:after="40"/>
        <w:ind w:left="357" w:hanging="357"/>
      </w:pPr>
      <w:r>
        <w:rPr>
          <w:b/>
        </w:rPr>
        <w:t>Locked final test</w:t>
      </w:r>
      <w:r>
        <w:rPr/>
        <w:t xml:space="preserve"> — the most recent block, containing at least one festival period if history allows, touched once, after the model and decision rule are frozen.</w:t>
      </w:r>
    </w:p>
    <w:p>
      <w:r>
        <w:rPr>
          <w:b/>
        </w:rPr>
        <w:t xml:space="preserve">Window specification (rules relative to the data end date, which is </w:t>
      </w:r>
      <w:r>
        <w:rPr>
          <w:b/>
          <w:color w:val="C0392B"/>
        </w:rPr>
        <w:t>[To investigate]</w:t>
      </w:r>
      <w:r>
        <w:rPr>
          <w:b/>
        </w:rPr>
        <w:t>)</w:t>
      </w:r>
    </w:p>
    <w:tbl>
      <w:tblPr>
        <w:tblStyle w:val="TableGrid"/>
        <w:tblW w:type="auto" w:w="0"/>
        <w:jc w:val="center"/>
        <w:tblLayout w:type="fixed"/>
        <w:tblLook w:firstColumn="1" w:firstRow="1" w:lastColumn="0" w:lastRow="0" w:noHBand="0" w:noVBand="1" w:val="04A0"/>
        <w:tblLayout w:type="fixed"/>
      </w:tblPr>
      <w:tblGrid>
        <w:gridCol w:w="2331"/>
        <w:gridCol w:w="7307"/>
      </w:tblGrid>
      <w:tr>
        <w:trPr>
          <w:tblHeader w:val="true"/>
        </w:trPr>
        <w:tc>
          <w:tcPr>
            <w:tcW w:type="dxa" w:w="2331"/>
            <w:shd w:val="clear" w:color="auto" w:fill="1F3A5F"/>
          </w:tcPr>
          <w:p>
            <w:r/>
            <w:r>
              <w:rPr>
                <w:b/>
                <w:color w:val="FFFFFF"/>
                <w:sz w:val="19"/>
              </w:rPr>
              <w:t>Item</w:t>
            </w:r>
          </w:p>
        </w:tc>
        <w:tc>
          <w:tcPr>
            <w:tcW w:type="dxa" w:w="7307"/>
            <w:shd w:val="clear" w:color="auto" w:fill="1F3A5F"/>
          </w:tcPr>
          <w:p>
            <w:r/>
            <w:r>
              <w:rPr>
                <w:b/>
                <w:color w:val="FFFFFF"/>
                <w:sz w:val="19"/>
              </w:rPr>
              <w:t>Specification</w:t>
            </w:r>
          </w:p>
        </w:tc>
      </w:tr>
      <w:tr>
        <w:tc>
          <w:tcPr>
            <w:tcW w:type="dxa" w:w="2331"/>
          </w:tcPr>
          <w:p>
            <w:pPr>
              <w:spacing w:after="20"/>
            </w:pPr>
            <w:r/>
            <w:r>
              <w:rPr>
                <w:sz w:val="19"/>
              </w:rPr>
              <w:t>Forecast origins</w:t>
            </w:r>
          </w:p>
        </w:tc>
        <w:tc>
          <w:tcPr>
            <w:tcW w:type="dxa" w:w="7307"/>
          </w:tcPr>
          <w:p>
            <w:pPr>
              <w:spacing w:after="20"/>
            </w:pPr>
            <w:r/>
            <w:r>
              <w:rPr>
                <w:sz w:val="19"/>
              </w:rPr>
              <w:t>Every Monday in the validation/test range</w:t>
            </w:r>
          </w:p>
        </w:tc>
      </w:tr>
      <w:tr>
        <w:tc>
          <w:tcPr>
            <w:tcW w:type="dxa" w:w="2331"/>
            <w:shd w:val="clear" w:color="auto" w:fill="F2F5F9"/>
          </w:tcPr>
          <w:p>
            <w:pPr>
              <w:spacing w:after="20"/>
            </w:pPr>
            <w:r/>
            <w:r>
              <w:rPr>
                <w:sz w:val="19"/>
              </w:rPr>
              <w:t>Horizons</w:t>
            </w:r>
          </w:p>
        </w:tc>
        <w:tc>
          <w:tcPr>
            <w:tcW w:type="dxa" w:w="7307"/>
            <w:shd w:val="clear" w:color="auto" w:fill="F2F5F9"/>
          </w:tcPr>
          <w:p>
            <w:pPr>
              <w:spacing w:after="20"/>
            </w:pPr>
            <w:r/>
            <w:r>
              <w:rPr>
                <w:sz w:val="19"/>
              </w:rPr>
              <w:t>h = 1–3 weeks (cumulative protection interval); 4–10 weeks for festival pre-build (aligned with §17)</w:t>
            </w:r>
          </w:p>
        </w:tc>
      </w:tr>
      <w:tr>
        <w:tc>
          <w:tcPr>
            <w:tcW w:type="dxa" w:w="2331"/>
          </w:tcPr>
          <w:p>
            <w:pPr>
              <w:spacing w:after="20"/>
            </w:pPr>
            <w:r/>
            <w:r>
              <w:rPr>
                <w:sz w:val="19"/>
              </w:rPr>
              <w:t>Training window</w:t>
            </w:r>
          </w:p>
        </w:tc>
        <w:tc>
          <w:tcPr>
            <w:tcW w:type="dxa" w:w="7307"/>
          </w:tcPr>
          <w:p>
            <w:pPr>
              <w:spacing w:after="20"/>
            </w:pPr>
            <w:r/>
            <w:r>
              <w:rPr>
                <w:sz w:val="19"/>
              </w:rPr>
              <w:t>Expanding for GBM (all history up to origin); sliding option tested for drift (E-series)</w:t>
            </w:r>
          </w:p>
        </w:tc>
      </w:tr>
      <w:tr>
        <w:tc>
          <w:tcPr>
            <w:tcW w:type="dxa" w:w="2331"/>
            <w:shd w:val="clear" w:color="auto" w:fill="F2F5F9"/>
          </w:tcPr>
          <w:p>
            <w:pPr>
              <w:spacing w:after="20"/>
            </w:pPr>
            <w:r/>
            <w:r>
              <w:rPr>
                <w:sz w:val="19"/>
              </w:rPr>
              <w:t>Retraining cadence tested</w:t>
            </w:r>
          </w:p>
        </w:tc>
        <w:tc>
          <w:tcPr>
            <w:tcW w:type="dxa" w:w="7307"/>
            <w:shd w:val="clear" w:color="auto" w:fill="F2F5F9"/>
          </w:tcPr>
          <w:p>
            <w:pPr>
              <w:spacing w:after="20"/>
            </w:pPr>
            <w:r/>
            <w:r>
              <w:rPr>
                <w:sz w:val="19"/>
              </w:rPr>
              <w:t>Weekly refit vs monthly vs quarterly (cost/benefit)</w:t>
            </w:r>
          </w:p>
        </w:tc>
      </w:tr>
      <w:tr>
        <w:tc>
          <w:tcPr>
            <w:tcW w:type="dxa" w:w="2331"/>
          </w:tcPr>
          <w:p>
            <w:pPr>
              <w:spacing w:after="20"/>
            </w:pPr>
            <w:r/>
            <w:r>
              <w:rPr>
                <w:sz w:val="19"/>
              </w:rPr>
              <w:t>Gap/embargo</w:t>
            </w:r>
          </w:p>
        </w:tc>
        <w:tc>
          <w:tcPr>
            <w:tcW w:type="dxa" w:w="7307"/>
          </w:tcPr>
          <w:p>
            <w:pPr>
              <w:spacing w:after="20"/>
            </w:pPr>
            <w:r/>
            <w:r>
              <w:rPr>
                <w:sz w:val="19"/>
              </w:rPr>
              <w:t>No gap needed for features built from data ≤ Sunday; target windows may overlap origins, so evaluation uses the window after the origin only; features are never computed with data after the origin</w:t>
            </w:r>
          </w:p>
        </w:tc>
      </w:tr>
      <w:tr>
        <w:tc>
          <w:tcPr>
            <w:tcW w:type="dxa" w:w="2331"/>
            <w:shd w:val="clear" w:color="auto" w:fill="F2F5F9"/>
          </w:tcPr>
          <w:p>
            <w:pPr>
              <w:spacing w:after="20"/>
            </w:pPr>
            <w:r/>
            <w:r>
              <w:rPr>
                <w:sz w:val="19"/>
              </w:rPr>
              <w:t>Data vintage</w:t>
            </w:r>
          </w:p>
        </w:tc>
        <w:tc>
          <w:tcPr>
            <w:tcW w:type="dxa" w:w="7307"/>
            <w:shd w:val="clear" w:color="auto" w:fill="F2F5F9"/>
          </w:tcPr>
          <w:p>
            <w:pPr>
              <w:spacing w:after="20"/>
            </w:pPr>
            <w:r/>
            <w:r>
              <w:rPr>
                <w:sz w:val="19"/>
              </w:rPr>
              <w:t>Point-in-time: promo calendar version as-of order date; POS as-of Sunday (late bills/returns handled as the system would have seen them)</w:t>
            </w:r>
          </w:p>
        </w:tc>
      </w:tr>
      <w:tr>
        <w:tc>
          <w:tcPr>
            <w:tcW w:type="dxa" w:w="2331"/>
          </w:tcPr>
          <w:p>
            <w:pPr>
              <w:spacing w:after="20"/>
            </w:pPr>
            <w:r/>
            <w:r>
              <w:rPr>
                <w:sz w:val="19"/>
              </w:rPr>
              <w:t>Seasonal coverage</w:t>
            </w:r>
          </w:p>
        </w:tc>
        <w:tc>
          <w:tcPr>
            <w:tcW w:type="dxa" w:w="7307"/>
          </w:tcPr>
          <w:p>
            <w:pPr>
              <w:spacing w:after="20"/>
            </w:pPr>
            <w:r/>
            <w:r>
              <w:rPr>
                <w:sz w:val="19"/>
              </w:rPr>
              <w:t>Validation must cover all months at least once; festival strata evaluated separately</w:t>
            </w:r>
          </w:p>
        </w:tc>
      </w:tr>
      <w:tr>
        <w:tc>
          <w:tcPr>
            <w:tcW w:type="dxa" w:w="2331"/>
            <w:shd w:val="clear" w:color="auto" w:fill="F2F5F9"/>
          </w:tcPr>
          <w:p>
            <w:pPr>
              <w:spacing w:after="20"/>
            </w:pPr>
            <w:r/>
            <w:r>
              <w:rPr>
                <w:sz w:val="19"/>
              </w:rPr>
              <w:t>Locked test</w:t>
            </w:r>
          </w:p>
        </w:tc>
        <w:tc>
          <w:tcPr>
            <w:tcW w:type="dxa" w:w="7307"/>
            <w:shd w:val="clear" w:color="auto" w:fill="F2F5F9"/>
          </w:tcPr>
          <w:p>
            <w:pPr>
              <w:spacing w:after="20"/>
            </w:pPr>
            <w:r/>
            <w:r>
              <w:rPr>
                <w:sz w:val="19"/>
              </w:rPr>
              <w:t xml:space="preserve">Latest ~13–26 weeks </w:t>
            </w:r>
            <w:r>
              <w:rPr>
                <w:b/>
                <w:color w:val="C0392B"/>
                <w:sz w:val="19"/>
              </w:rPr>
              <w:t>[TBD once data end date and festival positions are known]</w:t>
            </w:r>
            <w:r>
              <w:rPr>
                <w:sz w:val="19"/>
              </w:rPr>
              <w:t>, reserved before modelling; a shorter test leaves more training data for festival learning; at least one major festival should fall in validation or test</w:t>
            </w:r>
          </w:p>
        </w:tc>
      </w:tr>
    </w:tbl>
    <w:p>
      <w:pPr>
        <w:spacing w:after="40"/>
      </w:pPr>
    </w:p>
    <w:p>
      <w:pPr>
        <w:shd w:val="clear" w:color="auto" w:fill="F4F4F4"/>
        <w:spacing w:after="120"/>
      </w:pPr>
      <w:r>
        <w:rPr>
          <w:rFonts w:ascii="Consolas" w:hAnsi="Consolas" w:eastAsia="Consolas"/>
          <w:sz w:val="16"/>
        </w:rPr>
        <w:t>time -&gt;</w:t>
        <w:br/>
      </w:r>
      <w:r>
        <w:rPr>
          <w:rFonts w:ascii="Consolas" w:hAnsi="Consolas" w:eastAsia="Consolas"/>
          <w:sz w:val="16"/>
        </w:rPr>
        <w:t>|&lt;------------- training (expanding) -------------&gt;|&lt;-- val origins (weekly) --&gt;|&lt;-- LOCKED TEST --&gt;|</w:t>
        <w:br/>
      </w:r>
      <w:r>
        <w:rPr>
          <w:rFonts w:ascii="Consolas" w:hAnsi="Consolas" w:eastAsia="Consolas"/>
          <w:sz w:val="16"/>
        </w:rPr>
        <w:t xml:space="preserve"> start of history ...................................   ~26 wks             ~26 wks   (sizes provisional)</w:t>
        <w:br/>
      </w:r>
      <w:r>
        <w:rPr>
          <w:rFonts w:ascii="Consolas" w:hAnsi="Consolas" w:eastAsia="Consolas"/>
          <w:sz w:val="16"/>
        </w:rPr>
        <w:t>Festival backtests: origins 1–10 weeks before festival F(y-1), F(y-2)  [trained only on data before origin]</w:t>
        <w:br/>
      </w:r>
      <w:r>
        <w:rPr>
          <w:rFonts w:ascii="Consolas" w:hAnsi="Consolas" w:eastAsia="Consolas"/>
          <w:sz w:val="16"/>
        </w:rPr>
        <w:t>Cold-start check: new SKUs/stores held out as groups from first listing</w:t>
      </w:r>
    </w:p>
    <w:p>
      <w:r>
        <w:rPr>
          <w:b/>
        </w:rPr>
        <w:t>Promotion endogeneity:</w:t>
      </w:r>
      <w:r>
        <w:rPr/>
        <w:t xml:space="preserve"> promotions are chosen by the category team in anticipation of demand, so promo coefficients are associations; no lift claims are made (AN4 would need its own design).</w:t>
      </w:r>
    </w:p>
    <w:p>
      <w:r>
        <w:rPr>
          <w:b/>
        </w:rPr>
        <w:t>Known limitation:</w:t>
      </w:r>
      <w:r>
        <w:rPr/>
        <w:t xml:space="preserve"> with ~3 years, a backtest on a given festival is trained on 0–2 earlier occurrences of it (the earliest festival cannot be backtested). Results for festival windows are therefore high-variance; we report them with intervals and by festival, and rely on cross-SKU/store pooling and category-level festival indices to stabilise estimates.</w:t>
      </w:r>
    </w:p>
    <w:p>
      <w:r>
        <w:rPr>
          <w:b/>
        </w:rPr>
        <w:t>Split hygiene.</w:t>
      </w:r>
      <w:r>
        <w:rPr/>
        <w:t xml:space="preserve"> No random splits; all transformers (scaling, encoders, velocity classes, imputation, festival indices) fitted on training windows only; one frozen test; test-set access log; split definitions versioned; duplicates in POS removed before aggregation; no tuning on test.</w:t>
      </w:r>
    </w:p>
    <w:p>
      <w:pPr>
        <w:pStyle w:val="Heading2"/>
      </w:pPr>
      <w:r>
        <w:rPr/>
        <w:t>13. Leakage Audit Checklist</w:t>
      </w:r>
    </w:p>
    <w:tbl>
      <w:tblPr>
        <w:tblStyle w:val="TableGrid"/>
        <w:tblW w:type="auto" w:w="0"/>
        <w:jc w:val="center"/>
        <w:tblLayout w:type="fixed"/>
        <w:tblLook w:firstColumn="1" w:firstRow="1" w:lastColumn="0" w:lastRow="0" w:noHBand="0" w:noVBand="1" w:val="04A0"/>
        <w:tblLayout w:type="fixed"/>
      </w:tblPr>
      <w:tblGrid>
        <w:gridCol w:w="2130"/>
        <w:gridCol w:w="1019"/>
        <w:gridCol w:w="2662"/>
        <w:gridCol w:w="2198"/>
        <w:gridCol w:w="1629"/>
      </w:tblGrid>
      <w:tr>
        <w:trPr>
          <w:tblHeader w:val="true"/>
        </w:trPr>
        <w:tc>
          <w:tcPr>
            <w:tcW w:type="dxa" w:w="2130"/>
            <w:shd w:val="clear" w:color="auto" w:fill="1F3A5F"/>
          </w:tcPr>
          <w:p>
            <w:r/>
            <w:r>
              <w:rPr>
                <w:b/>
                <w:color w:val="FFFFFF"/>
                <w:sz w:val="17"/>
              </w:rPr>
              <w:t>Risk</w:t>
            </w:r>
          </w:p>
        </w:tc>
        <w:tc>
          <w:tcPr>
            <w:tcW w:type="dxa" w:w="1019"/>
            <w:shd w:val="clear" w:color="auto" w:fill="1F3A5F"/>
          </w:tcPr>
          <w:p>
            <w:r/>
            <w:r>
              <w:rPr>
                <w:b/>
                <w:color w:val="FFFFFF"/>
                <w:sz w:val="17"/>
              </w:rPr>
              <w:t>Applies?</w:t>
            </w:r>
          </w:p>
        </w:tc>
        <w:tc>
          <w:tcPr>
            <w:tcW w:type="dxa" w:w="2662"/>
            <w:shd w:val="clear" w:color="auto" w:fill="1F3A5F"/>
          </w:tcPr>
          <w:p>
            <w:r/>
            <w:r>
              <w:rPr>
                <w:b/>
                <w:color w:val="FFFFFF"/>
                <w:sz w:val="17"/>
              </w:rPr>
              <w:t>Where it could occur in this case</w:t>
            </w:r>
          </w:p>
        </w:tc>
        <w:tc>
          <w:tcPr>
            <w:tcW w:type="dxa" w:w="2198"/>
            <w:shd w:val="clear" w:color="auto" w:fill="1F3A5F"/>
          </w:tcPr>
          <w:p>
            <w:r/>
            <w:r>
              <w:rPr>
                <w:b/>
                <w:color w:val="FFFFFF"/>
                <w:sz w:val="17"/>
              </w:rPr>
              <w:t>Mitigation</w:t>
            </w:r>
          </w:p>
        </w:tc>
        <w:tc>
          <w:tcPr>
            <w:tcW w:type="dxa" w:w="1629"/>
            <w:shd w:val="clear" w:color="auto" w:fill="1F3A5F"/>
          </w:tcPr>
          <w:p>
            <w:r/>
            <w:r>
              <w:rPr>
                <w:b/>
                <w:color w:val="FFFFFF"/>
                <w:sz w:val="17"/>
              </w:rPr>
              <w:t>Owner</w:t>
            </w:r>
          </w:p>
        </w:tc>
      </w:tr>
      <w:tr>
        <w:tc>
          <w:tcPr>
            <w:tcW w:type="dxa" w:w="2130"/>
          </w:tcPr>
          <w:p>
            <w:pPr>
              <w:spacing w:after="20"/>
            </w:pPr>
            <w:r/>
            <w:r>
              <w:rPr>
                <w:sz w:val="17"/>
              </w:rPr>
              <w:t>Future promotions/prices as features</w:t>
            </w:r>
          </w:p>
        </w:tc>
        <w:tc>
          <w:tcPr>
            <w:tcW w:type="dxa" w:w="1019"/>
          </w:tcPr>
          <w:p>
            <w:pPr>
              <w:spacing w:after="20"/>
            </w:pPr>
            <w:r/>
            <w:r>
              <w:rPr>
                <w:b/>
                <w:sz w:val="17"/>
              </w:rPr>
              <w:t>Yes (high)</w:t>
            </w:r>
          </w:p>
        </w:tc>
        <w:tc>
          <w:tcPr>
            <w:tcW w:type="dxa" w:w="2662"/>
          </w:tcPr>
          <w:p>
            <w:pPr>
              <w:spacing w:after="20"/>
            </w:pPr>
            <w:r/>
            <w:r>
              <w:rPr>
                <w:sz w:val="17"/>
              </w:rPr>
              <w:t>Final or revised promo calendar used for past orders</w:t>
            </w:r>
          </w:p>
        </w:tc>
        <w:tc>
          <w:tcPr>
            <w:tcW w:type="dxa" w:w="2198"/>
          </w:tcPr>
          <w:p>
            <w:pPr>
              <w:spacing w:after="20"/>
            </w:pPr>
            <w:r/>
            <w:r>
              <w:rPr>
                <w:sz w:val="17"/>
              </w:rPr>
              <w:t>As-of-cutoff promo versions; EX5 'final vs as-of' leak test</w:t>
            </w:r>
          </w:p>
        </w:tc>
        <w:tc>
          <w:tcPr>
            <w:tcW w:type="dxa" w:w="1629"/>
          </w:tcPr>
          <w:p>
            <w:pPr>
              <w:spacing w:after="20"/>
            </w:pPr>
            <w:r/>
            <w:r>
              <w:rPr>
                <w:sz w:val="17"/>
              </w:rPr>
              <w:t>DS + category team</w:t>
            </w:r>
          </w:p>
        </w:tc>
      </w:tr>
      <w:tr>
        <w:tc>
          <w:tcPr>
            <w:tcW w:type="dxa" w:w="2130"/>
            <w:shd w:val="clear" w:color="auto" w:fill="F2F5F9"/>
          </w:tcPr>
          <w:p>
            <w:pPr>
              <w:spacing w:after="20"/>
            </w:pPr>
            <w:r/>
            <w:r>
              <w:rPr>
                <w:sz w:val="17"/>
              </w:rPr>
              <w:t>Target leakage via post-order information</w:t>
            </w:r>
          </w:p>
        </w:tc>
        <w:tc>
          <w:tcPr>
            <w:tcW w:type="dxa" w:w="1019"/>
            <w:shd w:val="clear" w:color="auto" w:fill="F2F5F9"/>
          </w:tcPr>
          <w:p>
            <w:pPr>
              <w:spacing w:after="20"/>
            </w:pPr>
            <w:r/>
            <w:r>
              <w:rPr>
                <w:sz w:val="17"/>
              </w:rPr>
              <w:t>Yes</w:t>
            </w:r>
          </w:p>
        </w:tc>
        <w:tc>
          <w:tcPr>
            <w:tcW w:type="dxa" w:w="2662"/>
            <w:shd w:val="clear" w:color="auto" w:fill="F2F5F9"/>
          </w:tcPr>
          <w:p>
            <w:pPr>
              <w:spacing w:after="20"/>
            </w:pPr>
            <w:r/>
            <w:r>
              <w:rPr>
                <w:sz w:val="17"/>
              </w:rPr>
              <w:t>Features using sales/stock after the Monday order (e.g. same-week sales)</w:t>
            </w:r>
          </w:p>
        </w:tc>
        <w:tc>
          <w:tcPr>
            <w:tcW w:type="dxa" w:w="2198"/>
            <w:shd w:val="clear" w:color="auto" w:fill="F2F5F9"/>
          </w:tcPr>
          <w:p>
            <w:pPr>
              <w:spacing w:after="20"/>
            </w:pPr>
            <w:r/>
            <w:r>
              <w:rPr>
                <w:sz w:val="17"/>
              </w:rPr>
              <w:t>Strict origin-based feature builder; unit tests on timestamps</w:t>
            </w:r>
          </w:p>
        </w:tc>
        <w:tc>
          <w:tcPr>
            <w:tcW w:type="dxa" w:w="1629"/>
            <w:shd w:val="clear" w:color="auto" w:fill="F2F5F9"/>
          </w:tcPr>
          <w:p>
            <w:pPr>
              <w:spacing w:after="20"/>
            </w:pPr>
            <w:r/>
            <w:r>
              <w:rPr>
                <w:sz w:val="17"/>
              </w:rPr>
              <w:t>DS</w:t>
            </w:r>
          </w:p>
        </w:tc>
      </w:tr>
      <w:tr>
        <w:tc>
          <w:tcPr>
            <w:tcW w:type="dxa" w:w="2130"/>
          </w:tcPr>
          <w:p>
            <w:pPr>
              <w:spacing w:after="20"/>
            </w:pPr>
            <w:r/>
            <w:r>
              <w:rPr>
                <w:sz w:val="17"/>
              </w:rPr>
              <w:t>Preprocessing outside folds</w:t>
            </w:r>
          </w:p>
        </w:tc>
        <w:tc>
          <w:tcPr>
            <w:tcW w:type="dxa" w:w="1019"/>
          </w:tcPr>
          <w:p>
            <w:pPr>
              <w:spacing w:after="20"/>
            </w:pPr>
            <w:r/>
            <w:r>
              <w:rPr>
                <w:sz w:val="17"/>
              </w:rPr>
              <w:t>Yes</w:t>
            </w:r>
          </w:p>
        </w:tc>
        <w:tc>
          <w:tcPr>
            <w:tcW w:type="dxa" w:w="2662"/>
          </w:tcPr>
          <w:p>
            <w:pPr>
              <w:spacing w:after="20"/>
            </w:pPr>
            <w:r/>
            <w:r>
              <w:rPr>
                <w:sz w:val="17"/>
              </w:rPr>
              <w:t>Velocity class, scaling, festival indices, imputation computed on full history</w:t>
            </w:r>
          </w:p>
        </w:tc>
        <w:tc>
          <w:tcPr>
            <w:tcW w:type="dxa" w:w="2198"/>
          </w:tcPr>
          <w:p>
            <w:pPr>
              <w:spacing w:after="20"/>
            </w:pPr>
            <w:r/>
            <w:r>
              <w:rPr>
                <w:sz w:val="17"/>
              </w:rPr>
              <w:t>Fit in-fold; recompute per origin</w:t>
            </w:r>
          </w:p>
        </w:tc>
        <w:tc>
          <w:tcPr>
            <w:tcW w:type="dxa" w:w="1629"/>
          </w:tcPr>
          <w:p>
            <w:pPr>
              <w:spacing w:after="20"/>
            </w:pPr>
            <w:r/>
            <w:r>
              <w:rPr>
                <w:sz w:val="17"/>
              </w:rPr>
              <w:t>DS</w:t>
            </w:r>
          </w:p>
        </w:tc>
      </w:tr>
      <w:tr>
        <w:tc>
          <w:tcPr>
            <w:tcW w:type="dxa" w:w="2130"/>
            <w:shd w:val="clear" w:color="auto" w:fill="F2F5F9"/>
          </w:tcPr>
          <w:p>
            <w:pPr>
              <w:spacing w:after="20"/>
            </w:pPr>
            <w:r/>
            <w:r>
              <w:rPr>
                <w:sz w:val="17"/>
              </w:rPr>
              <w:t>Censoring / selective labels</w:t>
            </w:r>
          </w:p>
        </w:tc>
        <w:tc>
          <w:tcPr>
            <w:tcW w:type="dxa" w:w="1019"/>
            <w:shd w:val="clear" w:color="auto" w:fill="F2F5F9"/>
          </w:tcPr>
          <w:p>
            <w:pPr>
              <w:spacing w:after="20"/>
            </w:pPr>
            <w:r/>
            <w:r>
              <w:rPr>
                <w:sz w:val="17"/>
              </w:rPr>
              <w:t>Yes</w:t>
            </w:r>
          </w:p>
        </w:tc>
        <w:tc>
          <w:tcPr>
            <w:tcW w:type="dxa" w:w="2662"/>
            <w:shd w:val="clear" w:color="auto" w:fill="F2F5F9"/>
          </w:tcPr>
          <w:p>
            <w:pPr>
              <w:spacing w:after="20"/>
            </w:pPr>
            <w:r/>
            <w:r>
              <w:rPr>
                <w:sz w:val="17"/>
              </w:rPr>
              <w:t>Demand observed only when stocked; past recommendations influence stock</w:t>
            </w:r>
          </w:p>
        </w:tc>
        <w:tc>
          <w:tcPr>
            <w:tcW w:type="dxa" w:w="2198"/>
            <w:shd w:val="clear" w:color="auto" w:fill="F2F5F9"/>
          </w:tcPr>
          <w:p>
            <w:pPr>
              <w:spacing w:after="20"/>
            </w:pPr>
            <w:r/>
            <w:r>
              <w:rPr>
                <w:sz w:val="17"/>
              </w:rPr>
              <w:t>Availability flags; X6; monitor feedback loop</w:t>
            </w:r>
          </w:p>
        </w:tc>
        <w:tc>
          <w:tcPr>
            <w:tcW w:type="dxa" w:w="1629"/>
            <w:shd w:val="clear" w:color="auto" w:fill="F2F5F9"/>
          </w:tcPr>
          <w:p>
            <w:pPr>
              <w:spacing w:after="20"/>
            </w:pPr>
            <w:r/>
            <w:r>
              <w:rPr>
                <w:sz w:val="17"/>
              </w:rPr>
              <w:t>DS + supply chain</w:t>
            </w:r>
          </w:p>
        </w:tc>
      </w:tr>
      <w:tr>
        <w:tc>
          <w:tcPr>
            <w:tcW w:type="dxa" w:w="2130"/>
          </w:tcPr>
          <w:p>
            <w:pPr>
              <w:spacing w:after="20"/>
            </w:pPr>
            <w:r/>
            <w:r>
              <w:rPr>
                <w:sz w:val="17"/>
              </w:rPr>
              <w:t>Last-year same-festival features</w:t>
            </w:r>
          </w:p>
        </w:tc>
        <w:tc>
          <w:tcPr>
            <w:tcW w:type="dxa" w:w="1019"/>
          </w:tcPr>
          <w:p>
            <w:pPr>
              <w:spacing w:after="20"/>
            </w:pPr>
            <w:r/>
            <w:r>
              <w:rPr>
                <w:sz w:val="17"/>
              </w:rPr>
              <w:t>Yes</w:t>
            </w:r>
          </w:p>
        </w:tc>
        <w:tc>
          <w:tcPr>
            <w:tcW w:type="dxa" w:w="2662"/>
          </w:tcPr>
          <w:p>
            <w:pPr>
              <w:spacing w:after="20"/>
            </w:pPr>
            <w:r/>
            <w:r>
              <w:rPr>
                <w:sz w:val="17"/>
              </w:rPr>
              <w:t>'Last year uplift' computed using future years when backtesting</w:t>
            </w:r>
          </w:p>
        </w:tc>
        <w:tc>
          <w:tcPr>
            <w:tcW w:type="dxa" w:w="2198"/>
          </w:tcPr>
          <w:p>
            <w:pPr>
              <w:spacing w:after="20"/>
            </w:pPr>
            <w:r/>
            <w:r>
              <w:rPr>
                <w:sz w:val="17"/>
              </w:rPr>
              <w:t>Compute only from years before the origin</w:t>
            </w:r>
          </w:p>
        </w:tc>
        <w:tc>
          <w:tcPr>
            <w:tcW w:type="dxa" w:w="1629"/>
          </w:tcPr>
          <w:p>
            <w:pPr>
              <w:spacing w:after="20"/>
            </w:pPr>
            <w:r/>
            <w:r>
              <w:rPr>
                <w:sz w:val="17"/>
              </w:rPr>
              <w:t>DS</w:t>
            </w:r>
          </w:p>
        </w:tc>
      </w:tr>
      <w:tr>
        <w:tc>
          <w:tcPr>
            <w:tcW w:type="dxa" w:w="2130"/>
            <w:shd w:val="clear" w:color="auto" w:fill="F2F5F9"/>
          </w:tcPr>
          <w:p>
            <w:pPr>
              <w:spacing w:after="20"/>
            </w:pPr>
            <w:r/>
            <w:r>
              <w:rPr>
                <w:sz w:val="17"/>
              </w:rPr>
              <w:t>Retail-calendar misalignment</w:t>
            </w:r>
          </w:p>
        </w:tc>
        <w:tc>
          <w:tcPr>
            <w:tcW w:type="dxa" w:w="1019"/>
            <w:shd w:val="clear" w:color="auto" w:fill="F2F5F9"/>
          </w:tcPr>
          <w:p>
            <w:pPr>
              <w:spacing w:after="20"/>
            </w:pPr>
            <w:r/>
            <w:r>
              <w:rPr>
                <w:sz w:val="17"/>
              </w:rPr>
              <w:t>Yes</w:t>
            </w:r>
          </w:p>
        </w:tc>
        <w:tc>
          <w:tcPr>
            <w:tcW w:type="dxa" w:w="2662"/>
            <w:shd w:val="clear" w:color="auto" w:fill="F2F5F9"/>
          </w:tcPr>
          <w:p>
            <w:pPr>
              <w:spacing w:after="20"/>
            </w:pPr>
            <w:r/>
            <w:r>
              <w:rPr>
                <w:sz w:val="17"/>
              </w:rPr>
              <w:t>Moving festivals; 4-4-5 vs ISO weeks</w:t>
            </w:r>
          </w:p>
        </w:tc>
        <w:tc>
          <w:tcPr>
            <w:tcW w:type="dxa" w:w="2198"/>
            <w:shd w:val="clear" w:color="auto" w:fill="F2F5F9"/>
          </w:tcPr>
          <w:p>
            <w:pPr>
              <w:spacing w:after="20"/>
            </w:pPr>
            <w:r/>
            <w:r>
              <w:rPr>
                <w:sz w:val="17"/>
              </w:rPr>
              <w:t>Single calendar table; date-level tests</w:t>
            </w:r>
          </w:p>
        </w:tc>
        <w:tc>
          <w:tcPr>
            <w:tcW w:type="dxa" w:w="1629"/>
            <w:shd w:val="clear" w:color="auto" w:fill="F2F5F9"/>
          </w:tcPr>
          <w:p>
            <w:pPr>
              <w:spacing w:after="20"/>
            </w:pPr>
            <w:r/>
            <w:r>
              <w:rPr>
                <w:sz w:val="17"/>
              </w:rPr>
              <w:t>DS</w:t>
            </w:r>
          </w:p>
        </w:tc>
      </w:tr>
      <w:tr>
        <w:tc>
          <w:tcPr>
            <w:tcW w:type="dxa" w:w="2130"/>
          </w:tcPr>
          <w:p>
            <w:pPr>
              <w:spacing w:after="20"/>
            </w:pPr>
            <w:r/>
            <w:r>
              <w:rPr>
                <w:sz w:val="17"/>
              </w:rPr>
              <w:t>Restated sales / returns</w:t>
            </w:r>
          </w:p>
        </w:tc>
        <w:tc>
          <w:tcPr>
            <w:tcW w:type="dxa" w:w="1019"/>
          </w:tcPr>
          <w:p>
            <w:pPr>
              <w:spacing w:after="20"/>
            </w:pPr>
            <w:r/>
            <w:r>
              <w:rPr>
                <w:sz w:val="17"/>
              </w:rPr>
              <w:t>Yes</w:t>
            </w:r>
          </w:p>
        </w:tc>
        <w:tc>
          <w:tcPr>
            <w:tcW w:type="dxa" w:w="2662"/>
          </w:tcPr>
          <w:p>
            <w:pPr>
              <w:spacing w:after="20"/>
            </w:pPr>
            <w:r/>
            <w:r>
              <w:rPr>
                <w:sz w:val="17"/>
              </w:rPr>
              <w:t>Returns netted after the fact change past targets</w:t>
            </w:r>
          </w:p>
        </w:tc>
        <w:tc>
          <w:tcPr>
            <w:tcW w:type="dxa" w:w="2198"/>
          </w:tcPr>
          <w:p>
            <w:pPr>
              <w:spacing w:after="20"/>
            </w:pPr>
            <w:r/>
            <w:r>
              <w:rPr>
                <w:sz w:val="17"/>
              </w:rPr>
              <w:t>Use as-of snapshots or fixed lag for 'settled' sales</w:t>
            </w:r>
          </w:p>
        </w:tc>
        <w:tc>
          <w:tcPr>
            <w:tcW w:type="dxa" w:w="1629"/>
          </w:tcPr>
          <w:p>
            <w:pPr>
              <w:spacing w:after="20"/>
            </w:pPr>
            <w:r/>
            <w:r>
              <w:rPr>
                <w:sz w:val="17"/>
              </w:rPr>
              <w:t>Client IT</w:t>
            </w:r>
          </w:p>
        </w:tc>
      </w:tr>
      <w:tr>
        <w:tc>
          <w:tcPr>
            <w:tcW w:type="dxa" w:w="2130"/>
            <w:shd w:val="clear" w:color="auto" w:fill="F2F5F9"/>
          </w:tcPr>
          <w:p>
            <w:pPr>
              <w:spacing w:after="20"/>
            </w:pPr>
            <w:r/>
            <w:r>
              <w:rPr>
                <w:sz w:val="17"/>
              </w:rPr>
              <w:t>New/discontinued item survivorship</w:t>
            </w:r>
          </w:p>
        </w:tc>
        <w:tc>
          <w:tcPr>
            <w:tcW w:type="dxa" w:w="1019"/>
            <w:shd w:val="clear" w:color="auto" w:fill="F2F5F9"/>
          </w:tcPr>
          <w:p>
            <w:pPr>
              <w:spacing w:after="20"/>
            </w:pPr>
            <w:r/>
            <w:r>
              <w:rPr>
                <w:sz w:val="17"/>
              </w:rPr>
              <w:t>Yes</w:t>
            </w:r>
          </w:p>
        </w:tc>
        <w:tc>
          <w:tcPr>
            <w:tcW w:type="dxa" w:w="2662"/>
            <w:shd w:val="clear" w:color="auto" w:fill="F2F5F9"/>
          </w:tcPr>
          <w:p>
            <w:pPr>
              <w:spacing w:after="20"/>
            </w:pPr>
            <w:r/>
            <w:r>
              <w:rPr>
                <w:sz w:val="17"/>
              </w:rPr>
              <w:t>Only items alive today appear in the master</w:t>
            </w:r>
          </w:p>
        </w:tc>
        <w:tc>
          <w:tcPr>
            <w:tcW w:type="dxa" w:w="2198"/>
            <w:shd w:val="clear" w:color="auto" w:fill="F2F5F9"/>
          </w:tcPr>
          <w:p>
            <w:pPr>
              <w:spacing w:after="20"/>
            </w:pPr>
            <w:r/>
            <w:r>
              <w:rPr>
                <w:sz w:val="17"/>
              </w:rPr>
              <w:t>Reconstruct SKU listing history; include delisted SKUs</w:t>
            </w:r>
          </w:p>
        </w:tc>
        <w:tc>
          <w:tcPr>
            <w:tcW w:type="dxa" w:w="1629"/>
            <w:shd w:val="clear" w:color="auto" w:fill="F2F5F9"/>
          </w:tcPr>
          <w:p>
            <w:pPr>
              <w:spacing w:after="20"/>
            </w:pPr>
            <w:r/>
            <w:r>
              <w:rPr>
                <w:sz w:val="17"/>
              </w:rPr>
              <w:t>DS + merchandising</w:t>
            </w:r>
          </w:p>
        </w:tc>
      </w:tr>
      <w:tr>
        <w:tc>
          <w:tcPr>
            <w:tcW w:type="dxa" w:w="2130"/>
          </w:tcPr>
          <w:p>
            <w:pPr>
              <w:spacing w:after="20"/>
            </w:pPr>
            <w:r/>
            <w:r>
              <w:rPr>
                <w:sz w:val="17"/>
              </w:rPr>
              <w:t>Entity overlap across splits</w:t>
            </w:r>
          </w:p>
        </w:tc>
        <w:tc>
          <w:tcPr>
            <w:tcW w:type="dxa" w:w="1019"/>
          </w:tcPr>
          <w:p>
            <w:pPr>
              <w:spacing w:after="20"/>
            </w:pPr>
            <w:r/>
            <w:r>
              <w:rPr>
                <w:sz w:val="17"/>
              </w:rPr>
              <w:t>Partly</w:t>
            </w:r>
          </w:p>
        </w:tc>
        <w:tc>
          <w:tcPr>
            <w:tcW w:type="dxa" w:w="2662"/>
          </w:tcPr>
          <w:p>
            <w:pPr>
              <w:spacing w:after="20"/>
            </w:pPr>
            <w:r/>
            <w:r>
              <w:rPr>
                <w:sz w:val="17"/>
              </w:rPr>
              <w:t>Same SKU/store appears in train and test (expected for returning series)</w:t>
            </w:r>
          </w:p>
        </w:tc>
        <w:tc>
          <w:tcPr>
            <w:tcW w:type="dxa" w:w="2198"/>
          </w:tcPr>
          <w:p>
            <w:pPr>
              <w:spacing w:after="20"/>
            </w:pPr>
            <w:r/>
            <w:r>
              <w:rPr>
                <w:sz w:val="17"/>
              </w:rPr>
              <w:t>Intended; cold-start check covers new groups</w:t>
            </w:r>
          </w:p>
        </w:tc>
        <w:tc>
          <w:tcPr>
            <w:tcW w:type="dxa" w:w="1629"/>
          </w:tcPr>
          <w:p>
            <w:pPr>
              <w:spacing w:after="20"/>
            </w:pPr>
            <w:r/>
            <w:r>
              <w:rPr>
                <w:sz w:val="17"/>
              </w:rPr>
              <w:t>DS</w:t>
            </w:r>
          </w:p>
        </w:tc>
      </w:tr>
      <w:tr>
        <w:tc>
          <w:tcPr>
            <w:tcW w:type="dxa" w:w="2130"/>
            <w:shd w:val="clear" w:color="auto" w:fill="F2F5F9"/>
          </w:tcPr>
          <w:p>
            <w:pPr>
              <w:spacing w:after="20"/>
            </w:pPr>
            <w:r/>
            <w:r>
              <w:rPr>
                <w:sz w:val="17"/>
              </w:rPr>
              <w:t>Hierarchy reconciliation using future data</w:t>
            </w:r>
          </w:p>
        </w:tc>
        <w:tc>
          <w:tcPr>
            <w:tcW w:type="dxa" w:w="1019"/>
            <w:shd w:val="clear" w:color="auto" w:fill="F2F5F9"/>
          </w:tcPr>
          <w:p>
            <w:pPr>
              <w:spacing w:after="20"/>
            </w:pPr>
            <w:r/>
            <w:r>
              <w:rPr>
                <w:sz w:val="17"/>
              </w:rPr>
              <w:t>Possible</w:t>
            </w:r>
          </w:p>
        </w:tc>
        <w:tc>
          <w:tcPr>
            <w:tcW w:type="dxa" w:w="2662"/>
            <w:shd w:val="clear" w:color="auto" w:fill="F2F5F9"/>
          </w:tcPr>
          <w:p>
            <w:pPr>
              <w:spacing w:after="20"/>
            </w:pPr>
            <w:r/>
            <w:r>
              <w:rPr>
                <w:sz w:val="17"/>
              </w:rPr>
              <w:t>Reconciliation weights estimated with test residuals</w:t>
            </w:r>
          </w:p>
        </w:tc>
        <w:tc>
          <w:tcPr>
            <w:tcW w:type="dxa" w:w="2198"/>
            <w:shd w:val="clear" w:color="auto" w:fill="F2F5F9"/>
          </w:tcPr>
          <w:p>
            <w:pPr>
              <w:spacing w:after="20"/>
            </w:pPr>
            <w:r/>
            <w:r>
              <w:rPr>
                <w:sz w:val="17"/>
              </w:rPr>
              <w:t>Estimate from training residuals only</w:t>
            </w:r>
          </w:p>
        </w:tc>
        <w:tc>
          <w:tcPr>
            <w:tcW w:type="dxa" w:w="1629"/>
            <w:shd w:val="clear" w:color="auto" w:fill="F2F5F9"/>
          </w:tcPr>
          <w:p>
            <w:pPr>
              <w:spacing w:after="20"/>
            </w:pPr>
            <w:r/>
            <w:r>
              <w:rPr>
                <w:sz w:val="17"/>
              </w:rPr>
              <w:t>DS</w:t>
            </w:r>
          </w:p>
        </w:tc>
      </w:tr>
      <w:tr>
        <w:tc>
          <w:tcPr>
            <w:tcW w:type="dxa" w:w="2130"/>
          </w:tcPr>
          <w:p>
            <w:pPr>
              <w:spacing w:after="20"/>
            </w:pPr>
            <w:r/>
            <w:r>
              <w:rPr>
                <w:sz w:val="17"/>
              </w:rPr>
              <w:t>Test-set reuse / tuning on test</w:t>
            </w:r>
          </w:p>
        </w:tc>
        <w:tc>
          <w:tcPr>
            <w:tcW w:type="dxa" w:w="1019"/>
          </w:tcPr>
          <w:p>
            <w:pPr>
              <w:spacing w:after="20"/>
            </w:pPr>
            <w:r/>
            <w:r>
              <w:rPr>
                <w:sz w:val="17"/>
              </w:rPr>
              <w:t>Possible</w:t>
            </w:r>
          </w:p>
        </w:tc>
        <w:tc>
          <w:tcPr>
            <w:tcW w:type="dxa" w:w="2662"/>
          </w:tcPr>
          <w:p>
            <w:pPr>
              <w:spacing w:after="20"/>
            </w:pPr>
            <w:r/>
            <w:r>
              <w:rPr>
                <w:sz w:val="17"/>
              </w:rPr>
              <w:t>Repeated looks at final block</w:t>
            </w:r>
          </w:p>
        </w:tc>
        <w:tc>
          <w:tcPr>
            <w:tcW w:type="dxa" w:w="2198"/>
          </w:tcPr>
          <w:p>
            <w:pPr>
              <w:spacing w:after="20"/>
            </w:pPr>
            <w:r/>
            <w:r>
              <w:rPr>
                <w:sz w:val="17"/>
              </w:rPr>
              <w:t>Lock once; access log</w:t>
            </w:r>
          </w:p>
        </w:tc>
        <w:tc>
          <w:tcPr>
            <w:tcW w:type="dxa" w:w="1629"/>
          </w:tcPr>
          <w:p>
            <w:pPr>
              <w:spacing w:after="20"/>
            </w:pPr>
            <w:r/>
            <w:r>
              <w:rPr>
                <w:sz w:val="17"/>
              </w:rPr>
              <w:t>DS lead</w:t>
            </w:r>
          </w:p>
        </w:tc>
      </w:tr>
      <w:tr>
        <w:tc>
          <w:tcPr>
            <w:tcW w:type="dxa" w:w="2130"/>
            <w:shd w:val="clear" w:color="auto" w:fill="F2F5F9"/>
          </w:tcPr>
          <w:p>
            <w:pPr>
              <w:spacing w:after="20"/>
            </w:pPr>
            <w:r/>
            <w:r>
              <w:rPr>
                <w:sz w:val="17"/>
              </w:rPr>
              <w:t>Store attributes updated after the fact (size, cluster)</w:t>
            </w:r>
          </w:p>
        </w:tc>
        <w:tc>
          <w:tcPr>
            <w:tcW w:type="dxa" w:w="1019"/>
            <w:shd w:val="clear" w:color="auto" w:fill="F2F5F9"/>
          </w:tcPr>
          <w:p>
            <w:pPr>
              <w:spacing w:after="20"/>
            </w:pPr>
            <w:r/>
            <w:r>
              <w:rPr>
                <w:sz w:val="17"/>
              </w:rPr>
              <w:t>Possible</w:t>
            </w:r>
          </w:p>
        </w:tc>
        <w:tc>
          <w:tcPr>
            <w:tcW w:type="dxa" w:w="2662"/>
            <w:shd w:val="clear" w:color="auto" w:fill="F2F5F9"/>
          </w:tcPr>
          <w:p>
            <w:pPr>
              <w:spacing w:after="20"/>
            </w:pPr>
            <w:r/>
            <w:r>
              <w:rPr>
                <w:sz w:val="17"/>
              </w:rPr>
              <w:t>Current store master applied to history</w:t>
            </w:r>
          </w:p>
        </w:tc>
        <w:tc>
          <w:tcPr>
            <w:tcW w:type="dxa" w:w="2198"/>
            <w:shd w:val="clear" w:color="auto" w:fill="F2F5F9"/>
          </w:tcPr>
          <w:p>
            <w:pPr>
              <w:spacing w:after="20"/>
            </w:pPr>
            <w:r/>
            <w:r>
              <w:rPr>
                <w:sz w:val="17"/>
              </w:rPr>
              <w:t>Use dated attributes</w:t>
            </w:r>
          </w:p>
        </w:tc>
        <w:tc>
          <w:tcPr>
            <w:tcW w:type="dxa" w:w="1629"/>
            <w:shd w:val="clear" w:color="auto" w:fill="F2F5F9"/>
          </w:tcPr>
          <w:p>
            <w:pPr>
              <w:spacing w:after="20"/>
            </w:pPr>
            <w:r/>
            <w:r>
              <w:rPr>
                <w:sz w:val="17"/>
              </w:rPr>
              <w:t>Client IT</w:t>
            </w:r>
          </w:p>
        </w:tc>
      </w:tr>
      <w:tr>
        <w:tc>
          <w:tcPr>
            <w:tcW w:type="dxa" w:w="2130"/>
          </w:tcPr>
          <w:p>
            <w:pPr>
              <w:spacing w:after="20"/>
            </w:pPr>
            <w:r/>
            <w:r>
              <w:rPr>
                <w:sz w:val="17"/>
              </w:rPr>
              <w:t>Weather: observed vs forecast</w:t>
            </w:r>
          </w:p>
        </w:tc>
        <w:tc>
          <w:tcPr>
            <w:tcW w:type="dxa" w:w="1019"/>
          </w:tcPr>
          <w:p>
            <w:pPr>
              <w:spacing w:after="20"/>
            </w:pPr>
            <w:r/>
            <w:r>
              <w:rPr>
                <w:sz w:val="17"/>
              </w:rPr>
              <w:t>If used</w:t>
            </w:r>
          </w:p>
        </w:tc>
        <w:tc>
          <w:tcPr>
            <w:tcW w:type="dxa" w:w="2662"/>
          </w:tcPr>
          <w:p>
            <w:pPr>
              <w:spacing w:after="20"/>
            </w:pPr>
            <w:r/>
            <w:r>
              <w:rPr>
                <w:sz w:val="17"/>
              </w:rPr>
              <w:t>Using observed weather for the future week</w:t>
            </w:r>
          </w:p>
        </w:tc>
        <w:tc>
          <w:tcPr>
            <w:tcW w:type="dxa" w:w="2198"/>
          </w:tcPr>
          <w:p>
            <w:pPr>
              <w:spacing w:after="20"/>
            </w:pPr>
            <w:r/>
            <w:r>
              <w:rPr>
                <w:sz w:val="17"/>
              </w:rPr>
              <w:t>Use forecast snapshot or lagged observed</w:t>
            </w:r>
          </w:p>
        </w:tc>
        <w:tc>
          <w:tcPr>
            <w:tcW w:type="dxa" w:w="1629"/>
          </w:tcPr>
          <w:p>
            <w:pPr>
              <w:spacing w:after="20"/>
            </w:pPr>
            <w:r/>
            <w:r>
              <w:rPr>
                <w:sz w:val="17"/>
              </w:rPr>
              <w:t>DS</w:t>
            </w:r>
          </w:p>
        </w:tc>
      </w:tr>
    </w:tbl>
    <w:p>
      <w:pPr>
        <w:spacing w:after="40"/>
      </w:pPr>
    </w:p>
    <w:p>
      <w:r>
        <w:rPr>
          <w:b/>
        </w:rPr>
        <w:t>Robustness validations.</w:t>
      </w:r>
      <w:r>
        <w:rPr/>
        <w:t xml:space="preserve"> Time-slice stability; error by state, category, store cluster and velocity class; festival vs non-festival; promo vs non-promo; new vs established SKUs; target-shuffle sanity test; adversarial validation between training and latest period (drift); sensitivity to censoring treatment and to lead-time variation.</w:t>
      </w:r>
    </w:p>
    <w:p>
      <w:pPr>
        <w:pStyle w:val="Heading2"/>
      </w:pPr>
      <w:r>
        <w:rPr/>
        <w:t>14. Statistical Inference &amp; Causal Analysis Plan</w:t>
      </w:r>
    </w:p>
    <w:p>
      <w:r>
        <w:rPr/>
        <w:t>Only the pilot (AN3) requires inference; this section is deliberately short.</w:t>
      </w:r>
    </w:p>
    <w:p>
      <w:pPr>
        <w:pStyle w:val="ListBullet"/>
        <w:spacing w:after="40"/>
        <w:ind w:left="357" w:hanging="357"/>
      </w:pPr>
      <w:r>
        <w:rPr>
          <w:b/>
        </w:rPr>
        <w:t>Estimand:</w:t>
      </w:r>
      <w:r>
        <w:rPr/>
        <w:t xml:space="preserve"> the change in stock-out rate (and in inventory days) at pilot stores caused by using the new recommendations instead of the current process, over the pilot period.</w:t>
      </w:r>
    </w:p>
    <w:p>
      <w:pPr>
        <w:pStyle w:val="ListBullet"/>
        <w:spacing w:after="40"/>
        <w:ind w:left="357" w:hanging="357"/>
      </w:pPr>
      <w:r>
        <w:rPr>
          <w:b/>
        </w:rPr>
        <w:t>Design:</w:t>
      </w:r>
      <w:r>
        <w:rPr/>
        <w:t xml:space="preserve"> matched-store (or staggered) pilot. Select treated stores and matched control stores by format, state, volume and pre-period stock-out trend; a randomised assignment across matched pairs is preferred if operations allow it; otherwise difference-in-differences with pre-period parallel-trend checks. Festival periods should be included for both arms.</w:t>
      </w:r>
    </w:p>
    <w:p>
      <w:pPr>
        <w:pStyle w:val="ListBullet"/>
        <w:spacing w:after="40"/>
        <w:ind w:left="357" w:hanging="357"/>
      </w:pPr>
      <w:r>
        <w:rPr>
          <w:b/>
        </w:rPr>
        <w:t>Metrics (declared before launch):</w:t>
      </w:r>
      <w:r>
        <w:rPr/>
        <w:t xml:space="preserve"> primary = stock-out rate (SKU-store-days out of stock on range); guardrails = inventory days, wastage/markdown, sales value.</w:t>
      </w:r>
    </w:p>
    <w:p>
      <w:pPr>
        <w:pStyle w:val="ListBullet"/>
        <w:spacing w:after="40"/>
        <w:ind w:left="357" w:hanging="357"/>
      </w:pPr>
      <w:r>
        <w:rPr>
          <w:b/>
        </w:rPr>
        <w:t>Analysis:</w:t>
      </w:r>
      <w:r>
        <w:rPr/>
        <w:t xml:space="preserve"> DiD/mixed-effects model with store and week effects; clustered standard errors by store; effect sizes with confidence intervals; practical-significance threshold </w:t>
      </w:r>
      <w:r>
        <w:rPr>
          <w:b/>
          <w:color w:val="C0392B"/>
        </w:rPr>
        <w:t>[TBD with client]</w:t>
      </w:r>
      <w:r>
        <w:rPr/>
        <w:t>.</w:t>
      </w:r>
    </w:p>
    <w:p>
      <w:pPr>
        <w:pStyle w:val="ListBullet"/>
        <w:spacing w:after="40"/>
        <w:ind w:left="357" w:hanging="357"/>
      </w:pPr>
      <w:r>
        <w:rPr>
          <w:b/>
        </w:rPr>
        <w:t>Contamination/spillover:</w:t>
      </w:r>
      <w:r>
        <w:rPr/>
        <w:t xml:space="preserve"> treated and control stores sharing a DC or transferring stock can contaminate each other; pick controls on different DC routes where possible, record transfers, and run a sensitivity analysis excluding shared-DC pairs.</w:t>
      </w:r>
    </w:p>
    <w:p>
      <w:pPr>
        <w:pStyle w:val="ListBullet"/>
        <w:spacing w:after="40"/>
        <w:ind w:left="357" w:hanging="357"/>
      </w:pPr>
      <w:r>
        <w:rPr>
          <w:b/>
        </w:rPr>
        <w:t>Power/MDE:</w:t>
      </w:r>
      <w:r>
        <w:rPr/>
        <w:t xml:space="preserve"> cannot be calculated without historic variance of the stock-out rate; compute from the pre-period data in Discovery and size the pilot (number of stores × weeks) to reach the agreed minimum detectable effect. Agreeing the improvement margin and MDE is an exit criterion of Phase 1.</w:t>
      </w:r>
    </w:p>
    <w:p>
      <w:pPr>
        <w:pStyle w:val="ListBullet"/>
        <w:spacing w:after="40"/>
        <w:ind w:left="357" w:hanging="357"/>
      </w:pPr>
      <w:r>
        <w:rPr>
          <w:b/>
        </w:rPr>
        <w:t>Multiple testing:</w:t>
      </w:r>
      <w:r>
        <w:rPr/>
        <w:t xml:space="preserve"> one primary metric; guardrails reported descriptively or with correction; category-level slices exploratory.</w:t>
      </w:r>
    </w:p>
    <w:p>
      <w:pPr>
        <w:pStyle w:val="ListBullet"/>
        <w:spacing w:after="40"/>
        <w:ind w:left="357" w:hanging="357"/>
      </w:pPr>
      <w:r>
        <w:rPr>
          <w:b/>
        </w:rPr>
        <w:t>What this can and cannot show:</w:t>
      </w:r>
      <w:r>
        <w:rPr/>
        <w:t xml:space="preserve"> it can show whether the new process reduced stock-outs in comparable stores. It cannot attribute effects to individual features, and the forecasting model's promotion coefficients cannot be read as promotion lift (that would need a separate design, AN4).</w:t>
      </w:r>
    </w:p>
    <w:p>
      <w:pPr>
        <w:pStyle w:val="Heading2"/>
      </w:pPr>
      <w:r>
        <w:rPr/>
        <w:t>15. Robustness &amp; Sensitivity Tests</w:t>
      </w:r>
    </w:p>
    <w:p>
      <w:pPr>
        <w:pStyle w:val="ListBullet"/>
        <w:spacing w:after="40"/>
        <w:ind w:left="357" w:hanging="357"/>
      </w:pPr>
      <w:r>
        <w:rPr>
          <w:b/>
        </w:rPr>
        <w:t>Subgroups:</w:t>
      </w:r>
      <w:r>
        <w:rPr/>
        <w:t xml:space="preserve"> state, store format/size, category, ABC and velocity class, perishable vs shelf-stable.</w:t>
      </w:r>
    </w:p>
    <w:p>
      <w:pPr>
        <w:pStyle w:val="ListBullet"/>
        <w:spacing w:after="40"/>
        <w:ind w:left="357" w:hanging="357"/>
      </w:pPr>
      <w:r>
        <w:rPr>
          <w:b/>
        </w:rPr>
        <w:t>Time slices:</w:t>
      </w:r>
      <w:r>
        <w:rPr/>
        <w:t xml:space="preserve"> each month; festival vs non-festival; pre/post major disruptions (price changes, store refits).</w:t>
      </w:r>
    </w:p>
    <w:p>
      <w:pPr>
        <w:pStyle w:val="ListBullet"/>
        <w:spacing w:after="40"/>
        <w:ind w:left="357" w:hanging="357"/>
      </w:pPr>
      <w:r>
        <w:rPr>
          <w:b/>
        </w:rPr>
        <w:t>Stress scenarios:</w:t>
      </w:r>
      <w:r>
        <w:rPr/>
        <w:t xml:space="preserve"> supplier lead time increases by one week; promotion cancelled/added after the cut-off; a festival moving by a week; a supply shock to a key SKU; sudden new store.</w:t>
      </w:r>
    </w:p>
    <w:p>
      <w:pPr>
        <w:pStyle w:val="ListBullet"/>
        <w:spacing w:after="40"/>
        <w:ind w:left="357" w:hanging="357"/>
      </w:pPr>
      <w:r>
        <w:rPr>
          <w:b/>
        </w:rPr>
        <w:t>Sensitivity:</w:t>
      </w:r>
      <w:r>
        <w:rPr/>
        <w:t xml:space="preserve"> to censoring treatment, to the service-level τ, to the lead-time assumption, to missing promo information (drop promo features and measure the loss).</w:t>
      </w:r>
    </w:p>
    <w:p>
      <w:pPr>
        <w:pStyle w:val="Heading2"/>
      </w:pPr>
      <w:r>
        <w:rPr/>
        <w:t>16. Interpretability &amp; Uncertainty</w:t>
      </w:r>
    </w:p>
    <w:p>
      <w:pPr>
        <w:pStyle w:val="ListBullet"/>
        <w:spacing w:after="40"/>
        <w:ind w:left="357" w:hanging="357"/>
      </w:pPr>
      <w:r>
        <w:rPr>
          <w:b/>
        </w:rPr>
        <w:t>Explanations:</w:t>
      </w:r>
      <w:r>
        <w:rPr/>
        <w:t xml:space="preserve"> per-SKU forecast decomposition (baseline level, festival, promo, trend) for planners, from the model's feature contributions; labelled as </w:t>
      </w:r>
      <w:r>
        <w:rPr>
          <w:i/>
        </w:rPr>
        <w:t>associations in the model</w:t>
      </w:r>
      <w:r>
        <w:rPr/>
        <w:t>, not causes.</w:t>
      </w:r>
    </w:p>
    <w:p>
      <w:pPr>
        <w:pStyle w:val="ListBullet"/>
        <w:spacing w:after="40"/>
        <w:ind w:left="357" w:hanging="357"/>
      </w:pPr>
      <w:r>
        <w:rPr>
          <w:b/>
        </w:rPr>
        <w:t>Uncertainty:</w:t>
      </w:r>
      <w:r>
        <w:rPr/>
        <w:t xml:space="preserve"> deliver P10/P50/P90 (and the ordering quantile) per series for the protection interval; calibrate quantiles on validation windows (conformal or empirical calibration), separately for festival weeks.</w:t>
      </w:r>
    </w:p>
    <w:p>
      <w:pPr>
        <w:pStyle w:val="ListBullet"/>
        <w:spacing w:after="40"/>
        <w:ind w:left="357" w:hanging="357"/>
      </w:pPr>
      <w:r>
        <w:rPr>
          <w:b/>
        </w:rPr>
        <w:t>Communication:</w:t>
      </w:r>
      <w:r>
        <w:rPr/>
        <w:t xml:space="preserve"> a planner view with the current process value, the new forecast, the interval and a short associative note on which inputs were active (e.g. 'festival week and promo flagged in the inputs'; not a causal attribution), with colour flags for unusually wide intervals or low-confidence cold-start items.</w:t>
      </w:r>
    </w:p>
    <w:p>
      <w:pPr>
        <w:pStyle w:val="Heading2"/>
      </w:pPr>
      <w:r>
        <w:rPr/>
        <w:t>17. Deployment &amp; Monitoring Strategy</w:t>
      </w:r>
    </w:p>
    <w:p>
      <w:r>
        <w:rPr>
          <w:b/>
        </w:rPr>
        <w:t>Serving pattern.</w:t>
      </w:r>
      <w:r>
        <w:rPr/>
        <w:t xml:space="preserve"> Weekly batch scheduled after Sunday close: data refresh → feature build (point-in-time) → forecast → recommended order file/dashboard ready before the Monday cut-off, with a time buffer. Integration through the existing Excel/ERP ordering process initially (CSV/Excel + dashboard), automation later. Compute location: the client's environment </w:t>
      </w:r>
      <w:r>
        <w:rPr>
          <w:b/>
          <w:color w:val="B36B00"/>
        </w:rPr>
        <w:t>[Assumed]</w:t>
      </w:r>
      <w:r>
        <w:rPr/>
        <w:t>; client data stays there.</w:t>
      </w:r>
    </w:p>
    <w:p>
      <w:r>
        <w:rPr>
          <w:b/>
        </w:rPr>
        <w:t>Human in the loop.</w:t>
      </w:r>
      <w:r>
        <w:rPr/>
        <w:t xml:space="preserve"> Planners may override; overrides require a reason code and are logged, so FVA (human vs model) can be measured. A rule-based fallback to B0 or B2 runs automatically if data checks fail or forecasts are missing.</w:t>
      </w:r>
    </w:p>
    <w:p>
      <w:r>
        <w:rPr>
          <w:b/>
        </w:rPr>
        <w:t>Rollout path.</w:t>
      </w:r>
      <w:r>
        <w:rPr/>
        <w:t xml:space="preserve"> (1) Shadow mode: forecasts produced alongside actual orders with no use; (2) pilot in matched stores/categories (A3); (3) staged scale-up by state/category; (4) full rollout. Festival seasons get a dedicated pre-festival review (category team reviews festival forecasts 8–10 weeks ahead with the DS team).</w:t>
      </w:r>
    </w:p>
    <w:tbl>
      <w:tblPr>
        <w:tblStyle w:val="TableGrid"/>
        <w:tblW w:type="auto" w:w="0"/>
        <w:jc w:val="center"/>
        <w:tblLayout w:type="fixed"/>
        <w:tblLook w:firstColumn="1" w:firstRow="1" w:lastColumn="0" w:lastRow="0" w:noHBand="0" w:noVBand="1" w:val="04A0"/>
        <w:tblLayout w:type="fixed"/>
      </w:tblPr>
      <w:tblGrid>
        <w:gridCol w:w="1542"/>
        <w:gridCol w:w="2768"/>
        <w:gridCol w:w="1262"/>
        <w:gridCol w:w="2524"/>
        <w:gridCol w:w="1542"/>
      </w:tblGrid>
      <w:tr>
        <w:trPr>
          <w:tblHeader w:val="true"/>
        </w:trPr>
        <w:tc>
          <w:tcPr>
            <w:tcW w:type="dxa" w:w="1542"/>
            <w:shd w:val="clear" w:color="auto" w:fill="1F3A5F"/>
          </w:tcPr>
          <w:p>
            <w:r/>
            <w:r>
              <w:rPr>
                <w:b/>
                <w:color w:val="FFFFFF"/>
                <w:sz w:val="17"/>
              </w:rPr>
              <w:t>Layer</w:t>
            </w:r>
          </w:p>
        </w:tc>
        <w:tc>
          <w:tcPr>
            <w:tcW w:type="dxa" w:w="2768"/>
            <w:shd w:val="clear" w:color="auto" w:fill="1F3A5F"/>
          </w:tcPr>
          <w:p>
            <w:r/>
            <w:r>
              <w:rPr>
                <w:b/>
                <w:color w:val="FFFFFF"/>
                <w:sz w:val="17"/>
              </w:rPr>
              <w:t>Metric</w:t>
            </w:r>
          </w:p>
        </w:tc>
        <w:tc>
          <w:tcPr>
            <w:tcW w:type="dxa" w:w="1262"/>
            <w:shd w:val="clear" w:color="auto" w:fill="1F3A5F"/>
          </w:tcPr>
          <w:p>
            <w:r/>
            <w:r>
              <w:rPr>
                <w:b/>
                <w:color w:val="FFFFFF"/>
                <w:sz w:val="17"/>
              </w:rPr>
              <w:t>Threshold</w:t>
            </w:r>
          </w:p>
        </w:tc>
        <w:tc>
          <w:tcPr>
            <w:tcW w:type="dxa" w:w="2524"/>
            <w:shd w:val="clear" w:color="auto" w:fill="1F3A5F"/>
          </w:tcPr>
          <w:p>
            <w:r/>
            <w:r>
              <w:rPr>
                <w:b/>
                <w:color w:val="FFFFFF"/>
                <w:sz w:val="17"/>
              </w:rPr>
              <w:t>Action</w:t>
            </w:r>
          </w:p>
        </w:tc>
        <w:tc>
          <w:tcPr>
            <w:tcW w:type="dxa" w:w="1542"/>
            <w:shd w:val="clear" w:color="auto" w:fill="1F3A5F"/>
          </w:tcPr>
          <w:p>
            <w:r/>
            <w:r>
              <w:rPr>
                <w:b/>
                <w:color w:val="FFFFFF"/>
                <w:sz w:val="17"/>
              </w:rPr>
              <w:t>Owner</w:t>
            </w:r>
          </w:p>
        </w:tc>
      </w:tr>
      <w:tr>
        <w:tc>
          <w:tcPr>
            <w:tcW w:type="dxa" w:w="1542"/>
          </w:tcPr>
          <w:p>
            <w:pPr>
              <w:spacing w:after="20"/>
            </w:pPr>
            <w:r/>
            <w:r>
              <w:rPr>
                <w:sz w:val="17"/>
              </w:rPr>
              <w:t>Data quality</w:t>
            </w:r>
          </w:p>
        </w:tc>
        <w:tc>
          <w:tcPr>
            <w:tcW w:type="dxa" w:w="2768"/>
          </w:tcPr>
          <w:p>
            <w:pPr>
              <w:spacing w:after="20"/>
            </w:pPr>
            <w:r/>
            <w:r>
              <w:rPr>
                <w:sz w:val="17"/>
              </w:rPr>
              <w:t>POS completeness by store, late files, duplicate rate</w:t>
            </w:r>
          </w:p>
        </w:tc>
        <w:tc>
          <w:tcPr>
            <w:tcW w:type="dxa" w:w="1262"/>
          </w:tcPr>
          <w:p>
            <w:pPr>
              <w:spacing w:after="20"/>
            </w:pPr>
            <w:r/>
            <w:r>
              <w:rPr>
                <w:b/>
                <w:color w:val="C0392B"/>
                <w:sz w:val="17"/>
              </w:rPr>
              <w:t>[TBD]</w:t>
            </w:r>
          </w:p>
        </w:tc>
        <w:tc>
          <w:tcPr>
            <w:tcW w:type="dxa" w:w="2524"/>
          </w:tcPr>
          <w:p>
            <w:pPr>
              <w:spacing w:after="20"/>
            </w:pPr>
            <w:r/>
            <w:r>
              <w:rPr>
                <w:sz w:val="17"/>
              </w:rPr>
              <w:t>Block run, fallback to B0</w:t>
            </w:r>
          </w:p>
        </w:tc>
        <w:tc>
          <w:tcPr>
            <w:tcW w:type="dxa" w:w="1542"/>
          </w:tcPr>
          <w:p>
            <w:pPr>
              <w:spacing w:after="20"/>
            </w:pPr>
            <w:r/>
            <w:r>
              <w:rPr>
                <w:sz w:val="17"/>
              </w:rPr>
              <w:t>Data engineering</w:t>
            </w:r>
          </w:p>
        </w:tc>
      </w:tr>
      <w:tr>
        <w:tc>
          <w:tcPr>
            <w:tcW w:type="dxa" w:w="1542"/>
            <w:shd w:val="clear" w:color="auto" w:fill="F2F5F9"/>
          </w:tcPr>
          <w:p>
            <w:pPr>
              <w:spacing w:after="20"/>
            </w:pPr>
            <w:r/>
            <w:r>
              <w:rPr>
                <w:sz w:val="17"/>
              </w:rPr>
              <w:t>Data drift</w:t>
            </w:r>
          </w:p>
        </w:tc>
        <w:tc>
          <w:tcPr>
            <w:tcW w:type="dxa" w:w="2768"/>
            <w:shd w:val="clear" w:color="auto" w:fill="F2F5F9"/>
          </w:tcPr>
          <w:p>
            <w:pPr>
              <w:spacing w:after="20"/>
            </w:pPr>
            <w:r/>
            <w:r>
              <w:rPr>
                <w:sz w:val="17"/>
              </w:rPr>
              <w:t>Feature and target distribution shift (PSI or similar); new SKUs/stores share</w:t>
            </w:r>
          </w:p>
        </w:tc>
        <w:tc>
          <w:tcPr>
            <w:tcW w:type="dxa" w:w="1262"/>
            <w:shd w:val="clear" w:color="auto" w:fill="F2F5F9"/>
          </w:tcPr>
          <w:p>
            <w:pPr>
              <w:spacing w:after="20"/>
            </w:pPr>
            <w:r/>
            <w:r>
              <w:rPr>
                <w:b/>
                <w:color w:val="C0392B"/>
                <w:sz w:val="17"/>
              </w:rPr>
              <w:t>[TBD]</w:t>
            </w:r>
          </w:p>
        </w:tc>
        <w:tc>
          <w:tcPr>
            <w:tcW w:type="dxa" w:w="2524"/>
            <w:shd w:val="clear" w:color="auto" w:fill="F2F5F9"/>
          </w:tcPr>
          <w:p>
            <w:pPr>
              <w:spacing w:after="20"/>
            </w:pPr>
            <w:r/>
            <w:r>
              <w:rPr>
                <w:sz w:val="17"/>
              </w:rPr>
              <w:t>Investigate; retrain trigger</w:t>
            </w:r>
          </w:p>
        </w:tc>
        <w:tc>
          <w:tcPr>
            <w:tcW w:type="dxa" w:w="1542"/>
            <w:shd w:val="clear" w:color="auto" w:fill="F2F5F9"/>
          </w:tcPr>
          <w:p>
            <w:pPr>
              <w:spacing w:after="20"/>
            </w:pPr>
            <w:r/>
            <w:r>
              <w:rPr>
                <w:sz w:val="17"/>
              </w:rPr>
              <w:t>DS</w:t>
            </w:r>
          </w:p>
        </w:tc>
      </w:tr>
      <w:tr>
        <w:tc>
          <w:tcPr>
            <w:tcW w:type="dxa" w:w="1542"/>
          </w:tcPr>
          <w:p>
            <w:pPr>
              <w:spacing w:after="20"/>
            </w:pPr>
            <w:r/>
            <w:r>
              <w:rPr>
                <w:sz w:val="17"/>
              </w:rPr>
              <w:t>Prediction</w:t>
            </w:r>
          </w:p>
        </w:tc>
        <w:tc>
          <w:tcPr>
            <w:tcW w:type="dxa" w:w="2768"/>
          </w:tcPr>
          <w:p>
            <w:pPr>
              <w:spacing w:after="20"/>
            </w:pPr>
            <w:r/>
            <w:r>
              <w:rPr>
                <w:sz w:val="17"/>
              </w:rPr>
              <w:t>Forecast distribution vs history; quantile crossing</w:t>
            </w:r>
          </w:p>
        </w:tc>
        <w:tc>
          <w:tcPr>
            <w:tcW w:type="dxa" w:w="1262"/>
          </w:tcPr>
          <w:p>
            <w:pPr>
              <w:spacing w:after="20"/>
            </w:pPr>
            <w:r/>
            <w:r>
              <w:rPr>
                <w:b/>
                <w:color w:val="C0392B"/>
                <w:sz w:val="17"/>
              </w:rPr>
              <w:t>[TBD]</w:t>
            </w:r>
          </w:p>
        </w:tc>
        <w:tc>
          <w:tcPr>
            <w:tcW w:type="dxa" w:w="2524"/>
          </w:tcPr>
          <w:p>
            <w:pPr>
              <w:spacing w:after="20"/>
            </w:pPr>
            <w:r/>
            <w:r>
              <w:rPr>
                <w:sz w:val="17"/>
              </w:rPr>
              <w:t>Auto-correct/alert</w:t>
            </w:r>
          </w:p>
        </w:tc>
        <w:tc>
          <w:tcPr>
            <w:tcW w:type="dxa" w:w="1542"/>
          </w:tcPr>
          <w:p>
            <w:pPr>
              <w:spacing w:after="20"/>
            </w:pPr>
            <w:r/>
            <w:r>
              <w:rPr>
                <w:sz w:val="17"/>
              </w:rPr>
              <w:t>DS</w:t>
            </w:r>
          </w:p>
        </w:tc>
      </w:tr>
      <w:tr>
        <w:tc>
          <w:tcPr>
            <w:tcW w:type="dxa" w:w="1542"/>
            <w:shd w:val="clear" w:color="auto" w:fill="F2F5F9"/>
          </w:tcPr>
          <w:p>
            <w:pPr>
              <w:spacing w:after="20"/>
            </w:pPr>
            <w:r/>
            <w:r>
              <w:rPr>
                <w:sz w:val="17"/>
              </w:rPr>
              <w:t>Accuracy</w:t>
            </w:r>
          </w:p>
        </w:tc>
        <w:tc>
          <w:tcPr>
            <w:tcW w:type="dxa" w:w="2768"/>
            <w:shd w:val="clear" w:color="auto" w:fill="F2F5F9"/>
          </w:tcPr>
          <w:p>
            <w:pPr>
              <w:spacing w:after="20"/>
            </w:pPr>
            <w:r/>
            <w:r>
              <w:rPr>
                <w:sz w:val="17"/>
              </w:rPr>
              <w:t>Weekly WAPE, bias, FVA vs B0 by class and category (actuals arrive within 1–3 weeks)</w:t>
            </w:r>
          </w:p>
        </w:tc>
        <w:tc>
          <w:tcPr>
            <w:tcW w:type="dxa" w:w="1262"/>
            <w:shd w:val="clear" w:color="auto" w:fill="F2F5F9"/>
          </w:tcPr>
          <w:p>
            <w:pPr>
              <w:spacing w:after="20"/>
            </w:pPr>
            <w:r/>
            <w:r>
              <w:rPr>
                <w:b/>
                <w:color w:val="C0392B"/>
                <w:sz w:val="17"/>
              </w:rPr>
              <w:t>[TBD]</w:t>
            </w:r>
          </w:p>
        </w:tc>
        <w:tc>
          <w:tcPr>
            <w:tcW w:type="dxa" w:w="2524"/>
            <w:shd w:val="clear" w:color="auto" w:fill="F2F5F9"/>
          </w:tcPr>
          <w:p>
            <w:pPr>
              <w:spacing w:after="20"/>
            </w:pPr>
            <w:r/>
            <w:r>
              <w:rPr>
                <w:sz w:val="17"/>
              </w:rPr>
              <w:t>Alert; review; retrain</w:t>
            </w:r>
          </w:p>
        </w:tc>
        <w:tc>
          <w:tcPr>
            <w:tcW w:type="dxa" w:w="1542"/>
            <w:shd w:val="clear" w:color="auto" w:fill="F2F5F9"/>
          </w:tcPr>
          <w:p>
            <w:pPr>
              <w:spacing w:after="20"/>
            </w:pPr>
            <w:r/>
            <w:r>
              <w:rPr>
                <w:sz w:val="17"/>
              </w:rPr>
              <w:t>DS + planners</w:t>
            </w:r>
          </w:p>
        </w:tc>
      </w:tr>
      <w:tr>
        <w:tc>
          <w:tcPr>
            <w:tcW w:type="dxa" w:w="1542"/>
          </w:tcPr>
          <w:p>
            <w:pPr>
              <w:spacing w:after="20"/>
            </w:pPr>
            <w:r/>
            <w:r>
              <w:rPr>
                <w:sz w:val="17"/>
              </w:rPr>
              <w:t>Calibration</w:t>
            </w:r>
          </w:p>
        </w:tc>
        <w:tc>
          <w:tcPr>
            <w:tcW w:type="dxa" w:w="2768"/>
          </w:tcPr>
          <w:p>
            <w:pPr>
              <w:spacing w:after="20"/>
            </w:pPr>
            <w:r/>
            <w:r>
              <w:rPr>
                <w:sz w:val="17"/>
              </w:rPr>
              <w:t>Coverage of P90/service quantile</w:t>
            </w:r>
          </w:p>
        </w:tc>
        <w:tc>
          <w:tcPr>
            <w:tcW w:type="dxa" w:w="1262"/>
          </w:tcPr>
          <w:p>
            <w:pPr>
              <w:spacing w:after="20"/>
            </w:pPr>
            <w:r/>
            <w:r>
              <w:rPr>
                <w:sz w:val="17"/>
              </w:rPr>
              <w:t xml:space="preserve">Tolerance </w:t>
            </w:r>
            <w:r>
              <w:rPr>
                <w:b/>
                <w:color w:val="C0392B"/>
                <w:sz w:val="17"/>
              </w:rPr>
              <w:t>[TBD]</w:t>
            </w:r>
          </w:p>
        </w:tc>
        <w:tc>
          <w:tcPr>
            <w:tcW w:type="dxa" w:w="2524"/>
          </w:tcPr>
          <w:p>
            <w:pPr>
              <w:spacing w:after="20"/>
            </w:pPr>
            <w:r/>
            <w:r>
              <w:rPr>
                <w:sz w:val="17"/>
              </w:rPr>
              <w:t>Recalibrate</w:t>
            </w:r>
          </w:p>
        </w:tc>
        <w:tc>
          <w:tcPr>
            <w:tcW w:type="dxa" w:w="1542"/>
          </w:tcPr>
          <w:p>
            <w:pPr>
              <w:spacing w:after="20"/>
            </w:pPr>
            <w:r/>
            <w:r>
              <w:rPr>
                <w:sz w:val="17"/>
              </w:rPr>
              <w:t>DS</w:t>
            </w:r>
          </w:p>
        </w:tc>
      </w:tr>
      <w:tr>
        <w:tc>
          <w:tcPr>
            <w:tcW w:type="dxa" w:w="1542"/>
            <w:shd w:val="clear" w:color="auto" w:fill="F2F5F9"/>
          </w:tcPr>
          <w:p>
            <w:pPr>
              <w:spacing w:after="20"/>
            </w:pPr>
            <w:r/>
            <w:r>
              <w:rPr>
                <w:sz w:val="17"/>
              </w:rPr>
              <w:t>Business</w:t>
            </w:r>
          </w:p>
        </w:tc>
        <w:tc>
          <w:tcPr>
            <w:tcW w:type="dxa" w:w="2768"/>
            <w:shd w:val="clear" w:color="auto" w:fill="F2F5F9"/>
          </w:tcPr>
          <w:p>
            <w:pPr>
              <w:spacing w:after="20"/>
            </w:pPr>
            <w:r/>
            <w:r>
              <w:rPr>
                <w:sz w:val="17"/>
              </w:rPr>
              <w:t>Stock-out rate, inventory days, wastage</w:t>
            </w:r>
          </w:p>
        </w:tc>
        <w:tc>
          <w:tcPr>
            <w:tcW w:type="dxa" w:w="1262"/>
            <w:shd w:val="clear" w:color="auto" w:fill="F2F5F9"/>
          </w:tcPr>
          <w:p>
            <w:pPr>
              <w:spacing w:after="20"/>
            </w:pPr>
            <w:r/>
            <w:r>
              <w:rPr>
                <w:b/>
                <w:color w:val="C0392B"/>
                <w:sz w:val="17"/>
              </w:rPr>
              <w:t>[TBD]</w:t>
            </w:r>
          </w:p>
        </w:tc>
        <w:tc>
          <w:tcPr>
            <w:tcW w:type="dxa" w:w="2524"/>
            <w:shd w:val="clear" w:color="auto" w:fill="F2F5F9"/>
          </w:tcPr>
          <w:p>
            <w:pPr>
              <w:spacing w:after="20"/>
            </w:pPr>
            <w:r/>
            <w:r>
              <w:rPr>
                <w:sz w:val="17"/>
              </w:rPr>
              <w:t>Review settings (τ, rules)</w:t>
            </w:r>
          </w:p>
        </w:tc>
        <w:tc>
          <w:tcPr>
            <w:tcW w:type="dxa" w:w="1542"/>
            <w:shd w:val="clear" w:color="auto" w:fill="F2F5F9"/>
          </w:tcPr>
          <w:p>
            <w:pPr>
              <w:spacing w:after="20"/>
            </w:pPr>
            <w:r/>
            <w:r>
              <w:rPr>
                <w:sz w:val="17"/>
              </w:rPr>
              <w:t>Supply chain</w:t>
            </w:r>
          </w:p>
        </w:tc>
      </w:tr>
      <w:tr>
        <w:tc>
          <w:tcPr>
            <w:tcW w:type="dxa" w:w="1542"/>
          </w:tcPr>
          <w:p>
            <w:pPr>
              <w:spacing w:after="20"/>
            </w:pPr>
            <w:r/>
            <w:r>
              <w:rPr>
                <w:sz w:val="17"/>
              </w:rPr>
              <w:t>Process</w:t>
            </w:r>
          </w:p>
        </w:tc>
        <w:tc>
          <w:tcPr>
            <w:tcW w:type="dxa" w:w="2768"/>
          </w:tcPr>
          <w:p>
            <w:pPr>
              <w:spacing w:after="20"/>
            </w:pPr>
            <w:r/>
            <w:r>
              <w:rPr>
                <w:sz w:val="17"/>
              </w:rPr>
              <w:t>Override rate and FVA of overrides</w:t>
            </w:r>
          </w:p>
        </w:tc>
        <w:tc>
          <w:tcPr>
            <w:tcW w:type="dxa" w:w="1262"/>
          </w:tcPr>
          <w:p>
            <w:pPr>
              <w:spacing w:after="20"/>
            </w:pPr>
            <w:r/>
            <w:r>
              <w:rPr>
                <w:b/>
                <w:color w:val="C0392B"/>
                <w:sz w:val="17"/>
              </w:rPr>
              <w:t>[TBD]</w:t>
            </w:r>
          </w:p>
        </w:tc>
        <w:tc>
          <w:tcPr>
            <w:tcW w:type="dxa" w:w="2524"/>
          </w:tcPr>
          <w:p>
            <w:pPr>
              <w:spacing w:after="20"/>
            </w:pPr>
            <w:r/>
            <w:r>
              <w:rPr>
                <w:sz w:val="17"/>
              </w:rPr>
              <w:t>Planner feedback; tune UI</w:t>
            </w:r>
          </w:p>
        </w:tc>
        <w:tc>
          <w:tcPr>
            <w:tcW w:type="dxa" w:w="1542"/>
          </w:tcPr>
          <w:p>
            <w:pPr>
              <w:spacing w:after="20"/>
            </w:pPr>
            <w:r/>
            <w:r>
              <w:rPr>
                <w:sz w:val="17"/>
              </w:rPr>
              <w:t>Supply chain</w:t>
            </w:r>
          </w:p>
        </w:tc>
      </w:tr>
    </w:tbl>
    <w:p>
      <w:pPr>
        <w:spacing w:after="40"/>
      </w:pPr>
    </w:p>
    <w:p>
      <w:r>
        <w:rPr>
          <w:b/>
        </w:rPr>
        <w:t>Retraining, rollback and post-deployment evaluation.</w:t>
      </w:r>
      <w:r>
        <w:rPr/>
        <w:t xml:space="preserve"> Refit weekly or monthly depending on E-series results; full retrain/review quarterly and before each festival season; triggers include persistent bias, coverage failure, drift alerts, structural events (new states, store clusters). A new version is promoted only after champion–challenger shadow comparison and approval; rollback to the previous version or B0 if accuracy worsens beyond tolerance. Post-launch impact is evaluated through the pilot design (§14), then through retained control stores or holdout categories.</w:t>
      </w:r>
    </w:p>
    <w:p>
      <w:r>
        <w:rPr>
          <w:b/>
        </w:rPr>
        <w:t>Governance.</w:t>
      </w:r>
      <w:r>
        <w:rPr/>
        <w:t xml:space="preserve"> Data stays in client environment; remove customer identifiers from modelling data; access controls and audit logs; model documentation and a model card per version. Regulatory orientation (confirm with client compliance/legal): India's DPDP Act 2023 for any personal data. Aggregate store-level forecasting itself carries low personal-data exposure.</w:t>
      </w:r>
    </w:p>
    <w:p>
      <w:pPr>
        <w:pStyle w:val="Heading2"/>
      </w:pPr>
      <w:r>
        <w:rPr/>
        <w:t>18. Risks, Mitigations, Dependencies &amp; Open Decisions</w:t>
      </w:r>
    </w:p>
    <w:tbl>
      <w:tblPr>
        <w:tblStyle w:val="TableGrid"/>
        <w:tblW w:type="auto" w:w="0"/>
        <w:jc w:val="center"/>
        <w:tblLayout w:type="fixed"/>
        <w:tblLook w:firstColumn="1" w:firstRow="1" w:lastColumn="0" w:lastRow="0" w:noHBand="0" w:noVBand="1" w:val="04A0"/>
        <w:tblLayout w:type="fixed"/>
      </w:tblPr>
      <w:tblGrid>
        <w:gridCol w:w="2539"/>
        <w:gridCol w:w="1269"/>
        <w:gridCol w:w="996"/>
        <w:gridCol w:w="3438"/>
        <w:gridCol w:w="1396"/>
      </w:tblGrid>
      <w:tr>
        <w:trPr>
          <w:tblHeader w:val="true"/>
        </w:trPr>
        <w:tc>
          <w:tcPr>
            <w:tcW w:type="dxa" w:w="2539"/>
            <w:shd w:val="clear" w:color="auto" w:fill="1F3A5F"/>
          </w:tcPr>
          <w:p>
            <w:r/>
            <w:r>
              <w:rPr>
                <w:b/>
                <w:color w:val="FFFFFF"/>
                <w:sz w:val="17"/>
              </w:rPr>
              <w:t>Risk</w:t>
            </w:r>
          </w:p>
        </w:tc>
        <w:tc>
          <w:tcPr>
            <w:tcW w:type="dxa" w:w="1269"/>
            <w:shd w:val="clear" w:color="auto" w:fill="1F3A5F"/>
          </w:tcPr>
          <w:p>
            <w:r/>
            <w:r>
              <w:rPr>
                <w:b/>
                <w:color w:val="FFFFFF"/>
                <w:sz w:val="17"/>
              </w:rPr>
              <w:t>Likelihood</w:t>
            </w:r>
          </w:p>
        </w:tc>
        <w:tc>
          <w:tcPr>
            <w:tcW w:type="dxa" w:w="996"/>
            <w:shd w:val="clear" w:color="auto" w:fill="1F3A5F"/>
          </w:tcPr>
          <w:p>
            <w:r/>
            <w:r>
              <w:rPr>
                <w:b/>
                <w:color w:val="FFFFFF"/>
                <w:sz w:val="17"/>
              </w:rPr>
              <w:t>Impact</w:t>
            </w:r>
          </w:p>
        </w:tc>
        <w:tc>
          <w:tcPr>
            <w:tcW w:type="dxa" w:w="3438"/>
            <w:shd w:val="clear" w:color="auto" w:fill="1F3A5F"/>
          </w:tcPr>
          <w:p>
            <w:r/>
            <w:r>
              <w:rPr>
                <w:b/>
                <w:color w:val="FFFFFF"/>
                <w:sz w:val="17"/>
              </w:rPr>
              <w:t>Mitigation</w:t>
            </w:r>
          </w:p>
        </w:tc>
        <w:tc>
          <w:tcPr>
            <w:tcW w:type="dxa" w:w="1396"/>
            <w:shd w:val="clear" w:color="auto" w:fill="1F3A5F"/>
          </w:tcPr>
          <w:p>
            <w:r/>
            <w:r>
              <w:rPr>
                <w:b/>
                <w:color w:val="FFFFFF"/>
                <w:sz w:val="17"/>
              </w:rPr>
              <w:t>Owner</w:t>
            </w:r>
          </w:p>
        </w:tc>
      </w:tr>
      <w:tr>
        <w:tc>
          <w:tcPr>
            <w:tcW w:type="dxa" w:w="2539"/>
          </w:tcPr>
          <w:p>
            <w:pPr>
              <w:spacing w:after="20"/>
            </w:pPr>
            <w:r/>
            <w:r>
              <w:rPr>
                <w:sz w:val="17"/>
              </w:rPr>
              <w:t>No usable availability/stock data (Q1)</w:t>
            </w:r>
          </w:p>
        </w:tc>
        <w:tc>
          <w:tcPr>
            <w:tcW w:type="dxa" w:w="1269"/>
          </w:tcPr>
          <w:p>
            <w:pPr>
              <w:spacing w:after="20"/>
            </w:pPr>
            <w:r/>
            <w:r>
              <w:rPr>
                <w:sz w:val="17"/>
              </w:rPr>
              <w:t>Medium</w:t>
            </w:r>
          </w:p>
        </w:tc>
        <w:tc>
          <w:tcPr>
            <w:tcW w:type="dxa" w:w="996"/>
          </w:tcPr>
          <w:p>
            <w:pPr>
              <w:spacing w:after="20"/>
            </w:pPr>
            <w:r/>
            <w:r>
              <w:rPr>
                <w:sz w:val="17"/>
              </w:rPr>
              <w:t>High</w:t>
            </w:r>
          </w:p>
        </w:tc>
        <w:tc>
          <w:tcPr>
            <w:tcW w:type="dxa" w:w="3438"/>
          </w:tcPr>
          <w:p>
            <w:pPr>
              <w:spacing w:after="20"/>
            </w:pPr>
            <w:r/>
            <w:r>
              <w:rPr>
                <w:sz w:val="17"/>
              </w:rPr>
              <w:t>Zero-run heuristic; start capturing snapshots now; limit claims about stock-out reduction</w:t>
            </w:r>
          </w:p>
        </w:tc>
        <w:tc>
          <w:tcPr>
            <w:tcW w:type="dxa" w:w="1396"/>
          </w:tcPr>
          <w:p>
            <w:pPr>
              <w:spacing w:after="20"/>
            </w:pPr>
            <w:r/>
            <w:r>
              <w:rPr>
                <w:sz w:val="17"/>
              </w:rPr>
              <w:t>Client IT / DS</w:t>
            </w:r>
          </w:p>
        </w:tc>
      </w:tr>
      <w:tr>
        <w:tc>
          <w:tcPr>
            <w:tcW w:type="dxa" w:w="2539"/>
            <w:shd w:val="clear" w:color="auto" w:fill="F2F5F9"/>
          </w:tcPr>
          <w:p>
            <w:pPr>
              <w:spacing w:after="20"/>
            </w:pPr>
            <w:r/>
            <w:r>
              <w:rPr>
                <w:sz w:val="17"/>
              </w:rPr>
              <w:t>Historic promo versions missing (Q2)</w:t>
            </w:r>
          </w:p>
        </w:tc>
        <w:tc>
          <w:tcPr>
            <w:tcW w:type="dxa" w:w="1269"/>
            <w:shd w:val="clear" w:color="auto" w:fill="F2F5F9"/>
          </w:tcPr>
          <w:p>
            <w:pPr>
              <w:spacing w:after="20"/>
            </w:pPr>
            <w:r/>
            <w:r>
              <w:rPr>
                <w:sz w:val="17"/>
              </w:rPr>
              <w:t>Medium</w:t>
            </w:r>
          </w:p>
        </w:tc>
        <w:tc>
          <w:tcPr>
            <w:tcW w:type="dxa" w:w="996"/>
            <w:shd w:val="clear" w:color="auto" w:fill="F2F5F9"/>
          </w:tcPr>
          <w:p>
            <w:pPr>
              <w:spacing w:after="20"/>
            </w:pPr>
            <w:r/>
            <w:r>
              <w:rPr>
                <w:sz w:val="17"/>
              </w:rPr>
              <w:t>High</w:t>
            </w:r>
          </w:p>
        </w:tc>
        <w:tc>
          <w:tcPr>
            <w:tcW w:type="dxa" w:w="3438"/>
            <w:shd w:val="clear" w:color="auto" w:fill="F2F5F9"/>
          </w:tcPr>
          <w:p>
            <w:pPr>
              <w:spacing w:after="20"/>
            </w:pPr>
            <w:r/>
            <w:r>
              <w:rPr>
                <w:sz w:val="17"/>
              </w:rPr>
              <w:t>Use only promos known ≥N weeks ahead; run leak test EX5; request versioning going forward</w:t>
            </w:r>
          </w:p>
        </w:tc>
        <w:tc>
          <w:tcPr>
            <w:tcW w:type="dxa" w:w="1396"/>
            <w:shd w:val="clear" w:color="auto" w:fill="F2F5F9"/>
          </w:tcPr>
          <w:p>
            <w:pPr>
              <w:spacing w:after="20"/>
            </w:pPr>
            <w:r/>
            <w:r>
              <w:rPr>
                <w:sz w:val="17"/>
              </w:rPr>
              <w:t>Category team</w:t>
            </w:r>
          </w:p>
        </w:tc>
      </w:tr>
      <w:tr>
        <w:tc>
          <w:tcPr>
            <w:tcW w:type="dxa" w:w="2539"/>
          </w:tcPr>
          <w:p>
            <w:pPr>
              <w:spacing w:after="20"/>
            </w:pPr>
            <w:r/>
            <w:r>
              <w:rPr>
                <w:sz w:val="17"/>
              </w:rPr>
              <w:t>Only 2–3 occurrences per festival</w:t>
            </w:r>
          </w:p>
        </w:tc>
        <w:tc>
          <w:tcPr>
            <w:tcW w:type="dxa" w:w="1269"/>
          </w:tcPr>
          <w:p>
            <w:pPr>
              <w:spacing w:after="20"/>
            </w:pPr>
            <w:r/>
            <w:r>
              <w:rPr>
                <w:sz w:val="17"/>
              </w:rPr>
              <w:t>High</w:t>
            </w:r>
          </w:p>
        </w:tc>
        <w:tc>
          <w:tcPr>
            <w:tcW w:type="dxa" w:w="996"/>
          </w:tcPr>
          <w:p>
            <w:pPr>
              <w:spacing w:after="20"/>
            </w:pPr>
            <w:r/>
            <w:r>
              <w:rPr>
                <w:sz w:val="17"/>
              </w:rPr>
              <w:t>High</w:t>
            </w:r>
          </w:p>
        </w:tc>
        <w:tc>
          <w:tcPr>
            <w:tcW w:type="dxa" w:w="3438"/>
          </w:tcPr>
          <w:p>
            <w:pPr>
              <w:spacing w:after="20"/>
            </w:pPr>
            <w:r/>
            <w:r>
              <w:rPr>
                <w:sz w:val="17"/>
              </w:rPr>
              <w:t>Pooling across SKUs/stores/festivals; category festival indices; planner judgement overlay for festival peaks; report intervals</w:t>
            </w:r>
          </w:p>
        </w:tc>
        <w:tc>
          <w:tcPr>
            <w:tcW w:type="dxa" w:w="1396"/>
          </w:tcPr>
          <w:p>
            <w:pPr>
              <w:spacing w:after="20"/>
            </w:pPr>
            <w:r/>
            <w:r>
              <w:rPr>
                <w:sz w:val="17"/>
              </w:rPr>
              <w:t>DS</w:t>
            </w:r>
          </w:p>
        </w:tc>
      </w:tr>
      <w:tr>
        <w:tc>
          <w:tcPr>
            <w:tcW w:type="dxa" w:w="2539"/>
            <w:shd w:val="clear" w:color="auto" w:fill="F2F5F9"/>
          </w:tcPr>
          <w:p>
            <w:pPr>
              <w:spacing w:after="20"/>
            </w:pPr>
            <w:r/>
            <w:r>
              <w:rPr>
                <w:sz w:val="17"/>
              </w:rPr>
              <w:t>Forecast gains don't translate to fewer stock-outs (supplier constraints, shelf execution, store ordering behaviour)</w:t>
            </w:r>
          </w:p>
        </w:tc>
        <w:tc>
          <w:tcPr>
            <w:tcW w:type="dxa" w:w="1269"/>
            <w:shd w:val="clear" w:color="auto" w:fill="F2F5F9"/>
          </w:tcPr>
          <w:p>
            <w:pPr>
              <w:spacing w:after="20"/>
            </w:pPr>
            <w:r/>
            <w:r>
              <w:rPr>
                <w:sz w:val="17"/>
              </w:rPr>
              <w:t>Medium</w:t>
            </w:r>
          </w:p>
        </w:tc>
        <w:tc>
          <w:tcPr>
            <w:tcW w:type="dxa" w:w="996"/>
            <w:shd w:val="clear" w:color="auto" w:fill="F2F5F9"/>
          </w:tcPr>
          <w:p>
            <w:pPr>
              <w:spacing w:after="20"/>
            </w:pPr>
            <w:r/>
            <w:r>
              <w:rPr>
                <w:sz w:val="17"/>
              </w:rPr>
              <w:t>High</w:t>
            </w:r>
          </w:p>
        </w:tc>
        <w:tc>
          <w:tcPr>
            <w:tcW w:type="dxa" w:w="3438"/>
            <w:shd w:val="clear" w:color="auto" w:fill="F2F5F9"/>
          </w:tcPr>
          <w:p>
            <w:pPr>
              <w:spacing w:after="20"/>
            </w:pPr>
            <w:r/>
            <w:r>
              <w:rPr>
                <w:sz w:val="17"/>
              </w:rPr>
              <w:t>Pilot with business metrics; track fill rate from suppliers; separate forecast error from execution</w:t>
            </w:r>
          </w:p>
        </w:tc>
        <w:tc>
          <w:tcPr>
            <w:tcW w:type="dxa" w:w="1396"/>
            <w:shd w:val="clear" w:color="auto" w:fill="F2F5F9"/>
          </w:tcPr>
          <w:p>
            <w:pPr>
              <w:spacing w:after="20"/>
            </w:pPr>
            <w:r/>
            <w:r>
              <w:rPr>
                <w:sz w:val="17"/>
              </w:rPr>
              <w:t>Supply chain</w:t>
            </w:r>
          </w:p>
        </w:tc>
      </w:tr>
      <w:tr>
        <w:tc>
          <w:tcPr>
            <w:tcW w:type="dxa" w:w="2539"/>
          </w:tcPr>
          <w:p>
            <w:pPr>
              <w:spacing w:after="20"/>
            </w:pPr>
            <w:r/>
            <w:r>
              <w:rPr>
                <w:sz w:val="17"/>
              </w:rPr>
              <w:t>Planner adoption low</w:t>
            </w:r>
          </w:p>
        </w:tc>
        <w:tc>
          <w:tcPr>
            <w:tcW w:type="dxa" w:w="1269"/>
          </w:tcPr>
          <w:p>
            <w:pPr>
              <w:spacing w:after="20"/>
            </w:pPr>
            <w:r/>
            <w:r>
              <w:rPr>
                <w:sz w:val="17"/>
              </w:rPr>
              <w:t>Medium</w:t>
            </w:r>
          </w:p>
        </w:tc>
        <w:tc>
          <w:tcPr>
            <w:tcW w:type="dxa" w:w="996"/>
          </w:tcPr>
          <w:p>
            <w:pPr>
              <w:spacing w:after="20"/>
            </w:pPr>
            <w:r/>
            <w:r>
              <w:rPr>
                <w:sz w:val="17"/>
              </w:rPr>
              <w:t>High</w:t>
            </w:r>
          </w:p>
        </w:tc>
        <w:tc>
          <w:tcPr>
            <w:tcW w:type="dxa" w:w="3438"/>
          </w:tcPr>
          <w:p>
            <w:pPr>
              <w:spacing w:after="20"/>
            </w:pPr>
            <w:r/>
            <w:r>
              <w:rPr>
                <w:sz w:val="17"/>
              </w:rPr>
              <w:t>Co-design, explainable outputs, measure FVA of overrides</w:t>
            </w:r>
          </w:p>
        </w:tc>
        <w:tc>
          <w:tcPr>
            <w:tcW w:type="dxa" w:w="1396"/>
          </w:tcPr>
          <w:p>
            <w:pPr>
              <w:spacing w:after="20"/>
            </w:pPr>
            <w:r/>
            <w:r>
              <w:rPr>
                <w:sz w:val="17"/>
              </w:rPr>
              <w:t>Sponsor</w:t>
            </w:r>
          </w:p>
        </w:tc>
      </w:tr>
      <w:tr>
        <w:tc>
          <w:tcPr>
            <w:tcW w:type="dxa" w:w="2539"/>
            <w:shd w:val="clear" w:color="auto" w:fill="F2F5F9"/>
          </w:tcPr>
          <w:p>
            <w:pPr>
              <w:spacing w:after="20"/>
            </w:pPr>
            <w:r/>
            <w:r>
              <w:rPr>
                <w:sz w:val="17"/>
              </w:rPr>
              <w:t>Compute/time window before Monday cut-off</w:t>
            </w:r>
          </w:p>
        </w:tc>
        <w:tc>
          <w:tcPr>
            <w:tcW w:type="dxa" w:w="1269"/>
            <w:shd w:val="clear" w:color="auto" w:fill="F2F5F9"/>
          </w:tcPr>
          <w:p>
            <w:pPr>
              <w:spacing w:after="20"/>
            </w:pPr>
            <w:r/>
            <w:r>
              <w:rPr>
                <w:sz w:val="17"/>
              </w:rPr>
              <w:t>Medium</w:t>
            </w:r>
          </w:p>
        </w:tc>
        <w:tc>
          <w:tcPr>
            <w:tcW w:type="dxa" w:w="996"/>
            <w:shd w:val="clear" w:color="auto" w:fill="F2F5F9"/>
          </w:tcPr>
          <w:p>
            <w:pPr>
              <w:spacing w:after="20"/>
            </w:pPr>
            <w:r/>
            <w:r>
              <w:rPr>
                <w:sz w:val="17"/>
              </w:rPr>
              <w:t>Medium</w:t>
            </w:r>
          </w:p>
        </w:tc>
        <w:tc>
          <w:tcPr>
            <w:tcW w:type="dxa" w:w="3438"/>
            <w:shd w:val="clear" w:color="auto" w:fill="F2F5F9"/>
          </w:tcPr>
          <w:p>
            <w:pPr>
              <w:spacing w:after="20"/>
            </w:pPr>
            <w:r/>
            <w:r>
              <w:rPr>
                <w:sz w:val="17"/>
              </w:rPr>
              <w:t>Class-based modelling, incremental refresh, fallback to B0</w:t>
            </w:r>
          </w:p>
        </w:tc>
        <w:tc>
          <w:tcPr>
            <w:tcW w:type="dxa" w:w="1396"/>
            <w:shd w:val="clear" w:color="auto" w:fill="F2F5F9"/>
          </w:tcPr>
          <w:p>
            <w:pPr>
              <w:spacing w:after="20"/>
            </w:pPr>
            <w:r/>
            <w:r>
              <w:rPr>
                <w:sz w:val="17"/>
              </w:rPr>
              <w:t>Data engineering</w:t>
            </w:r>
          </w:p>
        </w:tc>
      </w:tr>
      <w:tr>
        <w:tc>
          <w:tcPr>
            <w:tcW w:type="dxa" w:w="2539"/>
          </w:tcPr>
          <w:p>
            <w:pPr>
              <w:spacing w:after="20"/>
            </w:pPr>
            <w:r/>
            <w:r>
              <w:rPr>
                <w:sz w:val="17"/>
              </w:rPr>
              <w:t>Cold-start items/stores (new launches)</w:t>
            </w:r>
          </w:p>
        </w:tc>
        <w:tc>
          <w:tcPr>
            <w:tcW w:type="dxa" w:w="1269"/>
          </w:tcPr>
          <w:p>
            <w:pPr>
              <w:spacing w:after="20"/>
            </w:pPr>
            <w:r/>
            <w:r>
              <w:rPr>
                <w:sz w:val="17"/>
              </w:rPr>
              <w:t>High</w:t>
            </w:r>
          </w:p>
        </w:tc>
        <w:tc>
          <w:tcPr>
            <w:tcW w:type="dxa" w:w="996"/>
          </w:tcPr>
          <w:p>
            <w:pPr>
              <w:spacing w:after="20"/>
            </w:pPr>
            <w:r/>
            <w:r>
              <w:rPr>
                <w:sz w:val="17"/>
              </w:rPr>
              <w:t>Medium</w:t>
            </w:r>
          </w:p>
        </w:tc>
        <w:tc>
          <w:tcPr>
            <w:tcW w:type="dxa" w:w="3438"/>
          </w:tcPr>
          <w:p>
            <w:pPr>
              <w:spacing w:after="20"/>
            </w:pPr>
            <w:r/>
            <w:r>
              <w:rPr>
                <w:sz w:val="17"/>
              </w:rPr>
              <w:t>Analogue forecasts; planner input for launches</w:t>
            </w:r>
          </w:p>
        </w:tc>
        <w:tc>
          <w:tcPr>
            <w:tcW w:type="dxa" w:w="1396"/>
          </w:tcPr>
          <w:p>
            <w:pPr>
              <w:spacing w:after="20"/>
            </w:pPr>
            <w:r/>
            <w:r>
              <w:rPr>
                <w:sz w:val="17"/>
              </w:rPr>
              <w:t>DS</w:t>
            </w:r>
          </w:p>
        </w:tc>
      </w:tr>
      <w:tr>
        <w:tc>
          <w:tcPr>
            <w:tcW w:type="dxa" w:w="2539"/>
            <w:shd w:val="clear" w:color="auto" w:fill="F2F5F9"/>
          </w:tcPr>
          <w:p>
            <w:pPr>
              <w:spacing w:after="20"/>
            </w:pPr>
            <w:r/>
            <w:r>
              <w:rPr>
                <w:sz w:val="17"/>
              </w:rPr>
              <w:t>Cannibalisation/halo between SKUs and substitution when out of stock</w:t>
            </w:r>
          </w:p>
        </w:tc>
        <w:tc>
          <w:tcPr>
            <w:tcW w:type="dxa" w:w="1269"/>
            <w:shd w:val="clear" w:color="auto" w:fill="F2F5F9"/>
          </w:tcPr>
          <w:p>
            <w:pPr>
              <w:spacing w:after="20"/>
            </w:pPr>
            <w:r/>
            <w:r>
              <w:rPr>
                <w:sz w:val="17"/>
              </w:rPr>
              <w:t>Medium</w:t>
            </w:r>
          </w:p>
        </w:tc>
        <w:tc>
          <w:tcPr>
            <w:tcW w:type="dxa" w:w="996"/>
            <w:shd w:val="clear" w:color="auto" w:fill="F2F5F9"/>
          </w:tcPr>
          <w:p>
            <w:pPr>
              <w:spacing w:after="20"/>
            </w:pPr>
            <w:r/>
            <w:r>
              <w:rPr>
                <w:sz w:val="17"/>
              </w:rPr>
              <w:t>Medium</w:t>
            </w:r>
          </w:p>
        </w:tc>
        <w:tc>
          <w:tcPr>
            <w:tcW w:type="dxa" w:w="3438"/>
            <w:shd w:val="clear" w:color="auto" w:fill="F2F5F9"/>
          </w:tcPr>
          <w:p>
            <w:pPr>
              <w:spacing w:after="20"/>
            </w:pPr>
            <w:r/>
            <w:r>
              <w:rPr>
                <w:sz w:val="17"/>
              </w:rPr>
              <w:t>Category-level reconciliation; treat as limitation; consider later</w:t>
            </w:r>
          </w:p>
        </w:tc>
        <w:tc>
          <w:tcPr>
            <w:tcW w:type="dxa" w:w="1396"/>
            <w:shd w:val="clear" w:color="auto" w:fill="F2F5F9"/>
          </w:tcPr>
          <w:p>
            <w:pPr>
              <w:spacing w:after="20"/>
            </w:pPr>
            <w:r/>
            <w:r>
              <w:rPr>
                <w:sz w:val="17"/>
              </w:rPr>
              <w:t>DS</w:t>
            </w:r>
          </w:p>
        </w:tc>
      </w:tr>
      <w:tr>
        <w:tc>
          <w:tcPr>
            <w:tcW w:type="dxa" w:w="2539"/>
          </w:tcPr>
          <w:p>
            <w:pPr>
              <w:spacing w:after="20"/>
            </w:pPr>
            <w:r/>
            <w:r>
              <w:rPr>
                <w:sz w:val="17"/>
              </w:rPr>
              <w:t>Data privacy/regulatory</w:t>
            </w:r>
          </w:p>
        </w:tc>
        <w:tc>
          <w:tcPr>
            <w:tcW w:type="dxa" w:w="1269"/>
          </w:tcPr>
          <w:p>
            <w:pPr>
              <w:spacing w:after="20"/>
            </w:pPr>
            <w:r/>
            <w:r>
              <w:rPr>
                <w:sz w:val="17"/>
              </w:rPr>
              <w:t>Low</w:t>
            </w:r>
          </w:p>
        </w:tc>
        <w:tc>
          <w:tcPr>
            <w:tcW w:type="dxa" w:w="996"/>
          </w:tcPr>
          <w:p>
            <w:pPr>
              <w:spacing w:after="20"/>
            </w:pPr>
            <w:r/>
            <w:r>
              <w:rPr>
                <w:sz w:val="17"/>
              </w:rPr>
              <w:t>Medium</w:t>
            </w:r>
          </w:p>
        </w:tc>
        <w:tc>
          <w:tcPr>
            <w:tcW w:type="dxa" w:w="3438"/>
          </w:tcPr>
          <w:p>
            <w:pPr>
              <w:spacing w:after="20"/>
            </w:pPr>
            <w:r/>
            <w:r>
              <w:rPr>
                <w:sz w:val="17"/>
              </w:rPr>
              <w:t>Drop customer identifiers; compliance review</w:t>
            </w:r>
          </w:p>
        </w:tc>
        <w:tc>
          <w:tcPr>
            <w:tcW w:type="dxa" w:w="1396"/>
          </w:tcPr>
          <w:p>
            <w:pPr>
              <w:spacing w:after="20"/>
            </w:pPr>
            <w:r/>
            <w:r>
              <w:rPr>
                <w:sz w:val="17"/>
              </w:rPr>
              <w:t>Client legal</w:t>
            </w:r>
          </w:p>
        </w:tc>
      </w:tr>
      <w:tr>
        <w:tc>
          <w:tcPr>
            <w:tcW w:type="dxa" w:w="2539"/>
            <w:shd w:val="clear" w:color="auto" w:fill="F2F5F9"/>
          </w:tcPr>
          <w:p>
            <w:pPr>
              <w:spacing w:after="20"/>
            </w:pPr>
            <w:r/>
            <w:r>
              <w:rPr>
                <w:sz w:val="17"/>
              </w:rPr>
              <w:t>Time-sensitivity: the autumn festival season may arrive before the model is ready</w:t>
            </w:r>
          </w:p>
        </w:tc>
        <w:tc>
          <w:tcPr>
            <w:tcW w:type="dxa" w:w="1269"/>
            <w:shd w:val="clear" w:color="auto" w:fill="F2F5F9"/>
          </w:tcPr>
          <w:p>
            <w:pPr>
              <w:spacing w:after="20"/>
            </w:pPr>
            <w:r/>
            <w:r>
              <w:rPr>
                <w:sz w:val="17"/>
              </w:rPr>
              <w:t>High</w:t>
            </w:r>
          </w:p>
        </w:tc>
        <w:tc>
          <w:tcPr>
            <w:tcW w:type="dxa" w:w="996"/>
            <w:shd w:val="clear" w:color="auto" w:fill="F2F5F9"/>
          </w:tcPr>
          <w:p>
            <w:pPr>
              <w:spacing w:after="20"/>
            </w:pPr>
            <w:r/>
            <w:r>
              <w:rPr>
                <w:sz w:val="17"/>
              </w:rPr>
              <w:t>High</w:t>
            </w:r>
          </w:p>
        </w:tc>
        <w:tc>
          <w:tcPr>
            <w:tcW w:type="dxa" w:w="3438"/>
            <w:shd w:val="clear" w:color="auto" w:fill="F2F5F9"/>
          </w:tcPr>
          <w:p>
            <w:pPr>
              <w:spacing w:after="20"/>
            </w:pPr>
            <w:r/>
            <w:r>
              <w:rPr>
                <w:sz w:val="17"/>
              </w:rPr>
              <w:t>Interim rule (B2-style festival uplift by category using last years' ratios, reviewed by category managers) in a quick-win track</w:t>
            </w:r>
          </w:p>
        </w:tc>
        <w:tc>
          <w:tcPr>
            <w:tcW w:type="dxa" w:w="1396"/>
            <w:shd w:val="clear" w:color="auto" w:fill="F2F5F9"/>
          </w:tcPr>
          <w:p>
            <w:pPr>
              <w:spacing w:after="20"/>
            </w:pPr>
            <w:r/>
            <w:r>
              <w:rPr>
                <w:sz w:val="17"/>
              </w:rPr>
              <w:t>DS + category team</w:t>
            </w:r>
          </w:p>
        </w:tc>
      </w:tr>
    </w:tbl>
    <w:p>
      <w:pPr>
        <w:spacing w:after="40"/>
      </w:pPr>
    </w:p>
    <w:p>
      <w:r>
        <w:rPr>
          <w:b/>
        </w:rPr>
        <w:t>Open decisions:</w:t>
      </w:r>
      <w:r>
        <w:rPr/>
        <w:t xml:space="preserve"> target service levels by category; order grain (store vs DC); override policy; pilot store selection; tools/platform.</w:t>
      </w:r>
    </w:p>
    <w:p>
      <w:pPr>
        <w:pStyle w:val="Heading2"/>
      </w:pPr>
      <w:r>
        <w:rPr/>
        <w:t>19. Phased Implementation Roadmap</w:t>
      </w:r>
    </w:p>
    <w:p>
      <w:r>
        <w:rPr>
          <w:i/>
        </w:rPr>
        <w:t>Effort ranges are provisional; they assume a small team (1 DS lead, 1–2 DS/ML engineers, 1 data engineer, part-time planner/category SME) and an unknown client stack.</w:t>
      </w:r>
    </w:p>
    <w:tbl>
      <w:tblPr>
        <w:tblStyle w:val="TableGrid"/>
        <w:tblW w:type="auto" w:w="0"/>
        <w:jc w:val="center"/>
        <w:tblLayout w:type="fixed"/>
        <w:tblLook w:firstColumn="1" w:firstRow="1" w:lastColumn="0" w:lastRow="0" w:noHBand="0" w:noVBand="1" w:val="04A0"/>
        <w:tblLayout w:type="fixed"/>
      </w:tblPr>
      <w:tblGrid>
        <w:gridCol w:w="1099"/>
        <w:gridCol w:w="2748"/>
        <w:gridCol w:w="1099"/>
        <w:gridCol w:w="1589"/>
        <w:gridCol w:w="1912"/>
        <w:gridCol w:w="1190"/>
      </w:tblGrid>
      <w:tr>
        <w:trPr>
          <w:tblHeader w:val="true"/>
        </w:trPr>
        <w:tc>
          <w:tcPr>
            <w:tcW w:type="dxa" w:w="1099"/>
            <w:shd w:val="clear" w:color="auto" w:fill="1F3A5F"/>
          </w:tcPr>
          <w:p>
            <w:r/>
            <w:r>
              <w:rPr>
                <w:b/>
                <w:color w:val="FFFFFF"/>
                <w:sz w:val="17"/>
              </w:rPr>
              <w:t>Phase</w:t>
            </w:r>
          </w:p>
        </w:tc>
        <w:tc>
          <w:tcPr>
            <w:tcW w:type="dxa" w:w="2748"/>
            <w:shd w:val="clear" w:color="auto" w:fill="1F3A5F"/>
          </w:tcPr>
          <w:p>
            <w:r/>
            <w:r>
              <w:rPr>
                <w:b/>
                <w:color w:val="FFFFFF"/>
                <w:sz w:val="17"/>
              </w:rPr>
              <w:t>Work package</w:t>
            </w:r>
          </w:p>
        </w:tc>
        <w:tc>
          <w:tcPr>
            <w:tcW w:type="dxa" w:w="1099"/>
            <w:shd w:val="clear" w:color="auto" w:fill="1F3A5F"/>
          </w:tcPr>
          <w:p>
            <w:r/>
            <w:r>
              <w:rPr>
                <w:b/>
                <w:color w:val="FFFFFF"/>
                <w:sz w:val="17"/>
              </w:rPr>
              <w:t>Dependencies</w:t>
            </w:r>
          </w:p>
        </w:tc>
        <w:tc>
          <w:tcPr>
            <w:tcW w:type="dxa" w:w="1589"/>
            <w:shd w:val="clear" w:color="auto" w:fill="1F3A5F"/>
          </w:tcPr>
          <w:p>
            <w:r/>
            <w:r>
              <w:rPr>
                <w:b/>
                <w:color w:val="FFFFFF"/>
                <w:sz w:val="17"/>
              </w:rPr>
              <w:t>Deliverables</w:t>
            </w:r>
          </w:p>
        </w:tc>
        <w:tc>
          <w:tcPr>
            <w:tcW w:type="dxa" w:w="1912"/>
            <w:shd w:val="clear" w:color="auto" w:fill="1F3A5F"/>
          </w:tcPr>
          <w:p>
            <w:r/>
            <w:r>
              <w:rPr>
                <w:b/>
                <w:color w:val="FFFFFF"/>
                <w:sz w:val="17"/>
              </w:rPr>
              <w:t>Acceptance criteria</w:t>
            </w:r>
          </w:p>
        </w:tc>
        <w:tc>
          <w:tcPr>
            <w:tcW w:type="dxa" w:w="1190"/>
            <w:shd w:val="clear" w:color="auto" w:fill="1F3A5F"/>
          </w:tcPr>
          <w:p>
            <w:r/>
            <w:r>
              <w:rPr>
                <w:b/>
                <w:color w:val="FFFFFF"/>
                <w:sz w:val="17"/>
              </w:rPr>
              <w:t>Indicative effort (provisional)</w:t>
            </w:r>
          </w:p>
        </w:tc>
      </w:tr>
      <w:tr>
        <w:tc>
          <w:tcPr>
            <w:tcW w:type="dxa" w:w="1099"/>
          </w:tcPr>
          <w:p>
            <w:pPr>
              <w:spacing w:after="20"/>
            </w:pPr>
            <w:r/>
            <w:r>
              <w:rPr>
                <w:sz w:val="17"/>
              </w:rPr>
              <w:t>0 Quick win</w:t>
            </w:r>
          </w:p>
        </w:tc>
        <w:tc>
          <w:tcPr>
            <w:tcW w:type="dxa" w:w="2748"/>
          </w:tcPr>
          <w:p>
            <w:pPr>
              <w:spacing w:after="20"/>
            </w:pPr>
            <w:r/>
            <w:r>
              <w:rPr>
                <w:sz w:val="17"/>
              </w:rPr>
              <w:t>Interim festival rule for the imminent season (fast POS extract by category×state×week; category-head review)</w:t>
            </w:r>
          </w:p>
        </w:tc>
        <w:tc>
          <w:tcPr>
            <w:tcW w:type="dxa" w:w="1099"/>
          </w:tcPr>
          <w:p>
            <w:pPr>
              <w:spacing w:after="20"/>
            </w:pPr>
            <w:r/>
            <w:r>
              <w:rPr>
                <w:sz w:val="17"/>
              </w:rPr>
              <w:t>Read access to POS history in week 1; sanity backtest on prior festivals</w:t>
            </w:r>
          </w:p>
        </w:tc>
        <w:tc>
          <w:tcPr>
            <w:tcW w:type="dxa" w:w="1589"/>
          </w:tcPr>
          <w:p>
            <w:pPr>
              <w:spacing w:after="20"/>
            </w:pPr>
            <w:r/>
            <w:r>
              <w:rPr>
                <w:sz w:val="17"/>
              </w:rPr>
              <w:t>Category-level festival uplift table and process note</w:t>
            </w:r>
          </w:p>
        </w:tc>
        <w:tc>
          <w:tcPr>
            <w:tcW w:type="dxa" w:w="1912"/>
          </w:tcPr>
          <w:p>
            <w:pPr>
              <w:spacing w:after="20"/>
            </w:pPr>
            <w:r/>
            <w:r>
              <w:rPr>
                <w:sz w:val="17"/>
              </w:rPr>
              <w:t>Reviewed and approved by category heads; limitations documented</w:t>
            </w:r>
          </w:p>
        </w:tc>
        <w:tc>
          <w:tcPr>
            <w:tcW w:type="dxa" w:w="1190"/>
          </w:tcPr>
          <w:p>
            <w:pPr>
              <w:spacing w:after="20"/>
            </w:pPr>
            <w:r/>
            <w:r>
              <w:rPr>
                <w:sz w:val="17"/>
              </w:rPr>
              <w:t>1–2 weeks</w:t>
            </w:r>
          </w:p>
        </w:tc>
      </w:tr>
      <w:tr>
        <w:tc>
          <w:tcPr>
            <w:tcW w:type="dxa" w:w="1099"/>
            <w:shd w:val="clear" w:color="auto" w:fill="F2F5F9"/>
          </w:tcPr>
          <w:p>
            <w:pPr>
              <w:spacing w:after="20"/>
            </w:pPr>
            <w:r/>
            <w:r>
              <w:rPr>
                <w:sz w:val="17"/>
              </w:rPr>
              <w:t>1 Discovery</w:t>
            </w:r>
          </w:p>
        </w:tc>
        <w:tc>
          <w:tcPr>
            <w:tcW w:type="dxa" w:w="2748"/>
            <w:shd w:val="clear" w:color="auto" w:fill="F2F5F9"/>
          </w:tcPr>
          <w:p>
            <w:pPr>
              <w:spacing w:after="20"/>
            </w:pPr>
            <w:r/>
            <w:r>
              <w:rPr>
                <w:sz w:val="17"/>
              </w:rPr>
              <w:t>Resolve Q1–Q7; data profiling; metric &amp; service-level agreement; reconstruct B0; pilot design</w:t>
            </w:r>
          </w:p>
        </w:tc>
        <w:tc>
          <w:tcPr>
            <w:tcW w:type="dxa" w:w="1099"/>
            <w:shd w:val="clear" w:color="auto" w:fill="F2F5F9"/>
          </w:tcPr>
          <w:p>
            <w:pPr>
              <w:spacing w:after="20"/>
            </w:pPr>
            <w:r/>
            <w:r>
              <w:rPr>
                <w:sz w:val="17"/>
              </w:rPr>
              <w:t>Access to data and stakeholders</w:t>
            </w:r>
          </w:p>
        </w:tc>
        <w:tc>
          <w:tcPr>
            <w:tcW w:type="dxa" w:w="1589"/>
            <w:shd w:val="clear" w:color="auto" w:fill="F2F5F9"/>
          </w:tcPr>
          <w:p>
            <w:pPr>
              <w:spacing w:after="20"/>
            </w:pPr>
            <w:r/>
            <w:r>
              <w:rPr>
                <w:sz w:val="17"/>
              </w:rPr>
              <w:t>Data readiness report; agreed KPI/targets; baseline definition</w:t>
            </w:r>
          </w:p>
        </w:tc>
        <w:tc>
          <w:tcPr>
            <w:tcW w:type="dxa" w:w="1912"/>
            <w:shd w:val="clear" w:color="auto" w:fill="F2F5F9"/>
          </w:tcPr>
          <w:p>
            <w:pPr>
              <w:spacing w:after="20"/>
            </w:pPr>
            <w:r/>
            <w:r>
              <w:rPr>
                <w:sz w:val="17"/>
              </w:rPr>
              <w:t>Q1/Q2 answered or contingency chosen; B0 reproducible; improvement margin and pilot MDE agreed</w:t>
            </w:r>
          </w:p>
        </w:tc>
        <w:tc>
          <w:tcPr>
            <w:tcW w:type="dxa" w:w="1190"/>
            <w:shd w:val="clear" w:color="auto" w:fill="F2F5F9"/>
          </w:tcPr>
          <w:p>
            <w:pPr>
              <w:spacing w:after="20"/>
            </w:pPr>
            <w:r/>
            <w:r>
              <w:rPr>
                <w:sz w:val="17"/>
              </w:rPr>
              <w:t>3–4 weeks</w:t>
            </w:r>
          </w:p>
        </w:tc>
      </w:tr>
      <w:tr>
        <w:tc>
          <w:tcPr>
            <w:tcW w:type="dxa" w:w="1099"/>
          </w:tcPr>
          <w:p>
            <w:pPr>
              <w:spacing w:after="20"/>
            </w:pPr>
            <w:r/>
            <w:r>
              <w:rPr>
                <w:sz w:val="17"/>
              </w:rPr>
              <w:t>1b Contingency (if Q1 or Q2 is 'no')</w:t>
            </w:r>
          </w:p>
        </w:tc>
        <w:tc>
          <w:tcPr>
            <w:tcW w:type="dxa" w:w="2748"/>
          </w:tcPr>
          <w:p>
            <w:pPr>
              <w:spacing w:after="20"/>
            </w:pPr>
            <w:r/>
            <w:r>
              <w:rPr>
                <w:sz w:val="17"/>
              </w:rPr>
              <w:t>Start daily stock-snapshot and promo-version capture immediately; build zero-run availability proxy; restrict promo features; label proxy-based stock-out KPI as uncalibrated</w:t>
            </w:r>
          </w:p>
        </w:tc>
        <w:tc>
          <w:tcPr>
            <w:tcW w:type="dxa" w:w="1099"/>
          </w:tcPr>
          <w:p>
            <w:pPr>
              <w:spacing w:after="20"/>
            </w:pPr>
            <w:r/>
            <w:r>
              <w:rPr>
                <w:sz w:val="17"/>
              </w:rPr>
              <w:t>Phase 1 findings</w:t>
            </w:r>
          </w:p>
        </w:tc>
        <w:tc>
          <w:tcPr>
            <w:tcW w:type="dxa" w:w="1589"/>
          </w:tcPr>
          <w:p>
            <w:pPr>
              <w:spacing w:after="20"/>
            </w:pPr>
            <w:r/>
            <w:r>
              <w:rPr>
                <w:sz w:val="17"/>
              </w:rPr>
              <w:t>Capture jobs; proxy validation on any overlapping stock data</w:t>
            </w:r>
          </w:p>
        </w:tc>
        <w:tc>
          <w:tcPr>
            <w:tcW w:type="dxa" w:w="1912"/>
          </w:tcPr>
          <w:p>
            <w:pPr>
              <w:spacing w:after="20"/>
            </w:pPr>
            <w:r/>
            <w:r>
              <w:rPr>
                <w:sz w:val="17"/>
              </w:rPr>
              <w:t>Capture running before modelling starts; limitations documented</w:t>
            </w:r>
          </w:p>
        </w:tc>
        <w:tc>
          <w:tcPr>
            <w:tcW w:type="dxa" w:w="1190"/>
          </w:tcPr>
          <w:p>
            <w:pPr>
              <w:spacing w:after="20"/>
            </w:pPr>
            <w:r/>
            <w:r>
              <w:rPr>
                <w:sz w:val="17"/>
              </w:rPr>
              <w:t>2–4 weeks in parallel; capture needs time to accumulate</w:t>
            </w:r>
          </w:p>
        </w:tc>
      </w:tr>
      <w:tr>
        <w:tc>
          <w:tcPr>
            <w:tcW w:type="dxa" w:w="1099"/>
            <w:shd w:val="clear" w:color="auto" w:fill="F2F5F9"/>
          </w:tcPr>
          <w:p>
            <w:pPr>
              <w:spacing w:after="20"/>
            </w:pPr>
            <w:r/>
            <w:r>
              <w:rPr>
                <w:sz w:val="17"/>
              </w:rPr>
              <w:t>2 Data engineering</w:t>
            </w:r>
          </w:p>
        </w:tc>
        <w:tc>
          <w:tcPr>
            <w:tcW w:type="dxa" w:w="2748"/>
            <w:shd w:val="clear" w:color="auto" w:fill="F2F5F9"/>
          </w:tcPr>
          <w:p>
            <w:pPr>
              <w:spacing w:after="20"/>
            </w:pPr>
            <w:r/>
            <w:r>
              <w:rPr>
                <w:sz w:val="17"/>
              </w:rPr>
              <w:t>Panel, calendars, festival mapping, availability flags, point-in-time promo store, feature pipeline</w:t>
            </w:r>
          </w:p>
        </w:tc>
        <w:tc>
          <w:tcPr>
            <w:tcW w:type="dxa" w:w="1099"/>
            <w:shd w:val="clear" w:color="auto" w:fill="F2F5F9"/>
          </w:tcPr>
          <w:p>
            <w:pPr>
              <w:spacing w:after="20"/>
            </w:pPr>
            <w:r/>
            <w:r>
              <w:rPr>
                <w:sz w:val="17"/>
              </w:rPr>
              <w:t>Phase 1</w:t>
            </w:r>
          </w:p>
        </w:tc>
        <w:tc>
          <w:tcPr>
            <w:tcW w:type="dxa" w:w="1589"/>
            <w:shd w:val="clear" w:color="auto" w:fill="F2F5F9"/>
          </w:tcPr>
          <w:p>
            <w:pPr>
              <w:spacing w:after="20"/>
            </w:pPr>
            <w:r/>
            <w:r>
              <w:rPr>
                <w:sz w:val="17"/>
              </w:rPr>
              <w:t>Versioned datasets and pipeline</w:t>
            </w:r>
          </w:p>
        </w:tc>
        <w:tc>
          <w:tcPr>
            <w:tcW w:type="dxa" w:w="1912"/>
            <w:shd w:val="clear" w:color="auto" w:fill="F2F5F9"/>
          </w:tcPr>
          <w:p>
            <w:pPr>
              <w:spacing w:after="20"/>
            </w:pPr>
            <w:r/>
            <w:r>
              <w:rPr>
                <w:sz w:val="17"/>
              </w:rPr>
              <w:t>Reconciliation to finance totals; timestamp unit tests pass</w:t>
            </w:r>
          </w:p>
        </w:tc>
        <w:tc>
          <w:tcPr>
            <w:tcW w:type="dxa" w:w="1190"/>
            <w:shd w:val="clear" w:color="auto" w:fill="F2F5F9"/>
          </w:tcPr>
          <w:p>
            <w:pPr>
              <w:spacing w:after="20"/>
            </w:pPr>
            <w:r/>
            <w:r>
              <w:rPr>
                <w:sz w:val="17"/>
              </w:rPr>
              <w:t>5–8 weeks</w:t>
            </w:r>
          </w:p>
        </w:tc>
      </w:tr>
      <w:tr>
        <w:tc>
          <w:tcPr>
            <w:tcW w:type="dxa" w:w="1099"/>
          </w:tcPr>
          <w:p>
            <w:pPr>
              <w:spacing w:after="20"/>
            </w:pPr>
            <w:r/>
            <w:r>
              <w:rPr>
                <w:sz w:val="17"/>
              </w:rPr>
              <w:t>3 Analysis/EDA</w:t>
            </w:r>
          </w:p>
        </w:tc>
        <w:tc>
          <w:tcPr>
            <w:tcW w:type="dxa" w:w="2748"/>
          </w:tcPr>
          <w:p>
            <w:pPr>
              <w:spacing w:after="20"/>
            </w:pPr>
            <w:r/>
            <w:r>
              <w:rPr>
                <w:sz w:val="17"/>
              </w:rPr>
              <w:t>Quality checks, event studies, velocity classes, festival indices</w:t>
            </w:r>
          </w:p>
        </w:tc>
        <w:tc>
          <w:tcPr>
            <w:tcW w:type="dxa" w:w="1099"/>
          </w:tcPr>
          <w:p>
            <w:pPr>
              <w:spacing w:after="20"/>
            </w:pPr>
            <w:r/>
            <w:r>
              <w:rPr>
                <w:sz w:val="17"/>
              </w:rPr>
              <w:t>Phase 2</w:t>
            </w:r>
          </w:p>
        </w:tc>
        <w:tc>
          <w:tcPr>
            <w:tcW w:type="dxa" w:w="1589"/>
          </w:tcPr>
          <w:p>
            <w:pPr>
              <w:spacing w:after="20"/>
            </w:pPr>
            <w:r/>
            <w:r>
              <w:rPr>
                <w:sz w:val="17"/>
              </w:rPr>
              <w:t>EDA report and data-quality log</w:t>
            </w:r>
          </w:p>
        </w:tc>
        <w:tc>
          <w:tcPr>
            <w:tcW w:type="dxa" w:w="1912"/>
          </w:tcPr>
          <w:p>
            <w:pPr>
              <w:spacing w:after="20"/>
            </w:pPr>
            <w:r/>
            <w:r>
              <w:rPr>
                <w:sz w:val="17"/>
              </w:rPr>
              <w:t>Issues triaged; assumptions updated</w:t>
            </w:r>
          </w:p>
        </w:tc>
        <w:tc>
          <w:tcPr>
            <w:tcW w:type="dxa" w:w="1190"/>
          </w:tcPr>
          <w:p>
            <w:pPr>
              <w:spacing w:after="20"/>
            </w:pPr>
            <w:r/>
            <w:r>
              <w:rPr>
                <w:sz w:val="17"/>
              </w:rPr>
              <w:t>2–3 weeks (overlaps Phase 2)</w:t>
            </w:r>
          </w:p>
        </w:tc>
      </w:tr>
      <w:tr>
        <w:tc>
          <w:tcPr>
            <w:tcW w:type="dxa" w:w="1099"/>
            <w:shd w:val="clear" w:color="auto" w:fill="F2F5F9"/>
          </w:tcPr>
          <w:p>
            <w:pPr>
              <w:spacing w:after="20"/>
            </w:pPr>
            <w:r/>
            <w:r>
              <w:rPr>
                <w:sz w:val="17"/>
              </w:rPr>
              <w:t>4 Modelling</w:t>
            </w:r>
          </w:p>
        </w:tc>
        <w:tc>
          <w:tcPr>
            <w:tcW w:type="dxa" w:w="2748"/>
            <w:shd w:val="clear" w:color="auto" w:fill="F2F5F9"/>
          </w:tcPr>
          <w:p>
            <w:pPr>
              <w:spacing w:after="20"/>
            </w:pPr>
            <w:r/>
            <w:r>
              <w:rPr>
                <w:sz w:val="17"/>
              </w:rPr>
              <w:t>E1–E7 experiments</w:t>
            </w:r>
          </w:p>
        </w:tc>
        <w:tc>
          <w:tcPr>
            <w:tcW w:type="dxa" w:w="1099"/>
            <w:shd w:val="clear" w:color="auto" w:fill="F2F5F9"/>
          </w:tcPr>
          <w:p>
            <w:pPr>
              <w:spacing w:after="20"/>
            </w:pPr>
            <w:r/>
            <w:r>
              <w:rPr>
                <w:sz w:val="17"/>
              </w:rPr>
              <w:t>Phases 2–3</w:t>
            </w:r>
          </w:p>
        </w:tc>
        <w:tc>
          <w:tcPr>
            <w:tcW w:type="dxa" w:w="1589"/>
            <w:shd w:val="clear" w:color="auto" w:fill="F2F5F9"/>
          </w:tcPr>
          <w:p>
            <w:pPr>
              <w:spacing w:after="20"/>
            </w:pPr>
            <w:r/>
            <w:r>
              <w:rPr>
                <w:sz w:val="17"/>
              </w:rPr>
              <w:t>Experiment log, candidate model(s), decision rule</w:t>
            </w:r>
          </w:p>
        </w:tc>
        <w:tc>
          <w:tcPr>
            <w:tcW w:type="dxa" w:w="1912"/>
            <w:shd w:val="clear" w:color="auto" w:fill="F2F5F9"/>
          </w:tcPr>
          <w:p>
            <w:pPr>
              <w:spacing w:after="20"/>
            </w:pPr>
            <w:r/>
            <w:r>
              <w:rPr>
                <w:sz w:val="17"/>
              </w:rPr>
              <w:t>Pre-declared margin over B0/B2/B3 or documented stop</w:t>
            </w:r>
          </w:p>
        </w:tc>
        <w:tc>
          <w:tcPr>
            <w:tcW w:type="dxa" w:w="1190"/>
            <w:shd w:val="clear" w:color="auto" w:fill="F2F5F9"/>
          </w:tcPr>
          <w:p>
            <w:pPr>
              <w:spacing w:after="20"/>
            </w:pPr>
            <w:r/>
            <w:r>
              <w:rPr>
                <w:sz w:val="17"/>
              </w:rPr>
              <w:t>6–10 weeks</w:t>
            </w:r>
          </w:p>
        </w:tc>
      </w:tr>
      <w:tr>
        <w:tc>
          <w:tcPr>
            <w:tcW w:type="dxa" w:w="1099"/>
          </w:tcPr>
          <w:p>
            <w:pPr>
              <w:spacing w:after="20"/>
            </w:pPr>
            <w:r/>
            <w:r>
              <w:rPr>
                <w:sz w:val="17"/>
              </w:rPr>
              <w:t>5 Validation</w:t>
            </w:r>
          </w:p>
        </w:tc>
        <w:tc>
          <w:tcPr>
            <w:tcW w:type="dxa" w:w="2748"/>
          </w:tcPr>
          <w:p>
            <w:pPr>
              <w:spacing w:after="20"/>
            </w:pPr>
            <w:r/>
            <w:r>
              <w:rPr>
                <w:sz w:val="17"/>
              </w:rPr>
              <w:t>Locked test; festival backtests; robustness; shadow run</w:t>
            </w:r>
          </w:p>
        </w:tc>
        <w:tc>
          <w:tcPr>
            <w:tcW w:type="dxa" w:w="1099"/>
          </w:tcPr>
          <w:p>
            <w:pPr>
              <w:spacing w:after="20"/>
            </w:pPr>
            <w:r/>
            <w:r>
              <w:rPr>
                <w:sz w:val="17"/>
              </w:rPr>
              <w:t>Phase 4</w:t>
            </w:r>
          </w:p>
        </w:tc>
        <w:tc>
          <w:tcPr>
            <w:tcW w:type="dxa" w:w="1589"/>
          </w:tcPr>
          <w:p>
            <w:pPr>
              <w:spacing w:after="20"/>
            </w:pPr>
            <w:r/>
            <w:r>
              <w:rPr>
                <w:sz w:val="17"/>
              </w:rPr>
              <w:t>Validation report; model card</w:t>
            </w:r>
          </w:p>
        </w:tc>
        <w:tc>
          <w:tcPr>
            <w:tcW w:type="dxa" w:w="1912"/>
          </w:tcPr>
          <w:p>
            <w:pPr>
              <w:spacing w:after="20"/>
            </w:pPr>
            <w:r/>
            <w:r>
              <w:rPr>
                <w:sz w:val="17"/>
              </w:rPr>
              <w:t>Acceptance criteria agreed in Phase 1 met</w:t>
            </w:r>
          </w:p>
        </w:tc>
        <w:tc>
          <w:tcPr>
            <w:tcW w:type="dxa" w:w="1190"/>
          </w:tcPr>
          <w:p>
            <w:pPr>
              <w:spacing w:after="20"/>
            </w:pPr>
            <w:r/>
            <w:r>
              <w:rPr>
                <w:sz w:val="17"/>
              </w:rPr>
              <w:t>3–4 weeks</w:t>
            </w:r>
          </w:p>
        </w:tc>
      </w:tr>
      <w:tr>
        <w:tc>
          <w:tcPr>
            <w:tcW w:type="dxa" w:w="1099"/>
            <w:shd w:val="clear" w:color="auto" w:fill="F2F5F9"/>
          </w:tcPr>
          <w:p>
            <w:pPr>
              <w:spacing w:after="20"/>
            </w:pPr>
            <w:r/>
            <w:r>
              <w:rPr>
                <w:sz w:val="17"/>
              </w:rPr>
              <w:t>6 Deployment &amp; pilot</w:t>
            </w:r>
          </w:p>
        </w:tc>
        <w:tc>
          <w:tcPr>
            <w:tcW w:type="dxa" w:w="2748"/>
            <w:shd w:val="clear" w:color="auto" w:fill="F2F5F9"/>
          </w:tcPr>
          <w:p>
            <w:pPr>
              <w:spacing w:after="20"/>
            </w:pPr>
            <w:r/>
            <w:r>
              <w:rPr>
                <w:sz w:val="17"/>
              </w:rPr>
              <w:t>Batch pipeline, planner UI/file, overrides, pilot in matched stores; the earliest pilot window likely misses the autumn festival season, so aim to cover the next major festival</w:t>
            </w:r>
          </w:p>
        </w:tc>
        <w:tc>
          <w:tcPr>
            <w:tcW w:type="dxa" w:w="1099"/>
            <w:shd w:val="clear" w:color="auto" w:fill="F2F5F9"/>
          </w:tcPr>
          <w:p>
            <w:pPr>
              <w:spacing w:after="20"/>
            </w:pPr>
            <w:r/>
            <w:r>
              <w:rPr>
                <w:sz w:val="17"/>
              </w:rPr>
              <w:t>Phase 5</w:t>
            </w:r>
          </w:p>
        </w:tc>
        <w:tc>
          <w:tcPr>
            <w:tcW w:type="dxa" w:w="1589"/>
            <w:shd w:val="clear" w:color="auto" w:fill="F2F5F9"/>
          </w:tcPr>
          <w:p>
            <w:pPr>
              <w:spacing w:after="20"/>
            </w:pPr>
            <w:r/>
            <w:r>
              <w:rPr>
                <w:sz w:val="17"/>
              </w:rPr>
              <w:t>Production pipeline; pilot results</w:t>
            </w:r>
          </w:p>
        </w:tc>
        <w:tc>
          <w:tcPr>
            <w:tcW w:type="dxa" w:w="1912"/>
            <w:shd w:val="clear" w:color="auto" w:fill="F2F5F9"/>
          </w:tcPr>
          <w:p>
            <w:pPr>
              <w:spacing w:after="20"/>
            </w:pPr>
            <w:r/>
            <w:r>
              <w:rPr>
                <w:sz w:val="17"/>
              </w:rPr>
              <w:t>Run completes before cut-off; pilot readout with CIs</w:t>
            </w:r>
          </w:p>
        </w:tc>
        <w:tc>
          <w:tcPr>
            <w:tcW w:type="dxa" w:w="1190"/>
            <w:shd w:val="clear" w:color="auto" w:fill="F2F5F9"/>
          </w:tcPr>
          <w:p>
            <w:pPr>
              <w:spacing w:after="20"/>
            </w:pPr>
            <w:r/>
            <w:r>
              <w:rPr>
                <w:sz w:val="17"/>
              </w:rPr>
              <w:t>8–12 weeks</w:t>
            </w:r>
          </w:p>
        </w:tc>
      </w:tr>
      <w:tr>
        <w:tc>
          <w:tcPr>
            <w:tcW w:type="dxa" w:w="1099"/>
          </w:tcPr>
          <w:p>
            <w:pPr>
              <w:spacing w:after="20"/>
            </w:pPr>
            <w:r/>
            <w:r>
              <w:rPr>
                <w:sz w:val="17"/>
              </w:rPr>
              <w:t>7 Monitoring</w:t>
            </w:r>
          </w:p>
        </w:tc>
        <w:tc>
          <w:tcPr>
            <w:tcW w:type="dxa" w:w="2748"/>
          </w:tcPr>
          <w:p>
            <w:pPr>
              <w:spacing w:after="20"/>
            </w:pPr>
            <w:r/>
            <w:r>
              <w:rPr>
                <w:sz w:val="17"/>
              </w:rPr>
              <w:t>Dashboards, alerts, retraining runbook, quarterly review</w:t>
            </w:r>
          </w:p>
        </w:tc>
        <w:tc>
          <w:tcPr>
            <w:tcW w:type="dxa" w:w="1099"/>
          </w:tcPr>
          <w:p>
            <w:pPr>
              <w:spacing w:after="20"/>
            </w:pPr>
            <w:r/>
            <w:r>
              <w:rPr>
                <w:sz w:val="17"/>
              </w:rPr>
              <w:t>Phase 6</w:t>
            </w:r>
          </w:p>
        </w:tc>
        <w:tc>
          <w:tcPr>
            <w:tcW w:type="dxa" w:w="1589"/>
          </w:tcPr>
          <w:p>
            <w:pPr>
              <w:spacing w:after="20"/>
            </w:pPr>
            <w:r/>
            <w:r>
              <w:rPr>
                <w:sz w:val="17"/>
              </w:rPr>
              <w:t>Monitoring and governance pack</w:t>
            </w:r>
          </w:p>
        </w:tc>
        <w:tc>
          <w:tcPr>
            <w:tcW w:type="dxa" w:w="1912"/>
          </w:tcPr>
          <w:p>
            <w:pPr>
              <w:spacing w:after="20"/>
            </w:pPr>
            <w:r/>
            <w:r>
              <w:rPr>
                <w:sz w:val="17"/>
              </w:rPr>
              <w:t>Thresholds agreed; owners named</w:t>
            </w:r>
          </w:p>
        </w:tc>
        <w:tc>
          <w:tcPr>
            <w:tcW w:type="dxa" w:w="1190"/>
          </w:tcPr>
          <w:p>
            <w:pPr>
              <w:spacing w:after="20"/>
            </w:pPr>
            <w:r/>
            <w:r>
              <w:rPr>
                <w:sz w:val="17"/>
              </w:rPr>
              <w:t>Ongoing</w:t>
            </w:r>
          </w:p>
        </w:tc>
      </w:tr>
    </w:tbl>
    <w:p>
      <w:pPr>
        <w:spacing w:after="40"/>
      </w:pPr>
    </w:p>
    <w:p>
      <w:pPr>
        <w:pStyle w:val="Heading2"/>
      </w:pPr>
      <w:r>
        <w:rPr/>
        <w:t>20. Decision Log</w:t>
      </w:r>
    </w:p>
    <w:tbl>
      <w:tblPr>
        <w:tblStyle w:val="TableGrid"/>
        <w:tblW w:type="auto" w:w="0"/>
        <w:jc w:val="center"/>
        <w:tblLayout w:type="fixed"/>
        <w:tblLook w:firstColumn="1" w:firstRow="1" w:lastColumn="0" w:lastRow="0" w:noHBand="0" w:noVBand="1" w:val="04A0"/>
        <w:tblLayout w:type="fixed"/>
      </w:tblPr>
      <w:tblGrid>
        <w:gridCol w:w="761"/>
        <w:gridCol w:w="2083"/>
        <w:gridCol w:w="1359"/>
        <w:gridCol w:w="1087"/>
        <w:gridCol w:w="1087"/>
        <w:gridCol w:w="1993"/>
        <w:gridCol w:w="1268"/>
      </w:tblGrid>
      <w:tr>
        <w:trPr>
          <w:tblHeader w:val="true"/>
        </w:trPr>
        <w:tc>
          <w:tcPr>
            <w:tcW w:type="dxa" w:w="761"/>
            <w:shd w:val="clear" w:color="auto" w:fill="1F3A5F"/>
          </w:tcPr>
          <w:p>
            <w:r/>
            <w:r>
              <w:rPr>
                <w:b/>
                <w:color w:val="FFFFFF"/>
                <w:sz w:val="15"/>
              </w:rPr>
              <w:t>#</w:t>
            </w:r>
          </w:p>
        </w:tc>
        <w:tc>
          <w:tcPr>
            <w:tcW w:type="dxa" w:w="2083"/>
            <w:shd w:val="clear" w:color="auto" w:fill="1F3A5F"/>
          </w:tcPr>
          <w:p>
            <w:r/>
            <w:r>
              <w:rPr>
                <w:b/>
                <w:color w:val="FFFFFF"/>
                <w:sz w:val="15"/>
              </w:rPr>
              <w:t>Decision/Recommendation</w:t>
            </w:r>
          </w:p>
        </w:tc>
        <w:tc>
          <w:tcPr>
            <w:tcW w:type="dxa" w:w="1359"/>
            <w:shd w:val="clear" w:color="auto" w:fill="1F3A5F"/>
          </w:tcPr>
          <w:p>
            <w:r/>
            <w:r>
              <w:rPr>
                <w:b/>
                <w:color w:val="FFFFFF"/>
                <w:sz w:val="15"/>
              </w:rPr>
              <w:t>Rationale</w:t>
            </w:r>
          </w:p>
        </w:tc>
        <w:tc>
          <w:tcPr>
            <w:tcW w:type="dxa" w:w="1087"/>
            <w:shd w:val="clear" w:color="auto" w:fill="1F3A5F"/>
          </w:tcPr>
          <w:p>
            <w:r/>
            <w:r>
              <w:rPr>
                <w:b/>
                <w:color w:val="FFFFFF"/>
                <w:sz w:val="15"/>
              </w:rPr>
              <w:t>Alternatives considered</w:t>
            </w:r>
          </w:p>
        </w:tc>
        <w:tc>
          <w:tcPr>
            <w:tcW w:type="dxa" w:w="1087"/>
            <w:shd w:val="clear" w:color="auto" w:fill="1F3A5F"/>
          </w:tcPr>
          <w:p>
            <w:r/>
            <w:r>
              <w:rPr>
                <w:b/>
                <w:color w:val="FFFFFF"/>
                <w:sz w:val="15"/>
              </w:rPr>
              <w:t>Key assumptions</w:t>
            </w:r>
          </w:p>
        </w:tc>
        <w:tc>
          <w:tcPr>
            <w:tcW w:type="dxa" w:w="1993"/>
            <w:shd w:val="clear" w:color="auto" w:fill="1F3A5F"/>
          </w:tcPr>
          <w:p>
            <w:r/>
            <w:r>
              <w:rPr>
                <w:b/>
                <w:color w:val="FFFFFF"/>
                <w:sz w:val="15"/>
              </w:rPr>
              <w:t>Risk</w:t>
            </w:r>
          </w:p>
        </w:tc>
        <w:tc>
          <w:tcPr>
            <w:tcW w:type="dxa" w:w="1268"/>
            <w:shd w:val="clear" w:color="auto" w:fill="1F3A5F"/>
          </w:tcPr>
          <w:p>
            <w:r/>
            <w:r>
              <w:rPr>
                <w:b/>
                <w:color w:val="FFFFFF"/>
                <w:sz w:val="15"/>
              </w:rPr>
              <w:t>Validation method</w:t>
            </w:r>
          </w:p>
        </w:tc>
      </w:tr>
      <w:tr>
        <w:tc>
          <w:tcPr>
            <w:tcW w:type="dxa" w:w="761"/>
          </w:tcPr>
          <w:p>
            <w:pPr>
              <w:spacing w:after="20"/>
            </w:pPr>
            <w:r/>
            <w:r>
              <w:rPr>
                <w:sz w:val="15"/>
              </w:rPr>
              <w:t>D1</w:t>
            </w:r>
          </w:p>
        </w:tc>
        <w:tc>
          <w:tcPr>
            <w:tcW w:type="dxa" w:w="2083"/>
          </w:tcPr>
          <w:p>
            <w:pPr>
              <w:spacing w:after="20"/>
            </w:pPr>
            <w:r/>
            <w:r>
              <w:rPr>
                <w:sz w:val="15"/>
              </w:rPr>
              <w:t>Forecast unconstrained demand, not sales</w:t>
            </w:r>
          </w:p>
        </w:tc>
        <w:tc>
          <w:tcPr>
            <w:tcW w:type="dxa" w:w="1359"/>
          </w:tcPr>
          <w:p>
            <w:pPr>
              <w:spacing w:after="20"/>
            </w:pPr>
            <w:r/>
            <w:r>
              <w:rPr>
                <w:sz w:val="15"/>
              </w:rPr>
              <w:t>Sales understate demand in stock-outs</w:t>
            </w:r>
          </w:p>
        </w:tc>
        <w:tc>
          <w:tcPr>
            <w:tcW w:type="dxa" w:w="1087"/>
          </w:tcPr>
          <w:p>
            <w:pPr>
              <w:spacing w:after="20"/>
            </w:pPr>
            <w:r/>
            <w:r>
              <w:rPr>
                <w:sz w:val="15"/>
              </w:rPr>
              <w:t>Forecast sales as-is</w:t>
            </w:r>
          </w:p>
        </w:tc>
        <w:tc>
          <w:tcPr>
            <w:tcW w:type="dxa" w:w="1087"/>
          </w:tcPr>
          <w:p>
            <w:pPr>
              <w:spacing w:after="20"/>
            </w:pPr>
            <w:r/>
            <w:r>
              <w:rPr>
                <w:sz w:val="15"/>
              </w:rPr>
              <w:t>Availability data or reliable proxy</w:t>
            </w:r>
          </w:p>
        </w:tc>
        <w:tc>
          <w:tcPr>
            <w:tcW w:type="dxa" w:w="1993"/>
          </w:tcPr>
          <w:p>
            <w:pPr>
              <w:spacing w:after="20"/>
            </w:pPr>
            <w:r/>
            <w:r>
              <w:rPr>
                <w:sz w:val="15"/>
              </w:rPr>
              <w:t>Imputation bias</w:t>
            </w:r>
          </w:p>
        </w:tc>
        <w:tc>
          <w:tcPr>
            <w:tcW w:type="dxa" w:w="1268"/>
          </w:tcPr>
          <w:p>
            <w:pPr>
              <w:spacing w:after="20"/>
            </w:pPr>
            <w:r/>
            <w:r>
              <w:rPr>
                <w:sz w:val="15"/>
              </w:rPr>
              <w:t>E4 / EX6</w:t>
            </w:r>
          </w:p>
        </w:tc>
      </w:tr>
      <w:tr>
        <w:tc>
          <w:tcPr>
            <w:tcW w:type="dxa" w:w="761"/>
            <w:shd w:val="clear" w:color="auto" w:fill="F2F5F9"/>
          </w:tcPr>
          <w:p>
            <w:pPr>
              <w:spacing w:after="20"/>
            </w:pPr>
            <w:r/>
            <w:r>
              <w:rPr>
                <w:sz w:val="15"/>
              </w:rPr>
              <w:t>D2</w:t>
            </w:r>
          </w:p>
        </w:tc>
        <w:tc>
          <w:tcPr>
            <w:tcW w:type="dxa" w:w="2083"/>
            <w:shd w:val="clear" w:color="auto" w:fill="F2F5F9"/>
          </w:tcPr>
          <w:p>
            <w:pPr>
              <w:spacing w:after="20"/>
            </w:pPr>
            <w:r/>
            <w:r>
              <w:rPr>
                <w:sz w:val="15"/>
              </w:rPr>
              <w:t>Probabilistic forecast over protection interval</w:t>
            </w:r>
          </w:p>
        </w:tc>
        <w:tc>
          <w:tcPr>
            <w:tcW w:type="dxa" w:w="1359"/>
            <w:shd w:val="clear" w:color="auto" w:fill="F2F5F9"/>
          </w:tcPr>
          <w:p>
            <w:pPr>
              <w:spacing w:after="20"/>
            </w:pPr>
            <w:r/>
            <w:r>
              <w:rPr>
                <w:sz w:val="15"/>
              </w:rPr>
              <w:t>Ordering depends on tail and window</w:t>
            </w:r>
          </w:p>
        </w:tc>
        <w:tc>
          <w:tcPr>
            <w:tcW w:type="dxa" w:w="1087"/>
            <w:shd w:val="clear" w:color="auto" w:fill="F2F5F9"/>
          </w:tcPr>
          <w:p>
            <w:pPr>
              <w:spacing w:after="20"/>
            </w:pPr>
            <w:r/>
            <w:r>
              <w:rPr>
                <w:sz w:val="15"/>
              </w:rPr>
              <w:t>Point forecast + fixed safety stock</w:t>
            </w:r>
          </w:p>
        </w:tc>
        <w:tc>
          <w:tcPr>
            <w:tcW w:type="dxa" w:w="1087"/>
            <w:shd w:val="clear" w:color="auto" w:fill="F2F5F9"/>
          </w:tcPr>
          <w:p>
            <w:pPr>
              <w:spacing w:after="20"/>
            </w:pPr>
            <w:r/>
            <w:r>
              <w:rPr>
                <w:sz w:val="15"/>
              </w:rPr>
              <w:t>Lead-time data</w:t>
            </w:r>
          </w:p>
        </w:tc>
        <w:tc>
          <w:tcPr>
            <w:tcW w:type="dxa" w:w="1993"/>
            <w:shd w:val="clear" w:color="auto" w:fill="F2F5F9"/>
          </w:tcPr>
          <w:p>
            <w:pPr>
              <w:spacing w:after="20"/>
            </w:pPr>
            <w:r/>
            <w:r>
              <w:rPr>
                <w:sz w:val="15"/>
              </w:rPr>
              <w:t>Calibration</w:t>
            </w:r>
          </w:p>
        </w:tc>
        <w:tc>
          <w:tcPr>
            <w:tcW w:type="dxa" w:w="1268"/>
            <w:shd w:val="clear" w:color="auto" w:fill="F2F5F9"/>
          </w:tcPr>
          <w:p>
            <w:pPr>
              <w:spacing w:after="20"/>
            </w:pPr>
            <w:r/>
            <w:r>
              <w:rPr>
                <w:sz w:val="15"/>
              </w:rPr>
              <w:t>EX8; coverage</w:t>
            </w:r>
          </w:p>
        </w:tc>
      </w:tr>
      <w:tr>
        <w:tc>
          <w:tcPr>
            <w:tcW w:type="dxa" w:w="761"/>
          </w:tcPr>
          <w:p>
            <w:pPr>
              <w:spacing w:after="20"/>
            </w:pPr>
            <w:r/>
            <w:r>
              <w:rPr>
                <w:sz w:val="15"/>
              </w:rPr>
              <w:t>D3</w:t>
            </w:r>
          </w:p>
        </w:tc>
        <w:tc>
          <w:tcPr>
            <w:tcW w:type="dxa" w:w="2083"/>
          </w:tcPr>
          <w:p>
            <w:pPr>
              <w:spacing w:after="20"/>
            </w:pPr>
            <w:r/>
            <w:r>
              <w:rPr>
                <w:sz w:val="15"/>
              </w:rPr>
              <w:t>Baseline = reproduced 4-week MA (B0), plus B1–B3</w:t>
            </w:r>
          </w:p>
        </w:tc>
        <w:tc>
          <w:tcPr>
            <w:tcW w:type="dxa" w:w="1359"/>
          </w:tcPr>
          <w:p>
            <w:pPr>
              <w:spacing w:after="20"/>
            </w:pPr>
            <w:r/>
            <w:r>
              <w:rPr>
                <w:sz w:val="15"/>
              </w:rPr>
              <w:t>Meaningful bar; client's own process</w:t>
            </w:r>
          </w:p>
        </w:tc>
        <w:tc>
          <w:tcPr>
            <w:tcW w:type="dxa" w:w="1087"/>
          </w:tcPr>
          <w:p>
            <w:pPr>
              <w:spacing w:after="20"/>
            </w:pPr>
            <w:r/>
            <w:r>
              <w:rPr>
                <w:sz w:val="15"/>
              </w:rPr>
              <w:t>Quoted accuracy figures</w:t>
            </w:r>
          </w:p>
        </w:tc>
        <w:tc>
          <w:tcPr>
            <w:tcW w:type="dxa" w:w="1087"/>
          </w:tcPr>
          <w:p>
            <w:pPr>
              <w:spacing w:after="20"/>
            </w:pPr>
            <w:r/>
            <w:r>
              <w:rPr>
                <w:sz w:val="15"/>
              </w:rPr>
              <w:t>Replicable from data</w:t>
            </w:r>
          </w:p>
        </w:tc>
        <w:tc>
          <w:tcPr>
            <w:tcW w:type="dxa" w:w="1993"/>
          </w:tcPr>
          <w:p>
            <w:pPr>
              <w:spacing w:after="20"/>
            </w:pPr>
            <w:r/>
            <w:r>
              <w:rPr>
                <w:sz w:val="15"/>
              </w:rPr>
              <w:t>Manual overrides invisible</w:t>
            </w:r>
          </w:p>
        </w:tc>
        <w:tc>
          <w:tcPr>
            <w:tcW w:type="dxa" w:w="1268"/>
          </w:tcPr>
          <w:p>
            <w:pPr>
              <w:spacing w:after="20"/>
            </w:pPr>
            <w:r/>
            <w:r>
              <w:rPr>
                <w:sz w:val="15"/>
              </w:rPr>
              <w:t>EX1</w:t>
            </w:r>
          </w:p>
        </w:tc>
      </w:tr>
      <w:tr>
        <w:tc>
          <w:tcPr>
            <w:tcW w:type="dxa" w:w="761"/>
            <w:shd w:val="clear" w:color="auto" w:fill="F2F5F9"/>
          </w:tcPr>
          <w:p>
            <w:pPr>
              <w:spacing w:after="20"/>
            </w:pPr>
            <w:r/>
            <w:r>
              <w:rPr>
                <w:sz w:val="15"/>
              </w:rPr>
              <w:t>D4</w:t>
            </w:r>
          </w:p>
        </w:tc>
        <w:tc>
          <w:tcPr>
            <w:tcW w:type="dxa" w:w="2083"/>
            <w:shd w:val="clear" w:color="auto" w:fill="F2F5F9"/>
          </w:tcPr>
          <w:p>
            <w:pPr>
              <w:spacing w:after="20"/>
            </w:pPr>
            <w:r/>
            <w:r>
              <w:rPr>
                <w:sz w:val="15"/>
              </w:rPr>
              <w:t>Global GBM first, statistical models by velocity class</w:t>
            </w:r>
          </w:p>
        </w:tc>
        <w:tc>
          <w:tcPr>
            <w:tcW w:type="dxa" w:w="1359"/>
            <w:shd w:val="clear" w:color="auto" w:fill="F2F5F9"/>
          </w:tcPr>
          <w:p>
            <w:pPr>
              <w:spacing w:after="20"/>
            </w:pPr>
            <w:r/>
            <w:r>
              <w:rPr>
                <w:sz w:val="15"/>
              </w:rPr>
              <w:t>Scale and sparse tail</w:t>
            </w:r>
          </w:p>
        </w:tc>
        <w:tc>
          <w:tcPr>
            <w:tcW w:type="dxa" w:w="1087"/>
            <w:shd w:val="clear" w:color="auto" w:fill="F2F5F9"/>
          </w:tcPr>
          <w:p>
            <w:pPr>
              <w:spacing w:after="20"/>
            </w:pPr>
            <w:r/>
            <w:r>
              <w:rPr>
                <w:sz w:val="15"/>
              </w:rPr>
              <w:t>Deep learning first</w:t>
            </w:r>
          </w:p>
        </w:tc>
        <w:tc>
          <w:tcPr>
            <w:tcW w:type="dxa" w:w="1087"/>
            <w:shd w:val="clear" w:color="auto" w:fill="F2F5F9"/>
          </w:tcPr>
          <w:p>
            <w:pPr>
              <w:spacing w:after="20"/>
            </w:pPr>
            <w:r/>
            <w:r>
              <w:rPr>
                <w:sz w:val="15"/>
              </w:rPr>
              <w:t>Feature panel feasible</w:t>
            </w:r>
          </w:p>
        </w:tc>
        <w:tc>
          <w:tcPr>
            <w:tcW w:type="dxa" w:w="1993"/>
            <w:shd w:val="clear" w:color="auto" w:fill="F2F5F9"/>
          </w:tcPr>
          <w:p>
            <w:pPr>
              <w:spacing w:after="20"/>
            </w:pPr>
            <w:r/>
            <w:r>
              <w:rPr>
                <w:sz w:val="15"/>
              </w:rPr>
              <w:t>Overfit</w:t>
            </w:r>
          </w:p>
        </w:tc>
        <w:tc>
          <w:tcPr>
            <w:tcW w:type="dxa" w:w="1268"/>
            <w:shd w:val="clear" w:color="auto" w:fill="F2F5F9"/>
          </w:tcPr>
          <w:p>
            <w:pPr>
              <w:spacing w:after="20"/>
            </w:pPr>
            <w:r/>
            <w:r>
              <w:rPr>
                <w:sz w:val="15"/>
              </w:rPr>
              <w:t>Rolling-origin comparison</w:t>
            </w:r>
          </w:p>
        </w:tc>
      </w:tr>
      <w:tr>
        <w:tc>
          <w:tcPr>
            <w:tcW w:type="dxa" w:w="761"/>
          </w:tcPr>
          <w:p>
            <w:pPr>
              <w:spacing w:after="20"/>
            </w:pPr>
            <w:r/>
            <w:r>
              <w:rPr>
                <w:sz w:val="15"/>
              </w:rPr>
              <w:t>D5</w:t>
            </w:r>
          </w:p>
        </w:tc>
        <w:tc>
          <w:tcPr>
            <w:tcW w:type="dxa" w:w="2083"/>
          </w:tcPr>
          <w:p>
            <w:pPr>
              <w:spacing w:after="20"/>
            </w:pPr>
            <w:r/>
            <w:r>
              <w:rPr>
                <w:sz w:val="15"/>
              </w:rPr>
              <w:t>Weekly-origin rolling backtest + festival strata + locked test</w:t>
            </w:r>
          </w:p>
        </w:tc>
        <w:tc>
          <w:tcPr>
            <w:tcW w:type="dxa" w:w="1359"/>
          </w:tcPr>
          <w:p>
            <w:pPr>
              <w:spacing w:after="20"/>
            </w:pPr>
            <w:r/>
            <w:r>
              <w:rPr>
                <w:sz w:val="15"/>
              </w:rPr>
              <w:t>Mirrors Monday process</w:t>
            </w:r>
          </w:p>
        </w:tc>
        <w:tc>
          <w:tcPr>
            <w:tcW w:type="dxa" w:w="1087"/>
          </w:tcPr>
          <w:p>
            <w:pPr>
              <w:spacing w:after="20"/>
            </w:pPr>
            <w:r/>
            <w:r>
              <w:rPr>
                <w:sz w:val="15"/>
              </w:rPr>
              <w:t>Random k-fold</w:t>
            </w:r>
          </w:p>
        </w:tc>
        <w:tc>
          <w:tcPr>
            <w:tcW w:type="dxa" w:w="1087"/>
          </w:tcPr>
          <w:p>
            <w:pPr>
              <w:spacing w:after="20"/>
            </w:pPr>
            <w:r/>
            <w:r>
              <w:rPr>
                <w:sz w:val="15"/>
              </w:rPr>
              <w:t>Dates reliable</w:t>
            </w:r>
          </w:p>
        </w:tc>
        <w:tc>
          <w:tcPr>
            <w:tcW w:type="dxa" w:w="1993"/>
          </w:tcPr>
          <w:p>
            <w:pPr>
              <w:spacing w:after="20"/>
            </w:pPr>
            <w:r/>
            <w:r>
              <w:rPr>
                <w:sz w:val="15"/>
              </w:rPr>
              <w:t>Few festival repeats</w:t>
            </w:r>
          </w:p>
        </w:tc>
        <w:tc>
          <w:tcPr>
            <w:tcW w:type="dxa" w:w="1268"/>
          </w:tcPr>
          <w:p>
            <w:pPr>
              <w:spacing w:after="20"/>
            </w:pPr>
            <w:r/>
            <w:r>
              <w:rPr>
                <w:sz w:val="15"/>
              </w:rPr>
              <w:t>Variance reporting</w:t>
            </w:r>
          </w:p>
        </w:tc>
      </w:tr>
      <w:tr>
        <w:tc>
          <w:tcPr>
            <w:tcW w:type="dxa" w:w="761"/>
            <w:shd w:val="clear" w:color="auto" w:fill="F2F5F9"/>
          </w:tcPr>
          <w:p>
            <w:pPr>
              <w:spacing w:after="20"/>
            </w:pPr>
            <w:r/>
            <w:r>
              <w:rPr>
                <w:sz w:val="15"/>
              </w:rPr>
              <w:t>D6</w:t>
            </w:r>
          </w:p>
        </w:tc>
        <w:tc>
          <w:tcPr>
            <w:tcW w:type="dxa" w:w="2083"/>
            <w:shd w:val="clear" w:color="auto" w:fill="F2F5F9"/>
          </w:tcPr>
          <w:p>
            <w:pPr>
              <w:spacing w:after="20"/>
            </w:pPr>
            <w:r/>
            <w:r>
              <w:rPr>
                <w:sz w:val="15"/>
              </w:rPr>
              <w:t>Promo features only as known at cut-off</w:t>
            </w:r>
          </w:p>
        </w:tc>
        <w:tc>
          <w:tcPr>
            <w:tcW w:type="dxa" w:w="1359"/>
            <w:shd w:val="clear" w:color="auto" w:fill="F2F5F9"/>
          </w:tcPr>
          <w:p>
            <w:pPr>
              <w:spacing w:after="20"/>
            </w:pPr>
            <w:r/>
            <w:r>
              <w:rPr>
                <w:sz w:val="15"/>
              </w:rPr>
              <w:t>Avoid future leakage</w:t>
            </w:r>
          </w:p>
        </w:tc>
        <w:tc>
          <w:tcPr>
            <w:tcW w:type="dxa" w:w="1087"/>
            <w:shd w:val="clear" w:color="auto" w:fill="F2F5F9"/>
          </w:tcPr>
          <w:p>
            <w:pPr>
              <w:spacing w:after="20"/>
            </w:pPr>
            <w:r/>
            <w:r>
              <w:rPr>
                <w:sz w:val="15"/>
              </w:rPr>
              <w:t>Use final calendar</w:t>
            </w:r>
          </w:p>
        </w:tc>
        <w:tc>
          <w:tcPr>
            <w:tcW w:type="dxa" w:w="1087"/>
            <w:shd w:val="clear" w:color="auto" w:fill="F2F5F9"/>
          </w:tcPr>
          <w:p>
            <w:pPr>
              <w:spacing w:after="20"/>
            </w:pPr>
            <w:r/>
            <w:r>
              <w:rPr>
                <w:sz w:val="15"/>
              </w:rPr>
              <w:t>Versions retrievable</w:t>
            </w:r>
          </w:p>
        </w:tc>
        <w:tc>
          <w:tcPr>
            <w:tcW w:type="dxa" w:w="1993"/>
            <w:shd w:val="clear" w:color="auto" w:fill="F2F5F9"/>
          </w:tcPr>
          <w:p>
            <w:pPr>
              <w:spacing w:after="20"/>
            </w:pPr>
            <w:r/>
            <w:r>
              <w:rPr>
                <w:sz w:val="15"/>
              </w:rPr>
              <w:t>Weaker features</w:t>
            </w:r>
          </w:p>
        </w:tc>
        <w:tc>
          <w:tcPr>
            <w:tcW w:type="dxa" w:w="1268"/>
            <w:shd w:val="clear" w:color="auto" w:fill="F2F5F9"/>
          </w:tcPr>
          <w:p>
            <w:pPr>
              <w:spacing w:after="20"/>
            </w:pPr>
            <w:r/>
            <w:r>
              <w:rPr>
                <w:sz w:val="15"/>
              </w:rPr>
              <w:t>EX5</w:t>
            </w:r>
          </w:p>
        </w:tc>
      </w:tr>
      <w:tr>
        <w:tc>
          <w:tcPr>
            <w:tcW w:type="dxa" w:w="761"/>
          </w:tcPr>
          <w:p>
            <w:pPr>
              <w:spacing w:after="20"/>
            </w:pPr>
            <w:r/>
            <w:r>
              <w:rPr>
                <w:sz w:val="15"/>
              </w:rPr>
              <w:t>D7</w:t>
            </w:r>
          </w:p>
        </w:tc>
        <w:tc>
          <w:tcPr>
            <w:tcW w:type="dxa" w:w="2083"/>
          </w:tcPr>
          <w:p>
            <w:pPr>
              <w:spacing w:after="20"/>
            </w:pPr>
            <w:r/>
            <w:r>
              <w:rPr>
                <w:sz w:val="15"/>
              </w:rPr>
              <w:t>WAPE/pinball/bias/FVA; reject MAPE</w:t>
            </w:r>
          </w:p>
        </w:tc>
        <w:tc>
          <w:tcPr>
            <w:tcW w:type="dxa" w:w="1359"/>
          </w:tcPr>
          <w:p>
            <w:pPr>
              <w:spacing w:after="20"/>
            </w:pPr>
            <w:r/>
            <w:r>
              <w:rPr>
                <w:sz w:val="15"/>
              </w:rPr>
              <w:t>Intermittent, volume-weighted</w:t>
            </w:r>
          </w:p>
        </w:tc>
        <w:tc>
          <w:tcPr>
            <w:tcW w:type="dxa" w:w="1087"/>
          </w:tcPr>
          <w:p>
            <w:pPr>
              <w:spacing w:after="20"/>
            </w:pPr>
            <w:r/>
            <w:r>
              <w:rPr>
                <w:sz w:val="15"/>
              </w:rPr>
              <w:t>MAPE, accuracy at row level</w:t>
            </w:r>
          </w:p>
        </w:tc>
        <w:tc>
          <w:tcPr>
            <w:tcW w:type="dxa" w:w="1087"/>
          </w:tcPr>
          <w:p>
            <w:pPr>
              <w:spacing w:after="20"/>
            </w:pPr>
            <w:r/>
            <w:r>
              <w:rPr>
                <w:sz w:val="15"/>
              </w:rPr>
              <w:t>–</w:t>
            </w:r>
          </w:p>
        </w:tc>
        <w:tc>
          <w:tcPr>
            <w:tcW w:type="dxa" w:w="1993"/>
          </w:tcPr>
          <w:p>
            <w:pPr>
              <w:spacing w:after="20"/>
            </w:pPr>
            <w:r/>
            <w:r>
              <w:rPr>
                <w:sz w:val="15"/>
              </w:rPr>
              <w:t>Metric gaming</w:t>
            </w:r>
          </w:p>
        </w:tc>
        <w:tc>
          <w:tcPr>
            <w:tcW w:type="dxa" w:w="1268"/>
          </w:tcPr>
          <w:p>
            <w:pPr>
              <w:spacing w:after="20"/>
            </w:pPr>
            <w:r/>
            <w:r>
              <w:rPr>
                <w:sz w:val="15"/>
              </w:rPr>
              <w:t>Class slices</w:t>
            </w:r>
          </w:p>
        </w:tc>
      </w:tr>
      <w:tr>
        <w:tc>
          <w:tcPr>
            <w:tcW w:type="dxa" w:w="761"/>
            <w:shd w:val="clear" w:color="auto" w:fill="F2F5F9"/>
          </w:tcPr>
          <w:p>
            <w:pPr>
              <w:spacing w:after="20"/>
            </w:pPr>
            <w:r/>
            <w:r>
              <w:rPr>
                <w:sz w:val="15"/>
              </w:rPr>
              <w:t>D8</w:t>
            </w:r>
          </w:p>
        </w:tc>
        <w:tc>
          <w:tcPr>
            <w:tcW w:type="dxa" w:w="2083"/>
            <w:shd w:val="clear" w:color="auto" w:fill="F2F5F9"/>
          </w:tcPr>
          <w:p>
            <w:pPr>
              <w:spacing w:after="20"/>
            </w:pPr>
            <w:r/>
            <w:r>
              <w:rPr>
                <w:sz w:val="15"/>
              </w:rPr>
              <w:t>Stock-out benefit proven via pilot (DiD/matched stores)</w:t>
            </w:r>
          </w:p>
        </w:tc>
        <w:tc>
          <w:tcPr>
            <w:tcW w:type="dxa" w:w="1359"/>
            <w:shd w:val="clear" w:color="auto" w:fill="F2F5F9"/>
          </w:tcPr>
          <w:p>
            <w:pPr>
              <w:spacing w:after="20"/>
            </w:pPr>
            <w:r/>
            <w:r>
              <w:rPr>
                <w:sz w:val="15"/>
              </w:rPr>
              <w:t>Backtest ≠ business impact</w:t>
            </w:r>
          </w:p>
        </w:tc>
        <w:tc>
          <w:tcPr>
            <w:tcW w:type="dxa" w:w="1087"/>
            <w:shd w:val="clear" w:color="auto" w:fill="F2F5F9"/>
          </w:tcPr>
          <w:p>
            <w:pPr>
              <w:spacing w:after="20"/>
            </w:pPr>
            <w:r/>
            <w:r>
              <w:rPr>
                <w:sz w:val="15"/>
              </w:rPr>
              <w:t>Before/after comparison</w:t>
            </w:r>
          </w:p>
        </w:tc>
        <w:tc>
          <w:tcPr>
            <w:tcW w:type="dxa" w:w="1087"/>
            <w:shd w:val="clear" w:color="auto" w:fill="F2F5F9"/>
          </w:tcPr>
          <w:p>
            <w:pPr>
              <w:spacing w:after="20"/>
            </w:pPr>
            <w:r/>
            <w:r>
              <w:rPr>
                <w:sz w:val="15"/>
              </w:rPr>
              <w:t>Pilot feasible</w:t>
            </w:r>
          </w:p>
        </w:tc>
        <w:tc>
          <w:tcPr>
            <w:tcW w:type="dxa" w:w="1993"/>
            <w:shd w:val="clear" w:color="auto" w:fill="F2F5F9"/>
          </w:tcPr>
          <w:p>
            <w:pPr>
              <w:spacing w:after="20"/>
            </w:pPr>
            <w:r/>
            <w:r>
              <w:rPr>
                <w:sz w:val="15"/>
              </w:rPr>
              <w:t>Contamination</w:t>
            </w:r>
          </w:p>
        </w:tc>
        <w:tc>
          <w:tcPr>
            <w:tcW w:type="dxa" w:w="1268"/>
            <w:shd w:val="clear" w:color="auto" w:fill="F2F5F9"/>
          </w:tcPr>
          <w:p>
            <w:pPr>
              <w:spacing w:after="20"/>
            </w:pPr>
            <w:r/>
            <w:r>
              <w:rPr>
                <w:sz w:val="15"/>
              </w:rPr>
              <w:t>§14</w:t>
            </w:r>
          </w:p>
        </w:tc>
      </w:tr>
      <w:tr>
        <w:tc>
          <w:tcPr>
            <w:tcW w:type="dxa" w:w="761"/>
          </w:tcPr>
          <w:p>
            <w:pPr>
              <w:spacing w:after="20"/>
            </w:pPr>
            <w:r/>
            <w:r>
              <w:rPr>
                <w:sz w:val="15"/>
              </w:rPr>
              <w:t>D9</w:t>
            </w:r>
          </w:p>
        </w:tc>
        <w:tc>
          <w:tcPr>
            <w:tcW w:type="dxa" w:w="2083"/>
          </w:tcPr>
          <w:p>
            <w:pPr>
              <w:spacing w:after="20"/>
            </w:pPr>
            <w:r/>
            <w:r>
              <w:rPr>
                <w:sz w:val="15"/>
              </w:rPr>
              <w:t>Planner-in-the-loop with fallback</w:t>
            </w:r>
          </w:p>
        </w:tc>
        <w:tc>
          <w:tcPr>
            <w:tcW w:type="dxa" w:w="1359"/>
          </w:tcPr>
          <w:p>
            <w:pPr>
              <w:spacing w:after="20"/>
            </w:pPr>
            <w:r/>
            <w:r>
              <w:rPr>
                <w:sz w:val="15"/>
              </w:rPr>
              <w:t>Adoption, safety</w:t>
            </w:r>
          </w:p>
        </w:tc>
        <w:tc>
          <w:tcPr>
            <w:tcW w:type="dxa" w:w="1087"/>
          </w:tcPr>
          <w:p>
            <w:pPr>
              <w:spacing w:after="20"/>
            </w:pPr>
            <w:r/>
            <w:r>
              <w:rPr>
                <w:sz w:val="15"/>
              </w:rPr>
              <w:t>Full automation</w:t>
            </w:r>
          </w:p>
        </w:tc>
        <w:tc>
          <w:tcPr>
            <w:tcW w:type="dxa" w:w="1087"/>
          </w:tcPr>
          <w:p>
            <w:pPr>
              <w:spacing w:after="20"/>
            </w:pPr>
            <w:r/>
            <w:r>
              <w:rPr>
                <w:sz w:val="15"/>
              </w:rPr>
              <w:t>Planners available</w:t>
            </w:r>
          </w:p>
        </w:tc>
        <w:tc>
          <w:tcPr>
            <w:tcW w:type="dxa" w:w="1993"/>
          </w:tcPr>
          <w:p>
            <w:pPr>
              <w:spacing w:after="20"/>
            </w:pPr>
            <w:r/>
            <w:r>
              <w:rPr>
                <w:sz w:val="15"/>
              </w:rPr>
              <w:t>Over-trust/under-trust</w:t>
            </w:r>
          </w:p>
        </w:tc>
        <w:tc>
          <w:tcPr>
            <w:tcW w:type="dxa" w:w="1268"/>
          </w:tcPr>
          <w:p>
            <w:pPr>
              <w:spacing w:after="20"/>
            </w:pPr>
            <w:r/>
            <w:r>
              <w:rPr>
                <w:sz w:val="15"/>
              </w:rPr>
              <w:t>Override FVA</w:t>
            </w:r>
          </w:p>
        </w:tc>
      </w:tr>
      <w:tr>
        <w:tc>
          <w:tcPr>
            <w:tcW w:type="dxa" w:w="761"/>
            <w:shd w:val="clear" w:color="auto" w:fill="F2F5F9"/>
          </w:tcPr>
          <w:p>
            <w:pPr>
              <w:spacing w:after="20"/>
            </w:pPr>
            <w:r/>
            <w:r>
              <w:rPr>
                <w:sz w:val="15"/>
              </w:rPr>
              <w:t>D10</w:t>
            </w:r>
          </w:p>
        </w:tc>
        <w:tc>
          <w:tcPr>
            <w:tcW w:type="dxa" w:w="2083"/>
            <w:shd w:val="clear" w:color="auto" w:fill="F2F5F9"/>
          </w:tcPr>
          <w:p>
            <w:pPr>
              <w:spacing w:after="20"/>
            </w:pPr>
            <w:r/>
            <w:r>
              <w:rPr>
                <w:sz w:val="15"/>
              </w:rPr>
              <w:t>Interim festival rule while model is built</w:t>
            </w:r>
          </w:p>
        </w:tc>
        <w:tc>
          <w:tcPr>
            <w:tcW w:type="dxa" w:w="1359"/>
            <w:shd w:val="clear" w:color="auto" w:fill="F2F5F9"/>
          </w:tcPr>
          <w:p>
            <w:pPr>
              <w:spacing w:after="20"/>
            </w:pPr>
            <w:r/>
            <w:r>
              <w:rPr>
                <w:sz w:val="15"/>
              </w:rPr>
              <w:t>Season timing</w:t>
            </w:r>
          </w:p>
        </w:tc>
        <w:tc>
          <w:tcPr>
            <w:tcW w:type="dxa" w:w="1087"/>
            <w:shd w:val="clear" w:color="auto" w:fill="F2F5F9"/>
          </w:tcPr>
          <w:p>
            <w:pPr>
              <w:spacing w:after="20"/>
            </w:pPr>
            <w:r/>
            <w:r>
              <w:rPr>
                <w:sz w:val="15"/>
              </w:rPr>
              <w:t>Wait for model</w:t>
            </w:r>
          </w:p>
        </w:tc>
        <w:tc>
          <w:tcPr>
            <w:tcW w:type="dxa" w:w="1087"/>
            <w:shd w:val="clear" w:color="auto" w:fill="F2F5F9"/>
          </w:tcPr>
          <w:p>
            <w:pPr>
              <w:spacing w:after="20"/>
            </w:pPr>
            <w:r/>
            <w:r>
              <w:rPr>
                <w:sz w:val="15"/>
              </w:rPr>
              <w:t>Category input</w:t>
            </w:r>
          </w:p>
        </w:tc>
        <w:tc>
          <w:tcPr>
            <w:tcW w:type="dxa" w:w="1993"/>
            <w:shd w:val="clear" w:color="auto" w:fill="F2F5F9"/>
          </w:tcPr>
          <w:p>
            <w:pPr>
              <w:spacing w:after="20"/>
            </w:pPr>
            <w:r/>
            <w:r>
              <w:rPr>
                <w:sz w:val="15"/>
              </w:rPr>
              <w:t>Rule inaccuracy</w:t>
            </w:r>
          </w:p>
        </w:tc>
        <w:tc>
          <w:tcPr>
            <w:tcW w:type="dxa" w:w="1268"/>
            <w:shd w:val="clear" w:color="auto" w:fill="F2F5F9"/>
          </w:tcPr>
          <w:p>
            <w:pPr>
              <w:spacing w:after="20"/>
            </w:pPr>
            <w:r/>
            <w:r>
              <w:rPr>
                <w:sz w:val="15"/>
              </w:rPr>
              <w:t>Compare vs actual after season</w:t>
            </w:r>
          </w:p>
        </w:tc>
      </w:tr>
    </w:tbl>
    <w:p>
      <w:pPr>
        <w:spacing w:after="40"/>
      </w:pPr>
    </w:p>
    <w:p>
      <w:pPr>
        <w:pStyle w:val="Heading2"/>
      </w:pPr>
      <w:r>
        <w:rPr/>
        <w:t>Glossary and value framing</w:t>
      </w:r>
    </w:p>
    <w:p>
      <w:pPr>
        <w:pStyle w:val="ListBullet"/>
        <w:spacing w:after="40"/>
        <w:ind w:left="357" w:hanging="357"/>
      </w:pPr>
      <w:r>
        <w:rPr>
          <w:b/>
        </w:rPr>
        <w:t>WAPE:</w:t>
      </w:r>
      <w:r>
        <w:rPr/>
        <w:t xml:space="preserve"> weighted absolute percentage error (total absolute error ÷ total actual demand).</w:t>
      </w:r>
    </w:p>
    <w:p>
      <w:pPr>
        <w:pStyle w:val="ListBullet"/>
        <w:spacing w:after="40"/>
        <w:ind w:left="357" w:hanging="357"/>
      </w:pPr>
      <w:r>
        <w:rPr>
          <w:b/>
        </w:rPr>
        <w:t>FVA:</w:t>
      </w:r>
      <w:r>
        <w:rPr/>
        <w:t xml:space="preserve"> forecast value added: how much better the new forecast is than the current process.</w:t>
      </w:r>
    </w:p>
    <w:p>
      <w:pPr>
        <w:pStyle w:val="ListBullet"/>
        <w:spacing w:after="40"/>
        <w:ind w:left="357" w:hanging="357"/>
      </w:pPr>
      <w:r>
        <w:rPr>
          <w:b/>
        </w:rPr>
        <w:t>Pinball loss:</w:t>
      </w:r>
      <w:r>
        <w:rPr/>
        <w:t xml:space="preserve"> error measure for quantile (percentile) forecasts.</w:t>
      </w:r>
    </w:p>
    <w:p>
      <w:pPr>
        <w:pStyle w:val="ListBullet"/>
        <w:spacing w:after="40"/>
        <w:ind w:left="357" w:hanging="357"/>
      </w:pPr>
      <w:r>
        <w:rPr>
          <w:b/>
        </w:rPr>
        <w:t>Protection interval:</w:t>
      </w:r>
      <w:r>
        <w:rPr/>
        <w:t xml:space="preserve"> lead time + review period, the time one order has to cover.</w:t>
      </w:r>
    </w:p>
    <w:p>
      <w:pPr>
        <w:pStyle w:val="ListBullet"/>
        <w:spacing w:after="40"/>
        <w:ind w:left="357" w:hanging="357"/>
      </w:pPr>
      <w:r>
        <w:rPr>
          <w:b/>
        </w:rPr>
        <w:t>ADI/CV²:</w:t>
      </w:r>
      <w:r>
        <w:rPr/>
        <w:t xml:space="preserve"> statistics classifying demand as smooth, erratic, intermittent or lumpy.</w:t>
      </w:r>
    </w:p>
    <w:p>
      <w:pPr>
        <w:pStyle w:val="ListBullet"/>
        <w:spacing w:after="40"/>
        <w:ind w:left="357" w:hanging="357"/>
      </w:pPr>
      <w:r>
        <w:rPr>
          <w:b/>
        </w:rPr>
        <w:t>TSB/Croston:</w:t>
      </w:r>
      <w:r>
        <w:rPr/>
        <w:t xml:space="preserve"> methods for products that sell sporadically.</w:t>
      </w:r>
    </w:p>
    <w:p>
      <w:pPr>
        <w:pStyle w:val="ListBullet"/>
        <w:spacing w:after="40"/>
        <w:ind w:left="357" w:hanging="357"/>
      </w:pPr>
      <w:r>
        <w:rPr>
          <w:b/>
        </w:rPr>
        <w:t>MinT/reconciliation:</w:t>
      </w:r>
      <w:r>
        <w:rPr/>
        <w:t xml:space="preserve"> adjusts forecasts so SKU, store and category totals agree.</w:t>
      </w:r>
    </w:p>
    <w:p>
      <w:pPr>
        <w:pStyle w:val="ListBullet"/>
        <w:spacing w:after="40"/>
        <w:ind w:left="357" w:hanging="357"/>
      </w:pPr>
      <w:r>
        <w:rPr>
          <w:b/>
        </w:rPr>
        <w:t>PSI:</w:t>
      </w:r>
      <w:r>
        <w:rPr/>
        <w:t xml:space="preserve"> population stability index, a drift measure.</w:t>
      </w:r>
    </w:p>
    <w:p>
      <w:pPr>
        <w:pStyle w:val="ListBullet"/>
        <w:spacing w:after="40"/>
        <w:ind w:left="357" w:hanging="357"/>
      </w:pPr>
      <w:r>
        <w:rPr>
          <w:b/>
        </w:rPr>
        <w:t>DiD:</w:t>
      </w:r>
      <w:r>
        <w:rPr/>
        <w:t xml:space="preserve"> difference-in-differences, comparing changes in pilot vs control stores.</w:t>
      </w:r>
    </w:p>
    <w:p>
      <w:r>
        <w:rPr>
          <w:b/>
        </w:rPr>
        <w:t>Value framing.</w:t>
      </w:r>
      <w:r>
        <w:rPr/>
        <w:t xml:space="preserve"> Value is avoided lost sales and wastage net of holding cost, to be estimated from category margins and measured in the pilot; no value estimate is made here.</w:t>
      </w:r>
    </w:p>
    <w:p>
      <w:pPr>
        <w:pStyle w:val="Heading2"/>
      </w:pPr>
      <w:r>
        <w:rPr/>
        <w:t>21. References</w:t>
      </w:r>
    </w:p>
    <w:p>
      <w:r>
        <w:rPr/>
        <w:t xml:space="preserve">None consulted for this draft; no external sources were relied on. Festival dates for the upcoming season and any regulatory references (DPDP Act 2023 requirements) are </w:t>
      </w:r>
      <w:r>
        <w:rPr>
          <w:b/>
        </w:rPr>
        <w:t>to be verified</w:t>
      </w:r>
      <w:r>
        <w:rPr/>
        <w:t xml:space="preserve"> before client release.</w:t>
      </w:r>
    </w:p>
    <w:sectPr w:rsidR="00FC693F" w:rsidRPr="0006063C" w:rsidSect="00034616">
      <w:headerReference w:type="default" r:id="rId9"/>
      <w:footerReference w:type="default" r:id="rId10"/>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  Page </w:t>
    </w:r>
    <w:r>
      <w:fldChar w:fldCharType="begin"/>
      <w:instrText xml:space="preserve">PAGE</w:instrText>
      <w:fldChar w:fldCharType="separate"/>
      <w:t>1</w:t>
      <w:fldChar w:fldCharType="end"/>
    </w:r>
    <w:r>
      <w:rPr>
        <w:color w:val="595959"/>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Store-Level Weekly Demand Forecasting &amp; Stock-out Reduction — Data Science Solution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eastAsia="Calibri"/>
      <w:b/>
      <w:bCs/>
      <w:i/>
      <w:iCs/>
      <w:color w:val="2E75B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