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eastAsia="黑体"/>
          <w:b/>
          <w:i w:val="0"/>
          <w:color w:val="000000"/>
          <w:sz w:val="36"/>
        </w:rPr>
        <w:t>多数据源融合的互联网个人贷款风控系统后端技术选型报告</w:t>
      </w:r>
    </w:p>
    <w:p>
      <w:pPr>
        <w:spacing w:after="320"/>
        <w:jc w:val="center"/>
      </w:pPr>
      <w:r>
        <w:rPr>
          <w:rFonts w:ascii="Times New Roman" w:hAnsi="Times New Roman" w:eastAsia="黑体"/>
          <w:b w:val="0"/>
          <w:i w:val="0"/>
          <w:color w:val="000000"/>
          <w:sz w:val="24"/>
        </w:rPr>
        <w:t>进阶式挑战性综合项目I（互联网+金融方向）设计文档附件</w:t>
      </w:r>
    </w:p>
    <w:p>
      <w:pPr>
        <w:spacing w:line="360" w:lineRule="auto" w:before="0" w:after="0"/>
        <w:ind w:firstLine="480"/>
      </w:pPr>
      <w:r>
        <w:rPr>
          <w:rFonts w:ascii="Times New Roman" w:hAnsi="Times New Roman" w:eastAsia="宋体"/>
          <w:b w:val="0"/>
          <w:i w:val="0"/>
          <w:color w:val="000000"/>
          <w:sz w:val="24"/>
        </w:rPr>
        <w:t>本报告确定多数据源融合的互联网个人贷款风控系统的后端技术方案，作为概要设计、详细设计以及后续两个阶段技术实现的共同依据。选型以业务约束、质量约束和课程阶段约束为出发点，在六条候选路线之间按统一指标比较，最终给出主选方案和一条可连续演进的升级路径。</w:t>
      </w:r>
    </w:p>
    <w:p>
      <w:pPr>
        <w:spacing w:line="360" w:lineRule="auto" w:before="0" w:after="120"/>
        <w:ind w:firstLine="480"/>
      </w:pPr>
      <w:r>
        <w:rPr>
          <w:rFonts w:ascii="Times New Roman" w:hAnsi="Times New Roman" w:eastAsia="宋体"/>
          <w:b w:val="0"/>
          <w:i w:val="0"/>
          <w:color w:val="000000"/>
          <w:sz w:val="24"/>
        </w:rPr>
        <w:t>选型结论是：后端采用 Java 17 与 Spring Boot 3.x 构建单体模块化服务，数据访问层使用 MyBatis-Plus 与手写 SQL，数据库使用 MySQL 8.0，缓存、限流与分布式锁使用 Redis，异步通知使用 RabbitMQ，合同与附件使用兼容 S3 协议的对象存储；风控模型以独立的 Python 服务部署，通过版本化接口与业务后端通信；进入综合项目III后，在保持接口契约与数据模型不变的前提下把模块拆分为微服务，引入 Spring Cloud Alibaba 组件族。该方案同时满足综合项目II对基于 SSM 的 Web 后端开发要求，并为综合项目III的微服务重构和高并发部署预留了实现空间。</w:t>
      </w:r>
    </w:p>
    <w:p>
      <w:pPr>
        <w:pStyle w:val="Heading1"/>
        <w:keepNext/>
        <w:spacing w:before="200" w:after="100" w:line="312" w:lineRule="auto"/>
      </w:pPr>
      <w:r>
        <w:rPr>
          <w:rFonts w:ascii="Times New Roman" w:hAnsi="Times New Roman" w:eastAsia="黑体"/>
          <w:b/>
          <w:i w:val="0"/>
          <w:color w:val="000000"/>
          <w:sz w:val="32"/>
        </w:rPr>
        <w:t>一、选型依据与约束</w:t>
      </w:r>
    </w:p>
    <w:p>
      <w:pPr>
        <w:pStyle w:val="Heading2"/>
        <w:keepNext/>
        <w:spacing w:before="160" w:after="60" w:line="312" w:lineRule="auto"/>
      </w:pPr>
      <w:r>
        <w:rPr>
          <w:rFonts w:ascii="Times New Roman" w:hAnsi="Times New Roman" w:eastAsia="黑体"/>
          <w:b/>
          <w:i w:val="0"/>
          <w:color w:val="000000"/>
          <w:sz w:val="28"/>
        </w:rPr>
        <w:t>1.1 业务与功能约束</w:t>
      </w:r>
    </w:p>
    <w:p>
      <w:pPr>
        <w:spacing w:line="360" w:lineRule="auto" w:before="0" w:after="0"/>
        <w:ind w:firstLine="480"/>
      </w:pPr>
      <w:r>
        <w:rPr>
          <w:rFonts w:ascii="Times New Roman" w:hAnsi="Times New Roman" w:eastAsia="宋体"/>
          <w:b w:val="0"/>
          <w:i w:val="0"/>
          <w:color w:val="000000"/>
          <w:sz w:val="24"/>
        </w:rPr>
        <w:t>系统面向个人贷款业务的完整周期，服务对象包括借款用户、业务与风控审核人员、催收人员和系统管理员。借款端为安卓 APP，管理端为 Web 应用，两者共用同一套后端服务。后端需要承载用户中心、贷款产品中心、申请审批中心、风控模型中心、数据融合中心、通知中心、后台管理中心、日志审计中心和权限安全中心等模块，并在贷前、贷中、贷后三个阶段分别提供信用评估、风险预警和提醒催收能力。</w:t>
      </w:r>
    </w:p>
    <w:p>
      <w:pPr>
        <w:spacing w:line="360" w:lineRule="auto" w:before="0" w:after="0"/>
        <w:ind w:firstLine="480"/>
      </w:pPr>
      <w:r>
        <w:rPr>
          <w:rFonts w:ascii="Times New Roman" w:hAnsi="Times New Roman" w:eastAsia="宋体"/>
          <w:b w:val="0"/>
          <w:i w:val="0"/>
          <w:color w:val="000000"/>
          <w:sz w:val="24"/>
        </w:rPr>
        <w:t>从数据角度看，后端要同时处理用户填报数据、移动端授权采集数据、机构内部业务数据、第三方或公开信用数据和贷后行为数据。五类数据在真实性、实时性、更新频率和合规要求上差异明显，后端必须提供统一的数据接入、清洗、标准化和特征加工能力，并按可信度与时间窗口处理来源冲突。</w:t>
      </w:r>
    </w:p>
    <w:p>
      <w:pPr>
        <w:spacing w:line="360" w:lineRule="auto" w:before="0" w:after="0"/>
        <w:ind w:firstLine="480"/>
      </w:pPr>
      <w:r>
        <w:rPr>
          <w:rFonts w:ascii="Times New Roman" w:hAnsi="Times New Roman" w:eastAsia="宋体"/>
          <w:b w:val="0"/>
          <w:i w:val="0"/>
          <w:color w:val="000000"/>
          <w:sz w:val="24"/>
        </w:rPr>
        <w:t>从交易角度看，申请、审批、放款、还款计划生成、还款入账和逾期计算属于账务类操作，必须保证事务一致性和幂等性。同一用户重复提交申请、并发审批或重复收到支付回调，都不能造成重复放款或重复扣款。这一约束把选型范围优先指向具备成熟事务管理与分布式并发控制能力的服务端技术。</w:t>
      </w:r>
    </w:p>
    <w:p>
      <w:pPr>
        <w:pStyle w:val="Heading2"/>
        <w:keepNext/>
        <w:spacing w:before="160" w:after="60" w:line="312" w:lineRule="auto"/>
      </w:pPr>
      <w:r>
        <w:rPr>
          <w:rFonts w:ascii="Times New Roman" w:hAnsi="Times New Roman" w:eastAsia="黑体"/>
          <w:b/>
          <w:i w:val="0"/>
          <w:color w:val="000000"/>
          <w:sz w:val="28"/>
        </w:rPr>
        <w:t>1.2 质量与合规约束</w:t>
      </w:r>
    </w:p>
    <w:p>
      <w:pPr>
        <w:spacing w:line="360" w:lineRule="auto" w:before="0" w:after="0"/>
        <w:ind w:firstLine="480"/>
      </w:pPr>
      <w:r>
        <w:rPr>
          <w:rFonts w:ascii="Times New Roman" w:hAnsi="Times New Roman" w:eastAsia="宋体"/>
          <w:b w:val="0"/>
          <w:i w:val="0"/>
          <w:color w:val="000000"/>
          <w:sz w:val="24"/>
        </w:rPr>
        <w:t>在金融场景中，正确性、安全性和可追溯性的优先级高于吞吐量。后端需要保证核心业务流程完整可用，管理端查询类接口在正常网络下快速返回，异常情况下给出明确错误提示，并支持多用户并发访问。系统还应通过模块化设计为不同数据源、数据库和模型服务预留接口，使单一模块的升级不影响整体运行。</w:t>
      </w:r>
    </w:p>
    <w:p>
      <w:pPr>
        <w:spacing w:line="360" w:lineRule="auto" w:before="0" w:after="0"/>
        <w:ind w:firstLine="480"/>
      </w:pPr>
      <w:r>
        <w:rPr>
          <w:rFonts w:ascii="Times New Roman" w:hAnsi="Times New Roman" w:eastAsia="宋体"/>
          <w:b w:val="0"/>
          <w:i w:val="0"/>
          <w:color w:val="000000"/>
          <w:sz w:val="24"/>
        </w:rPr>
        <w:t>合规约束直接决定后端的数据处理方式。手机号、身份证号、联系人和定位等敏感字段需要最小必要采集、传输加密、存储脱敏和访问控制；审批、放款、阈值调整、模型发布等关键操作需要记录操作人、时间、变更内容和审批依据；贷款申请、审批和还款等核心记录需要具备防篡改能力。这些要求在选型中体现为对统一认证、字段级加密、审计日志和哈希摘要的支持能力。</w:t>
      </w:r>
    </w:p>
    <w:p>
      <w:pPr>
        <w:pStyle w:val="Heading2"/>
        <w:keepNext/>
        <w:spacing w:before="160" w:after="60" w:line="312" w:lineRule="auto"/>
      </w:pPr>
      <w:r>
        <w:rPr>
          <w:rFonts w:ascii="Times New Roman" w:hAnsi="Times New Roman" w:eastAsia="黑体"/>
          <w:b/>
          <w:i w:val="0"/>
          <w:color w:val="000000"/>
          <w:sz w:val="28"/>
        </w:rPr>
        <w:t>1.3 课程阶段与团队约束</w:t>
      </w:r>
    </w:p>
    <w:p>
      <w:pPr>
        <w:spacing w:line="360" w:lineRule="auto" w:before="0" w:after="0"/>
        <w:ind w:firstLine="480"/>
      </w:pPr>
      <w:r>
        <w:rPr>
          <w:rFonts w:ascii="Times New Roman" w:hAnsi="Times New Roman" w:eastAsia="宋体"/>
          <w:b w:val="0"/>
          <w:i w:val="0"/>
          <w:color w:val="000000"/>
          <w:sz w:val="24"/>
        </w:rPr>
        <w:t>本课题分三个阶段连续实施，技术选型必须考虑成果复用。综合项目I完成可行性研究、需求分析、概要设计和详细设计，风控模型只定义接口而不实现，因此后端需要在此之前确定服务框架、数据模型和接口风格，避免后期返工。综合项目II要求开发完整功能版并实现基于评分卡的风控机制，任务书明确列出基于 SSM 的 Web 应用后端开发这一知识点。综合项目III要求采用微服务机制设计和部署、支持高并发，并调用第三方大模型接口实现客服系统。</w:t>
      </w:r>
    </w:p>
    <w:p>
      <w:pPr>
        <w:spacing w:line="360" w:lineRule="auto" w:before="0" w:after="0"/>
        <w:ind w:firstLine="480"/>
      </w:pPr>
      <w:r>
        <w:rPr>
          <w:rFonts w:ascii="Times New Roman" w:hAnsi="Times New Roman" w:eastAsia="宋体"/>
          <w:b w:val="0"/>
          <w:i w:val="0"/>
          <w:color w:val="000000"/>
          <w:sz w:val="24"/>
        </w:rPr>
        <w:t>团队约束同样影响选型。小组需要在同一学期内并行推进安卓端、Web 管理端、后端服务、数据库和风控模型等工作，技术栈的学习成本、资料可获得性和社区活跃度会直接影响进度。当学期计算机网络与数据库课程的知识点应当在方案中得到体现，使课程学习与项目实践相互支撑。</w:t>
      </w:r>
    </w:p>
    <w:p>
      <w:pPr>
        <w:pStyle w:val="Heading1"/>
        <w:keepNext/>
        <w:spacing w:before="200" w:after="100" w:line="312" w:lineRule="auto"/>
      </w:pPr>
      <w:r>
        <w:rPr>
          <w:rFonts w:ascii="Times New Roman" w:hAnsi="Times New Roman" w:eastAsia="黑体"/>
          <w:b/>
          <w:i w:val="0"/>
          <w:color w:val="000000"/>
          <w:sz w:val="32"/>
        </w:rPr>
        <w:t>二、候选技术路线</w:t>
      </w:r>
    </w:p>
    <w:p>
      <w:pPr>
        <w:pStyle w:val="Heading2"/>
        <w:keepNext/>
        <w:spacing w:before="160" w:after="60" w:line="312" w:lineRule="auto"/>
      </w:pPr>
      <w:r>
        <w:rPr>
          <w:rFonts w:ascii="Times New Roman" w:hAnsi="Times New Roman" w:eastAsia="黑体"/>
          <w:b/>
          <w:i w:val="0"/>
          <w:color w:val="000000"/>
          <w:sz w:val="28"/>
        </w:rPr>
        <w:t>2.1 候选路线构成</w:t>
      </w:r>
    </w:p>
    <w:p>
      <w:pPr>
        <w:spacing w:line="360" w:lineRule="auto" w:before="0" w:after="0"/>
        <w:ind w:firstLine="480"/>
      </w:pPr>
      <w:r>
        <w:rPr>
          <w:rFonts w:ascii="Times New Roman" w:hAnsi="Times New Roman" w:eastAsia="宋体"/>
          <w:b w:val="0"/>
          <w:i w:val="0"/>
          <w:color w:val="000000"/>
          <w:sz w:val="24"/>
        </w:rPr>
        <w:t>后端技术选型首先在整体路线上展开。考虑到系统属于事务型金融业务系统，候选方案集中在主流服务端语言与框架，评价时不只看性能，还要考察与账务处理、风控接入、安全合规和课程要求的匹配程度。表1列出六条候选路线的基本情况。</w:t>
      </w:r>
    </w:p>
    <w:p>
      <w:pPr>
        <w:keepNext/>
        <w:spacing w:before="120" w:after="60" w:line="240" w:lineRule="auto"/>
        <w:jc w:val="center"/>
      </w:pPr>
      <w:r>
        <w:rPr>
          <w:rFonts w:ascii="Times New Roman" w:hAnsi="Times New Roman" w:eastAsia="黑体"/>
          <w:b/>
          <w:i w:val="0"/>
          <w:color w:val="000000"/>
          <w:sz w:val="21"/>
        </w:rPr>
        <w:t>表1 候选后端技术路线基本情况</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183"/>
        <w:gridCol w:w="2183"/>
        <w:gridCol w:w="2183"/>
        <w:gridCol w:w="2183"/>
      </w:tblGrid>
      <w:tr>
        <w:trPr>
          <w:cantSplit/>
          <w:tblHeader/>
        </w:trPr>
        <w:tc>
          <w:tcPr>
            <w:tcW w:type="dxa" w:w="1474"/>
            <w:shd w:val="clear" w:color="auto" w:fill="1F4E79"/>
            <w:vAlign w:val="center"/>
          </w:tcPr>
          <w:p>
            <w:pPr>
              <w:spacing w:line="300" w:lineRule="auto" w:before="30" w:after="30"/>
              <w:jc w:val="center"/>
            </w:pPr>
            <w:r/>
            <w:r>
              <w:rPr>
                <w:rFonts w:ascii="Times New Roman" w:hAnsi="Times New Roman" w:eastAsia="黑体"/>
                <w:b/>
                <w:i w:val="0"/>
                <w:color w:val="FFFFFF"/>
                <w:sz w:val="19"/>
              </w:rPr>
              <w:t>技术路线</w:t>
            </w:r>
          </w:p>
        </w:tc>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19"/>
              </w:rPr>
              <w:t>语言与框架</w:t>
            </w:r>
          </w:p>
        </w:tc>
        <w:tc>
          <w:tcPr>
            <w:tcW w:type="dxa" w:w="2608"/>
            <w:shd w:val="clear" w:color="auto" w:fill="1F4E79"/>
            <w:vAlign w:val="center"/>
          </w:tcPr>
          <w:p>
            <w:pPr>
              <w:spacing w:line="300" w:lineRule="auto" w:before="30" w:after="30"/>
              <w:jc w:val="center"/>
            </w:pPr>
            <w:r/>
            <w:r>
              <w:rPr>
                <w:rFonts w:ascii="Times New Roman" w:hAnsi="Times New Roman" w:eastAsia="黑体"/>
                <w:b/>
                <w:i w:val="0"/>
                <w:color w:val="FFFFFF"/>
                <w:sz w:val="19"/>
              </w:rPr>
              <w:t>主要优势</w:t>
            </w:r>
          </w:p>
        </w:tc>
        <w:tc>
          <w:tcPr>
            <w:tcW w:type="dxa" w:w="2721"/>
            <w:shd w:val="clear" w:color="auto" w:fill="1F4E79"/>
            <w:vAlign w:val="center"/>
          </w:tcPr>
          <w:p>
            <w:pPr>
              <w:spacing w:line="300" w:lineRule="auto" w:before="30" w:after="30"/>
              <w:jc w:val="center"/>
            </w:pPr>
            <w:r/>
            <w:r>
              <w:rPr>
                <w:rFonts w:ascii="Times New Roman" w:hAnsi="Times New Roman" w:eastAsia="黑体"/>
                <w:b/>
                <w:i w:val="0"/>
                <w:color w:val="FFFFFF"/>
                <w:sz w:val="19"/>
              </w:rPr>
              <w:t>主要约束</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Java + Spring Boot</w:t>
            </w:r>
          </w:p>
        </w:tc>
        <w:tc>
          <w:tcPr>
            <w:tcW w:type="dxa" w:w="1928"/>
            <w:vAlign w:val="center"/>
          </w:tcPr>
          <w:p>
            <w:pPr>
              <w:spacing w:line="300" w:lineRule="auto" w:before="30" w:after="30"/>
              <w:jc w:val="left"/>
            </w:pPr>
            <w:r/>
            <w:r>
              <w:rPr>
                <w:rFonts w:ascii="Times New Roman" w:hAnsi="Times New Roman" w:eastAsia="宋体"/>
                <w:b w:val="0"/>
                <w:i w:val="0"/>
                <w:color w:val="000000"/>
                <w:sz w:val="19"/>
              </w:rPr>
              <w:t>Java 17、Spring Boot 3.x、Spring MVC、MyBatis-Plus</w:t>
            </w:r>
          </w:p>
        </w:tc>
        <w:tc>
          <w:tcPr>
            <w:tcW w:type="dxa" w:w="2608"/>
            <w:vAlign w:val="center"/>
          </w:tcPr>
          <w:p>
            <w:pPr>
              <w:spacing w:line="300" w:lineRule="auto" w:before="30" w:after="30"/>
              <w:jc w:val="left"/>
            </w:pPr>
            <w:r/>
            <w:r>
              <w:rPr>
                <w:rFonts w:ascii="Times New Roman" w:hAnsi="Times New Roman" w:eastAsia="宋体"/>
                <w:b w:val="0"/>
                <w:i w:val="0"/>
                <w:color w:val="000000"/>
                <w:sz w:val="19"/>
              </w:rPr>
              <w:t>生态与资料最完整，事务、安全、审计组件成熟，与 SSM 知识点一致</w:t>
            </w:r>
          </w:p>
        </w:tc>
        <w:tc>
          <w:tcPr>
            <w:tcW w:type="dxa" w:w="2721"/>
            <w:vAlign w:val="center"/>
          </w:tcPr>
          <w:p>
            <w:pPr>
              <w:spacing w:line="300" w:lineRule="auto" w:before="30" w:after="30"/>
              <w:jc w:val="left"/>
            </w:pPr>
            <w:r/>
            <w:r>
              <w:rPr>
                <w:rFonts w:ascii="Times New Roman" w:hAnsi="Times New Roman" w:eastAsia="宋体"/>
                <w:b w:val="0"/>
                <w:i w:val="0"/>
                <w:color w:val="000000"/>
                <w:sz w:val="19"/>
              </w:rPr>
              <w:t>框架体量偏大，配置项较多，需要团队具备 Java 与 Spring 基础</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Kotlin + Ktor</w:t>
            </w:r>
          </w:p>
        </w:tc>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Kotlin、Ktor、协程、Exposed</w:t>
            </w:r>
          </w:p>
        </w:tc>
        <w:tc>
          <w:tcPr>
            <w:tcW w:type="dxa" w:w="2608"/>
            <w:shd w:val="clear" w:color="auto" w:fill="F2F6FA"/>
            <w:vAlign w:val="center"/>
          </w:tcPr>
          <w:p>
            <w:pPr>
              <w:spacing w:line="300" w:lineRule="auto" w:before="30" w:after="30"/>
              <w:jc w:val="left"/>
            </w:pPr>
            <w:r/>
            <w:r>
              <w:rPr>
                <w:rFonts w:ascii="Times New Roman" w:hAnsi="Times New Roman" w:eastAsia="宋体"/>
                <w:b w:val="0"/>
                <w:i w:val="0"/>
                <w:color w:val="000000"/>
                <w:sz w:val="19"/>
              </w:rPr>
              <w:t>语法简洁，异步性能好，适合以 Kotlin 为主的团队</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金融领域案例与中文资料较少，安全、事务等组件需自行组合验证</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传统 SSM</w:t>
            </w:r>
          </w:p>
        </w:tc>
        <w:tc>
          <w:tcPr>
            <w:tcW w:type="dxa" w:w="1928"/>
            <w:vAlign w:val="center"/>
          </w:tcPr>
          <w:p>
            <w:pPr>
              <w:spacing w:line="300" w:lineRule="auto" w:before="30" w:after="30"/>
              <w:jc w:val="left"/>
            </w:pPr>
            <w:r/>
            <w:r>
              <w:rPr>
                <w:rFonts w:ascii="Times New Roman" w:hAnsi="Times New Roman" w:eastAsia="宋体"/>
                <w:b w:val="0"/>
                <w:i w:val="0"/>
                <w:color w:val="000000"/>
                <w:sz w:val="19"/>
              </w:rPr>
              <w:t>Spring、Spring MVC、MyBatis（XML 配置）</w:t>
            </w:r>
          </w:p>
        </w:tc>
        <w:tc>
          <w:tcPr>
            <w:tcW w:type="dxa" w:w="2608"/>
            <w:vAlign w:val="center"/>
          </w:tcPr>
          <w:p>
            <w:pPr>
              <w:spacing w:line="300" w:lineRule="auto" w:before="30" w:after="30"/>
              <w:jc w:val="left"/>
            </w:pPr>
            <w:r/>
            <w:r>
              <w:rPr>
                <w:rFonts w:ascii="Times New Roman" w:hAnsi="Times New Roman" w:eastAsia="宋体"/>
                <w:b w:val="0"/>
                <w:i w:val="0"/>
                <w:color w:val="000000"/>
                <w:sz w:val="19"/>
              </w:rPr>
              <w:t>与课程知识点直接对应，分层结构清晰</w:t>
            </w:r>
          </w:p>
        </w:tc>
        <w:tc>
          <w:tcPr>
            <w:tcW w:type="dxa" w:w="2721"/>
            <w:vAlign w:val="center"/>
          </w:tcPr>
          <w:p>
            <w:pPr>
              <w:spacing w:line="300" w:lineRule="auto" w:before="30" w:after="30"/>
              <w:jc w:val="left"/>
            </w:pPr>
            <w:r/>
            <w:r>
              <w:rPr>
                <w:rFonts w:ascii="Times New Roman" w:hAnsi="Times New Roman" w:eastAsia="宋体"/>
                <w:b w:val="0"/>
                <w:i w:val="0"/>
                <w:color w:val="000000"/>
                <w:sz w:val="19"/>
              </w:rPr>
              <w:t>XML 配置繁琐，缺少起步依赖与自动配置，微服务演进成本高</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Node.js + NestJS</w:t>
            </w:r>
          </w:p>
        </w:tc>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TypeScript、NestJS、TypeORM</w:t>
            </w:r>
          </w:p>
        </w:tc>
        <w:tc>
          <w:tcPr>
            <w:tcW w:type="dxa" w:w="2608"/>
            <w:shd w:val="clear" w:color="auto" w:fill="F2F6FA"/>
            <w:vAlign w:val="center"/>
          </w:tcPr>
          <w:p>
            <w:pPr>
              <w:spacing w:line="300" w:lineRule="auto" w:before="30" w:after="30"/>
              <w:jc w:val="left"/>
            </w:pPr>
            <w:r/>
            <w:r>
              <w:rPr>
                <w:rFonts w:ascii="Times New Roman" w:hAnsi="Times New Roman" w:eastAsia="宋体"/>
                <w:b w:val="0"/>
                <w:i w:val="0"/>
                <w:color w:val="000000"/>
                <w:sz w:val="19"/>
              </w:rPr>
              <w:t>前后端同语言，模块化与依赖注入规范</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金融账务与风控生态偏弱，复杂事务与并发处理经验要求高</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Python + Django/FastAPI</w:t>
            </w:r>
          </w:p>
        </w:tc>
        <w:tc>
          <w:tcPr>
            <w:tcW w:type="dxa" w:w="1928"/>
            <w:vAlign w:val="center"/>
          </w:tcPr>
          <w:p>
            <w:pPr>
              <w:spacing w:line="300" w:lineRule="auto" w:before="30" w:after="30"/>
              <w:jc w:val="left"/>
            </w:pPr>
            <w:r/>
            <w:r>
              <w:rPr>
                <w:rFonts w:ascii="Times New Roman" w:hAnsi="Times New Roman" w:eastAsia="宋体"/>
                <w:b w:val="0"/>
                <w:i w:val="0"/>
                <w:color w:val="000000"/>
                <w:sz w:val="19"/>
              </w:rPr>
              <w:t>Python 3.11、Django、FastAPI</w:t>
            </w:r>
          </w:p>
        </w:tc>
        <w:tc>
          <w:tcPr>
            <w:tcW w:type="dxa" w:w="2608"/>
            <w:vAlign w:val="center"/>
          </w:tcPr>
          <w:p>
            <w:pPr>
              <w:spacing w:line="300" w:lineRule="auto" w:before="30" w:after="30"/>
              <w:jc w:val="left"/>
            </w:pPr>
            <w:r/>
            <w:r>
              <w:rPr>
                <w:rFonts w:ascii="Times New Roman" w:hAnsi="Times New Roman" w:eastAsia="宋体"/>
                <w:b w:val="0"/>
                <w:i w:val="0"/>
                <w:color w:val="000000"/>
                <w:sz w:val="19"/>
              </w:rPr>
              <w:t>与模型训练同语言，开发效率高，适合接口型服务</w:t>
            </w:r>
          </w:p>
        </w:tc>
        <w:tc>
          <w:tcPr>
            <w:tcW w:type="dxa" w:w="2721"/>
            <w:vAlign w:val="center"/>
          </w:tcPr>
          <w:p>
            <w:pPr>
              <w:spacing w:line="300" w:lineRule="auto" w:before="30" w:after="30"/>
              <w:jc w:val="left"/>
            </w:pPr>
            <w:r/>
            <w:r>
              <w:rPr>
                <w:rFonts w:ascii="Times New Roman" w:hAnsi="Times New Roman" w:eastAsia="宋体"/>
                <w:b w:val="0"/>
                <w:i w:val="0"/>
                <w:color w:val="000000"/>
                <w:sz w:val="19"/>
              </w:rPr>
              <w:t>高并发下需要额外的异步与部署设计，企业级账务生态较弱</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Go + Gin/Go-Zero</w:t>
            </w:r>
          </w:p>
        </w:tc>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Go、Gin、Go-Zero</w:t>
            </w:r>
          </w:p>
        </w:tc>
        <w:tc>
          <w:tcPr>
            <w:tcW w:type="dxa" w:w="2608"/>
            <w:shd w:val="clear" w:color="auto" w:fill="F2F6FA"/>
            <w:vAlign w:val="center"/>
          </w:tcPr>
          <w:p>
            <w:pPr>
              <w:spacing w:line="300" w:lineRule="auto" w:before="30" w:after="30"/>
              <w:jc w:val="left"/>
            </w:pPr>
            <w:r/>
            <w:r>
              <w:rPr>
                <w:rFonts w:ascii="Times New Roman" w:hAnsi="Times New Roman" w:eastAsia="宋体"/>
                <w:b w:val="0"/>
                <w:i w:val="0"/>
                <w:color w:val="000000"/>
                <w:sz w:val="19"/>
              </w:rPr>
              <w:t>并发性能突出，部署产物轻量</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语言与框架学习成本高，风控与账务实践资料较少</w:t>
            </w:r>
          </w:p>
        </w:tc>
      </w:tr>
    </w:tbl>
    <w:p>
      <w:pPr>
        <w:spacing w:line="240" w:lineRule="auto" w:before="0" w:after="0"/>
        <w:rPr>
          <w:sz w:val="10"/>
          <w:szCs w:val="10"/>
        </w:rPr>
      </w:pPr>
    </w:p>
    <w:p>
      <w:pPr>
        <w:pStyle w:val="Heading2"/>
        <w:keepNext/>
        <w:spacing w:before="160" w:after="60" w:line="312" w:lineRule="auto"/>
      </w:pPr>
      <w:r>
        <w:rPr>
          <w:rFonts w:ascii="Times New Roman" w:hAnsi="Times New Roman" w:eastAsia="黑体"/>
          <w:b/>
          <w:i w:val="0"/>
          <w:color w:val="000000"/>
          <w:sz w:val="28"/>
        </w:rPr>
        <w:t>2.2 路线分析与筛选</w:t>
      </w:r>
    </w:p>
    <w:p>
      <w:pPr>
        <w:spacing w:line="360" w:lineRule="auto" w:before="0" w:after="0"/>
        <w:ind w:firstLine="480"/>
      </w:pPr>
      <w:r>
        <w:rPr>
          <w:rFonts w:ascii="Times New Roman" w:hAnsi="Times New Roman" w:eastAsia="宋体"/>
          <w:b w:val="0"/>
          <w:i w:val="0"/>
          <w:color w:val="000000"/>
          <w:sz w:val="24"/>
        </w:rPr>
        <w:t>Java 与 Spring Boot 路线在事务管理、安全框架、数据访问和消息集成方面都有成熟组件，业务需求几乎都能在现有生态中找到经过验证的实现。使用 MyBatis-Plus 作为 MyBatis 的增强，既保留 SQL 的可控性，又减少重复的样板代码。Spring Boot 内置 Spring 框架与Spring MVC，数据访问层继续使用 MyBatis 系列组件，三者共同构成 SSM 的现代化落地形式，覆盖任务书列出的知识点要求，并在综合项目III阶段可以平滑接入 Spring Cloud Alibaba。</w:t>
      </w:r>
    </w:p>
    <w:p>
      <w:pPr>
        <w:spacing w:line="360" w:lineRule="auto" w:before="0" w:after="0"/>
        <w:ind w:firstLine="480"/>
      </w:pPr>
      <w:r>
        <w:rPr>
          <w:rFonts w:ascii="Times New Roman" w:hAnsi="Times New Roman" w:eastAsia="宋体"/>
          <w:b w:val="0"/>
          <w:i w:val="0"/>
          <w:color w:val="000000"/>
          <w:sz w:val="24"/>
        </w:rPr>
        <w:t>Ktor 基于 Kotlin 协程，异步性能好，代码简洁，但金融风控场景所需的安全、事务和审计能力需要团队自行组合与验证，中文资料和同类项目案例偏少。小组在有限周期内承担安卓端、管理端和后端三条并行任务，采用 Ktor 会把风险集中到人力最紧张的后端环节。</w:t>
      </w:r>
    </w:p>
    <w:p>
      <w:pPr>
        <w:spacing w:line="360" w:lineRule="auto" w:before="0" w:after="0"/>
        <w:ind w:firstLine="480"/>
      </w:pPr>
      <w:r>
        <w:rPr>
          <w:rFonts w:ascii="Times New Roman" w:hAnsi="Times New Roman" w:eastAsia="宋体"/>
          <w:b w:val="0"/>
          <w:i w:val="0"/>
          <w:color w:val="000000"/>
          <w:sz w:val="24"/>
        </w:rPr>
        <w:t>传统 SSM 与本课程的知识点对应最直接，但 XML 配置和手工集成会占用较多开发时间，服务拆分时还需要重新组织依赖与配置。该路线作为教学对照方案保留，不作为主选。</w:t>
      </w:r>
    </w:p>
    <w:p>
      <w:pPr>
        <w:spacing w:line="360" w:lineRule="auto" w:before="0" w:after="0"/>
        <w:ind w:firstLine="480"/>
      </w:pPr>
      <w:r>
        <w:rPr>
          <w:rFonts w:ascii="Times New Roman" w:hAnsi="Times New Roman" w:eastAsia="宋体"/>
          <w:b w:val="0"/>
          <w:i w:val="0"/>
          <w:color w:val="000000"/>
          <w:sz w:val="24"/>
        </w:rPr>
        <w:t>NestJS 的模块化结构和依赖注入设计良好，适合接口型服务，但账务一致性、复杂事务和风控相关的生态支持不如 Java 体系，团队也缺少 Node.js 服务端经验。Django 与 FastAPI 开发效率高且与模型训练语言一致，适合承担模型服务；若用于承载全部业务后端，则需要自行解决复杂事务、权限审计和高并发部署问题，因此更适合作为业务后端的补充而非主体。</w:t>
      </w:r>
    </w:p>
    <w:p>
      <w:pPr>
        <w:spacing w:line="360" w:lineRule="auto" w:before="0" w:after="0"/>
        <w:ind w:firstLine="480"/>
      </w:pPr>
      <w:r>
        <w:rPr>
          <w:rFonts w:ascii="Times New Roman" w:hAnsi="Times New Roman" w:eastAsia="宋体"/>
          <w:b w:val="0"/>
          <w:i w:val="0"/>
          <w:color w:val="000000"/>
          <w:sz w:val="24"/>
        </w:rPr>
        <w:t>Go 在高并发场景下表现优异，部署轻量，但语言与框架学习成本高，风险评估与账务处理的成熟案例较少，且与综合项目II要求的 SSM 知识点偏离较大。综合以上分析，以 Java 与 Spring Boot 为核心的路线进入组件级选型，Python 服务作为模型计算的补充形态保留。</w:t>
      </w:r>
    </w:p>
    <w:p>
      <w:pPr>
        <w:pStyle w:val="Heading1"/>
        <w:keepNext/>
        <w:spacing w:before="200" w:after="100" w:line="312" w:lineRule="auto"/>
      </w:pPr>
      <w:r>
        <w:rPr>
          <w:rFonts w:ascii="Times New Roman" w:hAnsi="Times New Roman" w:eastAsia="黑体"/>
          <w:b/>
          <w:i w:val="0"/>
          <w:color w:val="000000"/>
          <w:sz w:val="32"/>
        </w:rPr>
        <w:t>三、关键组件对比与选择</w:t>
      </w:r>
    </w:p>
    <w:p>
      <w:pPr>
        <w:pStyle w:val="Heading2"/>
        <w:keepNext/>
        <w:spacing w:before="160" w:after="60" w:line="312" w:lineRule="auto"/>
      </w:pPr>
      <w:r>
        <w:rPr>
          <w:rFonts w:ascii="Times New Roman" w:hAnsi="Times New Roman" w:eastAsia="黑体"/>
          <w:b/>
          <w:i w:val="0"/>
          <w:color w:val="000000"/>
          <w:sz w:val="28"/>
        </w:rPr>
        <w:t>3.1 服务框架与语言</w:t>
      </w:r>
    </w:p>
    <w:p>
      <w:pPr>
        <w:spacing w:line="360" w:lineRule="auto" w:before="0" w:after="0"/>
        <w:ind w:firstLine="480"/>
      </w:pPr>
      <w:r>
        <w:rPr>
          <w:rFonts w:ascii="Times New Roman" w:hAnsi="Times New Roman" w:eastAsia="宋体"/>
          <w:b w:val="0"/>
          <w:i w:val="0"/>
          <w:color w:val="000000"/>
          <w:sz w:val="24"/>
        </w:rPr>
        <w:t>服务框架确定为 Spring Boot 3.2.x，运行于 Java 17 长期支持版本。Java 的强类型与成熟的事务管理适合账务类业务，Spring Boot 提供依赖注入、自动配置、统一异常处理、参数校验和监控端点，能够支撑三端并行开发所需的稳定接口。选择 Java 17 而不是更高版本，是为了获得长期支持并保证与数据库驱动、安全组件和部署环境的兼容性。</w:t>
      </w:r>
    </w:p>
    <w:p>
      <w:pPr>
        <w:spacing w:line="360" w:lineRule="auto" w:before="0" w:after="0"/>
        <w:ind w:firstLine="480"/>
      </w:pPr>
      <w:r>
        <w:rPr>
          <w:rFonts w:ascii="Times New Roman" w:hAnsi="Times New Roman" w:eastAsia="宋体"/>
          <w:b w:val="0"/>
          <w:i w:val="0"/>
          <w:color w:val="000000"/>
          <w:sz w:val="24"/>
        </w:rPr>
        <w:t>需要说明的是，选择 Spring Boot 并不偏离任务书对 SSM 的要求。Spring Boot 内置Spring 框架与 Spring MVC，数据访问使用 MyBatis 系列组件，三者共同构成 SSM 的现代化实现，综合项目II的评分卡与贷款业务开发仍然在 Spring、Spring MVC、MyBatis三个技术点上展开。区别在于配置由注解和起步依赖完成，团队可以把精力投入到业务逻辑和风控逻辑本身。</w:t>
      </w:r>
    </w:p>
    <w:p>
      <w:pPr>
        <w:pStyle w:val="Heading2"/>
        <w:keepNext/>
        <w:spacing w:before="160" w:after="60" w:line="312" w:lineRule="auto"/>
      </w:pPr>
      <w:r>
        <w:rPr>
          <w:rFonts w:ascii="Times New Roman" w:hAnsi="Times New Roman" w:eastAsia="黑体"/>
          <w:b/>
          <w:i w:val="0"/>
          <w:color w:val="000000"/>
          <w:sz w:val="28"/>
        </w:rPr>
        <w:t>3.2 数据访问与关系型数据库</w:t>
      </w:r>
    </w:p>
    <w:p>
      <w:pPr>
        <w:spacing w:line="360" w:lineRule="auto" w:before="0" w:after="0"/>
        <w:ind w:firstLine="480"/>
      </w:pPr>
      <w:r>
        <w:rPr>
          <w:rFonts w:ascii="Times New Roman" w:hAnsi="Times New Roman" w:eastAsia="宋体"/>
          <w:b w:val="0"/>
          <w:i w:val="0"/>
          <w:color w:val="000000"/>
          <w:sz w:val="24"/>
        </w:rPr>
        <w:t>数据访问层采用 MyBatis-Plus 作为 MyBatis 的增强，用于常规增删改查、分页、逻辑删除和字段自动填充；涉及账务流水、风险特征统计和报表的复杂查询使用 XML 映射或手写 SQL，保证语句可控、可审计、可优化。选择 MyBatis 系列而不是 Spring Data JPA，主要因为风控与账务场景中大量查询需要精确控制索引和执行计划，自动生成 SQL 会削弱调优空间，也不利于向团队解释慢查询的原因。</w:t>
      </w:r>
    </w:p>
    <w:p>
      <w:pPr>
        <w:spacing w:line="360" w:lineRule="auto" w:before="0" w:after="0"/>
        <w:ind w:firstLine="480"/>
      </w:pPr>
      <w:r>
        <w:rPr>
          <w:rFonts w:ascii="Times New Roman" w:hAnsi="Times New Roman" w:eastAsia="宋体"/>
          <w:b w:val="0"/>
          <w:i w:val="0"/>
          <w:color w:val="000000"/>
          <w:sz w:val="24"/>
        </w:rPr>
        <w:t>关系型数据库承担用户、产品、申请、审批、账务和风险事件等核心数据的持久化，候选方案对比如表2所示。</w:t>
      </w:r>
    </w:p>
    <w:p>
      <w:pPr>
        <w:keepNext/>
        <w:spacing w:before="120" w:after="60" w:line="240" w:lineRule="auto"/>
        <w:jc w:val="center"/>
      </w:pPr>
      <w:r>
        <w:rPr>
          <w:rFonts w:ascii="Times New Roman" w:hAnsi="Times New Roman" w:eastAsia="黑体"/>
          <w:b/>
          <w:i w:val="0"/>
          <w:color w:val="000000"/>
          <w:sz w:val="21"/>
        </w:rPr>
        <w:t>表2 关系型数据库候选方案对比</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183"/>
        <w:gridCol w:w="2183"/>
        <w:gridCol w:w="2183"/>
        <w:gridCol w:w="2183"/>
      </w:tblGrid>
      <w:tr>
        <w:trPr>
          <w:cantSplit/>
          <w:tblHeader/>
        </w:trPr>
        <w:tc>
          <w:tcPr>
            <w:tcW w:type="dxa" w:w="1701"/>
            <w:shd w:val="clear" w:color="auto" w:fill="1F4E79"/>
            <w:vAlign w:val="center"/>
          </w:tcPr>
          <w:p>
            <w:pPr>
              <w:spacing w:line="300" w:lineRule="auto" w:before="30" w:after="30"/>
              <w:jc w:val="center"/>
            </w:pPr>
            <w:r/>
            <w:r>
              <w:rPr>
                <w:rFonts w:ascii="Times New Roman" w:hAnsi="Times New Roman" w:eastAsia="黑体"/>
                <w:b/>
                <w:i w:val="0"/>
                <w:color w:val="FFFFFF"/>
                <w:sz w:val="19"/>
              </w:rPr>
              <w:t>候选方案</w:t>
            </w:r>
          </w:p>
        </w:tc>
        <w:tc>
          <w:tcPr>
            <w:tcW w:type="dxa" w:w="2494"/>
            <w:shd w:val="clear" w:color="auto" w:fill="1F4E79"/>
            <w:vAlign w:val="center"/>
          </w:tcPr>
          <w:p>
            <w:pPr>
              <w:spacing w:line="300" w:lineRule="auto" w:before="30" w:after="30"/>
              <w:jc w:val="center"/>
            </w:pPr>
            <w:r/>
            <w:r>
              <w:rPr>
                <w:rFonts w:ascii="Times New Roman" w:hAnsi="Times New Roman" w:eastAsia="黑体"/>
                <w:b/>
                <w:i w:val="0"/>
                <w:color w:val="FFFFFF"/>
                <w:sz w:val="19"/>
              </w:rPr>
              <w:t>事务与并发能力</w:t>
            </w:r>
          </w:p>
        </w:tc>
        <w:tc>
          <w:tcPr>
            <w:tcW w:type="dxa" w:w="2041"/>
            <w:shd w:val="clear" w:color="auto" w:fill="1F4E79"/>
            <w:vAlign w:val="center"/>
          </w:tcPr>
          <w:p>
            <w:pPr>
              <w:spacing w:line="300" w:lineRule="auto" w:before="30" w:after="30"/>
              <w:jc w:val="center"/>
            </w:pPr>
            <w:r/>
            <w:r>
              <w:rPr>
                <w:rFonts w:ascii="Times New Roman" w:hAnsi="Times New Roman" w:eastAsia="黑体"/>
                <w:b/>
                <w:i w:val="0"/>
                <w:color w:val="FFFFFF"/>
                <w:sz w:val="19"/>
              </w:rPr>
              <w:t>生态与运维</w:t>
            </w:r>
          </w:p>
        </w:tc>
        <w:tc>
          <w:tcPr>
            <w:tcW w:type="dxa" w:w="1814"/>
            <w:shd w:val="clear" w:color="auto" w:fill="1F4E79"/>
            <w:vAlign w:val="center"/>
          </w:tcPr>
          <w:p>
            <w:pPr>
              <w:spacing w:line="300" w:lineRule="auto" w:before="30" w:after="30"/>
              <w:jc w:val="center"/>
            </w:pPr>
            <w:r/>
            <w:r>
              <w:rPr>
                <w:rFonts w:ascii="Times New Roman" w:hAnsi="Times New Roman" w:eastAsia="黑体"/>
                <w:b/>
                <w:i w:val="0"/>
                <w:color w:val="FFFFFF"/>
                <w:sz w:val="19"/>
              </w:rPr>
              <w:t>与本项目的匹配度</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9"/>
              </w:rPr>
              <w:t>MySQL 8.0（InnoDB）</w:t>
            </w:r>
          </w:p>
        </w:tc>
        <w:tc>
          <w:tcPr>
            <w:tcW w:type="dxa" w:w="2494"/>
            <w:vAlign w:val="center"/>
          </w:tcPr>
          <w:p>
            <w:pPr>
              <w:spacing w:line="300" w:lineRule="auto" w:before="30" w:after="30"/>
              <w:jc w:val="left"/>
            </w:pPr>
            <w:r/>
            <w:r>
              <w:rPr>
                <w:rFonts w:ascii="Times New Roman" w:hAnsi="Times New Roman" w:eastAsia="宋体"/>
                <w:b w:val="0"/>
                <w:i w:val="0"/>
                <w:color w:val="000000"/>
                <w:sz w:val="19"/>
              </w:rPr>
              <w:t>支持事务、行级锁与多版本并发控制，满足账务一致性要求</w:t>
            </w:r>
          </w:p>
        </w:tc>
        <w:tc>
          <w:tcPr>
            <w:tcW w:type="dxa" w:w="2041"/>
            <w:vAlign w:val="center"/>
          </w:tcPr>
          <w:p>
            <w:pPr>
              <w:spacing w:line="300" w:lineRule="auto" w:before="30" w:after="30"/>
              <w:jc w:val="left"/>
            </w:pPr>
            <w:r/>
            <w:r>
              <w:rPr>
                <w:rFonts w:ascii="Times New Roman" w:hAnsi="Times New Roman" w:eastAsia="宋体"/>
                <w:b w:val="0"/>
                <w:i w:val="0"/>
                <w:color w:val="000000"/>
                <w:sz w:val="19"/>
              </w:rPr>
              <w:t>生态成熟，团队成员与数据库课程基础一致</w:t>
            </w:r>
          </w:p>
        </w:tc>
        <w:tc>
          <w:tcPr>
            <w:tcW w:type="dxa" w:w="1814"/>
            <w:vAlign w:val="center"/>
          </w:tcPr>
          <w:p>
            <w:pPr>
              <w:spacing w:line="300" w:lineRule="auto" w:before="30" w:after="30"/>
              <w:jc w:val="left"/>
            </w:pPr>
            <w:r/>
            <w:r>
              <w:rPr>
                <w:rFonts w:ascii="Times New Roman" w:hAnsi="Times New Roman" w:eastAsia="宋体"/>
                <w:b w:val="0"/>
                <w:i w:val="0"/>
                <w:color w:val="000000"/>
                <w:sz w:val="19"/>
              </w:rPr>
              <w:t>高，作为主选方案</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9"/>
              </w:rPr>
              <w:t>PostgreSQL 14 及以上</w:t>
            </w:r>
          </w:p>
        </w:tc>
        <w:tc>
          <w:tcPr>
            <w:tcW w:type="dxa" w:w="2494"/>
            <w:shd w:val="clear" w:color="auto" w:fill="F2F6FA"/>
            <w:vAlign w:val="center"/>
          </w:tcPr>
          <w:p>
            <w:pPr>
              <w:spacing w:line="300" w:lineRule="auto" w:before="30" w:after="30"/>
              <w:jc w:val="left"/>
            </w:pPr>
            <w:r/>
            <w:r>
              <w:rPr>
                <w:rFonts w:ascii="Times New Roman" w:hAnsi="Times New Roman" w:eastAsia="宋体"/>
                <w:b w:val="0"/>
                <w:i w:val="0"/>
                <w:color w:val="000000"/>
                <w:sz w:val="19"/>
              </w:rPr>
              <w:t>事务与并发能力强，数据类型和窗口函数更丰富</w:t>
            </w:r>
          </w:p>
        </w:tc>
        <w:tc>
          <w:tcPr>
            <w:tcW w:type="dxa" w:w="2041"/>
            <w:shd w:val="clear" w:color="auto" w:fill="F2F6FA"/>
            <w:vAlign w:val="center"/>
          </w:tcPr>
          <w:p>
            <w:pPr>
              <w:spacing w:line="300" w:lineRule="auto" w:before="30" w:after="30"/>
              <w:jc w:val="left"/>
            </w:pPr>
            <w:r/>
            <w:r>
              <w:rPr>
                <w:rFonts w:ascii="Times New Roman" w:hAnsi="Times New Roman" w:eastAsia="宋体"/>
                <w:b w:val="0"/>
                <w:i w:val="0"/>
                <w:color w:val="000000"/>
                <w:sz w:val="19"/>
              </w:rPr>
              <w:t>运维经验与中文资料相对较少</w:t>
            </w:r>
          </w:p>
        </w:tc>
        <w:tc>
          <w:tcPr>
            <w:tcW w:type="dxa" w:w="1814"/>
            <w:shd w:val="clear" w:color="auto" w:fill="F2F6FA"/>
            <w:vAlign w:val="center"/>
          </w:tcPr>
          <w:p>
            <w:pPr>
              <w:spacing w:line="300" w:lineRule="auto" w:before="30" w:after="30"/>
              <w:jc w:val="left"/>
            </w:pPr>
            <w:r/>
            <w:r>
              <w:rPr>
                <w:rFonts w:ascii="Times New Roman" w:hAnsi="Times New Roman" w:eastAsia="宋体"/>
                <w:b w:val="0"/>
                <w:i w:val="0"/>
                <w:color w:val="000000"/>
                <w:sz w:val="19"/>
              </w:rPr>
              <w:t>中高，后续特征分析可选</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9"/>
              </w:rPr>
              <w:t>TiDB 7.x</w:t>
            </w:r>
          </w:p>
        </w:tc>
        <w:tc>
          <w:tcPr>
            <w:tcW w:type="dxa" w:w="2494"/>
            <w:vAlign w:val="center"/>
          </w:tcPr>
          <w:p>
            <w:pPr>
              <w:spacing w:line="300" w:lineRule="auto" w:before="30" w:after="30"/>
              <w:jc w:val="left"/>
            </w:pPr>
            <w:r/>
            <w:r>
              <w:rPr>
                <w:rFonts w:ascii="Times New Roman" w:hAnsi="Times New Roman" w:eastAsia="宋体"/>
                <w:b w:val="0"/>
                <w:i w:val="0"/>
                <w:color w:val="000000"/>
                <w:sz w:val="19"/>
              </w:rPr>
              <w:t>分布式事务与水平扩展能力强</w:t>
            </w:r>
          </w:p>
        </w:tc>
        <w:tc>
          <w:tcPr>
            <w:tcW w:type="dxa" w:w="2041"/>
            <w:vAlign w:val="center"/>
          </w:tcPr>
          <w:p>
            <w:pPr>
              <w:spacing w:line="300" w:lineRule="auto" w:before="30" w:after="30"/>
              <w:jc w:val="left"/>
            </w:pPr>
            <w:r/>
            <w:r>
              <w:rPr>
                <w:rFonts w:ascii="Times New Roman" w:hAnsi="Times New Roman" w:eastAsia="宋体"/>
                <w:b w:val="0"/>
                <w:i w:val="0"/>
                <w:color w:val="000000"/>
                <w:sz w:val="19"/>
              </w:rPr>
              <w:t>需要集群资源，部署与运维成本高</w:t>
            </w:r>
          </w:p>
        </w:tc>
        <w:tc>
          <w:tcPr>
            <w:tcW w:type="dxa" w:w="1814"/>
            <w:vAlign w:val="center"/>
          </w:tcPr>
          <w:p>
            <w:pPr>
              <w:spacing w:line="300" w:lineRule="auto" w:before="30" w:after="30"/>
              <w:jc w:val="left"/>
            </w:pPr>
            <w:r/>
            <w:r>
              <w:rPr>
                <w:rFonts w:ascii="Times New Roman" w:hAnsi="Times New Roman" w:eastAsia="宋体"/>
                <w:b w:val="0"/>
                <w:i w:val="0"/>
                <w:color w:val="000000"/>
                <w:sz w:val="19"/>
              </w:rPr>
              <w:t>低，课程阶段投入过重</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MySQL 8.0 的 InnoDB 引擎通过事务与行级锁保证放款、还款入账等操作的一致性，binlog 可以支撑审计追溯和数据恢复，团队对 MySQL 的熟悉程度也最高。课程阶段不引入分库分表，但数据访问层保留分片键设计，综合项目III需要时可通过 ShardingSphere 平滑扩展。</w:t>
      </w:r>
    </w:p>
    <w:p>
      <w:pPr>
        <w:pStyle w:val="Heading2"/>
        <w:keepNext/>
        <w:spacing w:before="160" w:after="60" w:line="312" w:lineRule="auto"/>
      </w:pPr>
      <w:r>
        <w:rPr>
          <w:rFonts w:ascii="Times New Roman" w:hAnsi="Times New Roman" w:eastAsia="黑体"/>
          <w:b/>
          <w:i w:val="0"/>
          <w:color w:val="000000"/>
          <w:sz w:val="28"/>
        </w:rPr>
        <w:t>3.3 缓存、并发控制与幂等</w:t>
      </w:r>
    </w:p>
    <w:p>
      <w:pPr>
        <w:spacing w:line="360" w:lineRule="auto" w:before="0" w:after="0"/>
        <w:ind w:firstLine="480"/>
      </w:pPr>
      <w:r>
        <w:rPr>
          <w:rFonts w:ascii="Times New Roman" w:hAnsi="Times New Roman" w:eastAsia="宋体"/>
          <w:b w:val="0"/>
          <w:i w:val="0"/>
          <w:color w:val="000000"/>
          <w:sz w:val="24"/>
        </w:rPr>
        <w:t>Redis 7.x 承担五类职责：热点贷款产品与字典数据缓存、登录态与令牌黑名单、验证码与短信限流计数、接口限流、分布式锁。申请提交、审批通过和还款入账等关键操作以业务唯一键加 Redis 分布式锁配合数据库唯一约束实现幂等，避免重复提交造成重复放款或多扣款。分布式锁使用 Redisson 客户端实现，避免自行封装带来的锁续期和误删风险。</w:t>
      </w:r>
    </w:p>
    <w:p>
      <w:pPr>
        <w:spacing w:line="360" w:lineRule="auto" w:before="0" w:after="0"/>
        <w:ind w:firstLine="480"/>
      </w:pPr>
      <w:r>
        <w:rPr>
          <w:rFonts w:ascii="Times New Roman" w:hAnsi="Times New Roman" w:eastAsia="宋体"/>
          <w:b w:val="0"/>
          <w:i w:val="0"/>
          <w:color w:val="000000"/>
          <w:sz w:val="24"/>
        </w:rPr>
        <w:t>缓存的使用遵循先数据库后缓存的原则，只缓存可重建的读多写少数据，账务类数据不进入缓存。这一约束可以避免缓存与数据库不一致引发资金类错误。</w:t>
      </w:r>
    </w:p>
    <w:p>
      <w:pPr>
        <w:pStyle w:val="Heading2"/>
        <w:keepNext/>
        <w:spacing w:before="160" w:after="60" w:line="312" w:lineRule="auto"/>
      </w:pPr>
      <w:r>
        <w:rPr>
          <w:rFonts w:ascii="Times New Roman" w:hAnsi="Times New Roman" w:eastAsia="黑体"/>
          <w:b/>
          <w:i w:val="0"/>
          <w:color w:val="000000"/>
          <w:sz w:val="28"/>
        </w:rPr>
        <w:t>3.4 异步消息与通知</w:t>
      </w:r>
    </w:p>
    <w:p>
      <w:pPr>
        <w:spacing w:line="360" w:lineRule="auto" w:before="0" w:after="0"/>
        <w:ind w:firstLine="480"/>
      </w:pPr>
      <w:r>
        <w:rPr>
          <w:rFonts w:ascii="Times New Roman" w:hAnsi="Times New Roman" w:eastAsia="宋体"/>
          <w:b w:val="0"/>
          <w:i w:val="0"/>
          <w:color w:val="000000"/>
          <w:sz w:val="24"/>
        </w:rPr>
        <w:t>还款提醒、催收任务、数据清洗和模型补算等操作不需要阻塞主流程，适合通过消息队列解耦。候选方案的对比与取舍如表3所示。</w:t>
      </w:r>
    </w:p>
    <w:p>
      <w:pPr>
        <w:keepNext/>
        <w:spacing w:before="120" w:after="60" w:line="240" w:lineRule="auto"/>
        <w:jc w:val="center"/>
      </w:pPr>
      <w:r>
        <w:rPr>
          <w:rFonts w:ascii="Times New Roman" w:hAnsi="Times New Roman" w:eastAsia="黑体"/>
          <w:b/>
          <w:i w:val="0"/>
          <w:color w:val="000000"/>
          <w:sz w:val="21"/>
        </w:rPr>
        <w:t>表3 消息队列候选方案对比</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1701"/>
            <w:shd w:val="clear" w:color="auto" w:fill="1F4E79"/>
            <w:vAlign w:val="center"/>
          </w:tcPr>
          <w:p>
            <w:pPr>
              <w:spacing w:line="300" w:lineRule="auto" w:before="30" w:after="30"/>
              <w:jc w:val="center"/>
            </w:pPr>
            <w:r/>
            <w:r>
              <w:rPr>
                <w:rFonts w:ascii="Times New Roman" w:hAnsi="Times New Roman" w:eastAsia="黑体"/>
                <w:b/>
                <w:i w:val="0"/>
                <w:color w:val="FFFFFF"/>
                <w:sz w:val="20"/>
              </w:rPr>
              <w:t>候选方案</w:t>
            </w:r>
          </w:p>
        </w:tc>
        <w:tc>
          <w:tcPr>
            <w:tcW w:type="dxa" w:w="3402"/>
            <w:shd w:val="clear" w:color="auto" w:fill="1F4E79"/>
            <w:vAlign w:val="center"/>
          </w:tcPr>
          <w:p>
            <w:pPr>
              <w:spacing w:line="300" w:lineRule="auto" w:before="30" w:after="30"/>
              <w:jc w:val="center"/>
            </w:pPr>
            <w:r/>
            <w:r>
              <w:rPr>
                <w:rFonts w:ascii="Times New Roman" w:hAnsi="Times New Roman" w:eastAsia="黑体"/>
                <w:b/>
                <w:i w:val="0"/>
                <w:color w:val="FFFFFF"/>
                <w:sz w:val="20"/>
              </w:rPr>
              <w:t>适用场景</w:t>
            </w:r>
          </w:p>
        </w:tc>
        <w:tc>
          <w:tcPr>
            <w:tcW w:type="dxa" w:w="3061"/>
            <w:shd w:val="clear" w:color="auto" w:fill="1F4E79"/>
            <w:vAlign w:val="center"/>
          </w:tcPr>
          <w:p>
            <w:pPr>
              <w:spacing w:line="300" w:lineRule="auto" w:before="30" w:after="30"/>
              <w:jc w:val="center"/>
            </w:pPr>
            <w:r/>
            <w:r>
              <w:rPr>
                <w:rFonts w:ascii="Times New Roman" w:hAnsi="Times New Roman" w:eastAsia="黑体"/>
                <w:b/>
                <w:i w:val="0"/>
                <w:color w:val="FFFFFF"/>
                <w:sz w:val="20"/>
              </w:rPr>
              <w:t>本项目取舍</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20"/>
              </w:rPr>
              <w:t>RabbitMQ 3.13</w:t>
            </w:r>
          </w:p>
        </w:tc>
        <w:tc>
          <w:tcPr>
            <w:tcW w:type="dxa" w:w="3402"/>
            <w:vAlign w:val="center"/>
          </w:tcPr>
          <w:p>
            <w:pPr>
              <w:spacing w:line="300" w:lineRule="auto" w:before="30" w:after="30"/>
              <w:jc w:val="left"/>
            </w:pPr>
            <w:r/>
            <w:r>
              <w:rPr>
                <w:rFonts w:ascii="Times New Roman" w:hAnsi="Times New Roman" w:eastAsia="宋体"/>
                <w:b w:val="0"/>
                <w:i w:val="0"/>
                <w:color w:val="000000"/>
                <w:sz w:val="20"/>
              </w:rPr>
              <w:t>业务消息路由、延时消息与死信重试，学习成本低</w:t>
            </w:r>
          </w:p>
        </w:tc>
        <w:tc>
          <w:tcPr>
            <w:tcW w:type="dxa" w:w="3061"/>
            <w:vAlign w:val="center"/>
          </w:tcPr>
          <w:p>
            <w:pPr>
              <w:spacing w:line="300" w:lineRule="auto" w:before="30" w:after="30"/>
              <w:jc w:val="left"/>
            </w:pPr>
            <w:r/>
            <w:r>
              <w:rPr>
                <w:rFonts w:ascii="Times New Roman" w:hAnsi="Times New Roman" w:eastAsia="宋体"/>
                <w:b w:val="0"/>
                <w:i w:val="0"/>
                <w:color w:val="000000"/>
                <w:sz w:val="20"/>
              </w:rPr>
              <w:t>主选，用于还款提醒、通知推送和催收重试</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20"/>
              </w:rPr>
              <w:t>RocketMQ 5.x</w:t>
            </w:r>
          </w:p>
        </w:tc>
        <w:tc>
          <w:tcPr>
            <w:tcW w:type="dxa" w:w="3402"/>
            <w:shd w:val="clear" w:color="auto" w:fill="F2F6FA"/>
            <w:vAlign w:val="center"/>
          </w:tcPr>
          <w:p>
            <w:pPr>
              <w:spacing w:line="300" w:lineRule="auto" w:before="30" w:after="30"/>
              <w:jc w:val="left"/>
            </w:pPr>
            <w:r/>
            <w:r>
              <w:rPr>
                <w:rFonts w:ascii="Times New Roman" w:hAnsi="Times New Roman" w:eastAsia="宋体"/>
                <w:b w:val="0"/>
                <w:i w:val="0"/>
                <w:color w:val="000000"/>
                <w:sz w:val="20"/>
              </w:rPr>
              <w:t>高吞吐、事务消息与顺序消息，与 Spring Cloud Alibaba 同栈</w:t>
            </w:r>
          </w:p>
        </w:tc>
        <w:tc>
          <w:tcPr>
            <w:tcW w:type="dxa" w:w="3061"/>
            <w:shd w:val="clear" w:color="auto" w:fill="F2F6FA"/>
            <w:vAlign w:val="center"/>
          </w:tcPr>
          <w:p>
            <w:pPr>
              <w:spacing w:line="300" w:lineRule="auto" w:before="30" w:after="30"/>
              <w:jc w:val="left"/>
            </w:pPr>
            <w:r/>
            <w:r>
              <w:rPr>
                <w:rFonts w:ascii="Times New Roman" w:hAnsi="Times New Roman" w:eastAsia="宋体"/>
                <w:b w:val="0"/>
                <w:i w:val="0"/>
                <w:color w:val="000000"/>
                <w:sz w:val="20"/>
              </w:rPr>
              <w:t>备选，综合项目III需要更高吞吐或事务消息时替换</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20"/>
              </w:rPr>
              <w:t>Kafka 3.x</w:t>
            </w:r>
          </w:p>
        </w:tc>
        <w:tc>
          <w:tcPr>
            <w:tcW w:type="dxa" w:w="3402"/>
            <w:vAlign w:val="center"/>
          </w:tcPr>
          <w:p>
            <w:pPr>
              <w:spacing w:line="300" w:lineRule="auto" w:before="30" w:after="30"/>
              <w:jc w:val="left"/>
            </w:pPr>
            <w:r/>
            <w:r>
              <w:rPr>
                <w:rFonts w:ascii="Times New Roman" w:hAnsi="Times New Roman" w:eastAsia="宋体"/>
                <w:b w:val="0"/>
                <w:i w:val="0"/>
                <w:color w:val="000000"/>
                <w:sz w:val="20"/>
              </w:rPr>
              <w:t>日志采集与流式数据处理，吞吐量最高</w:t>
            </w:r>
          </w:p>
        </w:tc>
        <w:tc>
          <w:tcPr>
            <w:tcW w:type="dxa" w:w="3061"/>
            <w:vAlign w:val="center"/>
          </w:tcPr>
          <w:p>
            <w:pPr>
              <w:spacing w:line="300" w:lineRule="auto" w:before="30" w:after="30"/>
              <w:jc w:val="left"/>
            </w:pPr>
            <w:r/>
            <w:r>
              <w:rPr>
                <w:rFonts w:ascii="Times New Roman" w:hAnsi="Times New Roman" w:eastAsia="宋体"/>
                <w:b w:val="0"/>
                <w:i w:val="0"/>
                <w:color w:val="000000"/>
                <w:sz w:val="20"/>
              </w:rPr>
              <w:t>不选，项目缺少流式数据管道，运维成本偏高</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还款提醒需要在还款日前固定时间触发，采用 RabbitMQ 的延时消息或死信队列实现；通知发送失败后进入死信队列并按批次重试，避免因短信或邮件通道抖动造成提醒丢失。生产端开启消息确认与持久化，消费端按业务唯一键去重，保证消息至少投递一次时的业务幂等。</w:t>
      </w:r>
    </w:p>
    <w:p>
      <w:pPr>
        <w:pStyle w:val="Heading2"/>
        <w:keepNext/>
        <w:spacing w:before="160" w:after="60" w:line="312" w:lineRule="auto"/>
      </w:pPr>
      <w:r>
        <w:rPr>
          <w:rFonts w:ascii="Times New Roman" w:hAnsi="Times New Roman" w:eastAsia="黑体"/>
          <w:b/>
          <w:i w:val="0"/>
          <w:color w:val="000000"/>
          <w:sz w:val="28"/>
        </w:rPr>
        <w:t>3.5 风控模型服务</w:t>
      </w:r>
    </w:p>
    <w:p>
      <w:pPr>
        <w:spacing w:line="360" w:lineRule="auto" w:before="0" w:after="0"/>
        <w:ind w:firstLine="480"/>
      </w:pPr>
      <w:r>
        <w:rPr>
          <w:rFonts w:ascii="Times New Roman" w:hAnsi="Times New Roman" w:eastAsia="宋体"/>
          <w:b w:val="0"/>
          <w:i w:val="0"/>
          <w:color w:val="000000"/>
          <w:sz w:val="24"/>
        </w:rPr>
        <w:t>风控模型包含评分卡、坏账预测和贷中风险趋势计算。模型训练依赖 scikit-learn、XGBoost 等 Python 生态，若把模型逻辑重写进 Java 代码，会限制算法选择并增加线上线下不一致的风险。候选形态的对比与结论如表4所示。</w:t>
      </w:r>
    </w:p>
    <w:p>
      <w:pPr>
        <w:keepNext/>
        <w:spacing w:before="120" w:after="60" w:line="240" w:lineRule="auto"/>
        <w:jc w:val="center"/>
      </w:pPr>
      <w:r>
        <w:rPr>
          <w:rFonts w:ascii="Times New Roman" w:hAnsi="Times New Roman" w:eastAsia="黑体"/>
          <w:b/>
          <w:i w:val="0"/>
          <w:color w:val="000000"/>
          <w:sz w:val="21"/>
        </w:rPr>
        <w:t>表4 风控模型服务形态对比</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20"/>
              </w:rPr>
              <w:t>候选形态</w:t>
            </w:r>
          </w:p>
        </w:tc>
        <w:tc>
          <w:tcPr>
            <w:tcW w:type="dxa" w:w="3061"/>
            <w:shd w:val="clear" w:color="auto" w:fill="1F4E79"/>
            <w:vAlign w:val="center"/>
          </w:tcPr>
          <w:p>
            <w:pPr>
              <w:spacing w:line="300" w:lineRule="auto" w:before="30" w:after="30"/>
              <w:jc w:val="center"/>
            </w:pPr>
            <w:r/>
            <w:r>
              <w:rPr>
                <w:rFonts w:ascii="Times New Roman" w:hAnsi="Times New Roman" w:eastAsia="黑体"/>
                <w:b/>
                <w:i w:val="0"/>
                <w:color w:val="FFFFFF"/>
                <w:sz w:val="20"/>
              </w:rPr>
              <w:t>实现方式</w:t>
            </w:r>
          </w:p>
        </w:tc>
        <w:tc>
          <w:tcPr>
            <w:tcW w:type="dxa" w:w="3175"/>
            <w:shd w:val="clear" w:color="auto" w:fill="1F4E79"/>
            <w:vAlign w:val="center"/>
          </w:tcPr>
          <w:p>
            <w:pPr>
              <w:spacing w:line="300" w:lineRule="auto" w:before="30" w:after="30"/>
              <w:jc w:val="center"/>
            </w:pPr>
            <w:r/>
            <w:r>
              <w:rPr>
                <w:rFonts w:ascii="Times New Roman" w:hAnsi="Times New Roman" w:eastAsia="黑体"/>
                <w:b/>
                <w:i w:val="0"/>
                <w:color w:val="FFFFFF"/>
                <w:sz w:val="20"/>
              </w:rPr>
              <w:t>评价</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20"/>
              </w:rPr>
              <w:t>业务后端内嵌模型</w:t>
            </w:r>
          </w:p>
        </w:tc>
        <w:tc>
          <w:tcPr>
            <w:tcW w:type="dxa" w:w="3061"/>
            <w:vAlign w:val="center"/>
          </w:tcPr>
          <w:p>
            <w:pPr>
              <w:spacing w:line="300" w:lineRule="auto" w:before="30" w:after="30"/>
              <w:jc w:val="left"/>
            </w:pPr>
            <w:r/>
            <w:r>
              <w:rPr>
                <w:rFonts w:ascii="Times New Roman" w:hAnsi="Times New Roman" w:eastAsia="宋体"/>
                <w:b w:val="0"/>
                <w:i w:val="0"/>
                <w:color w:val="000000"/>
                <w:sz w:val="20"/>
              </w:rPr>
              <w:t>用 Java 重写模型逻辑或调用 Java 机器学习库</w:t>
            </w:r>
          </w:p>
        </w:tc>
        <w:tc>
          <w:tcPr>
            <w:tcW w:type="dxa" w:w="3175"/>
            <w:vAlign w:val="center"/>
          </w:tcPr>
          <w:p>
            <w:pPr>
              <w:spacing w:line="300" w:lineRule="auto" w:before="30" w:after="30"/>
              <w:jc w:val="left"/>
            </w:pPr>
            <w:r/>
            <w:r>
              <w:rPr>
                <w:rFonts w:ascii="Times New Roman" w:hAnsi="Times New Roman" w:eastAsia="宋体"/>
                <w:b w:val="0"/>
                <w:i w:val="0"/>
                <w:color w:val="000000"/>
                <w:sz w:val="20"/>
              </w:rPr>
              <w:t>部署简单，但算法选择受限，模型迭代需要重新发布业务服务</w:t>
            </w:r>
          </w:p>
        </w:tc>
      </w:tr>
      <w:tr>
        <w:trPr>
          <w:cantSplit/>
        </w:trPr>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20"/>
              </w:rPr>
              <w:t>PMML 模型文件加 Java 执行</w:t>
            </w:r>
          </w:p>
        </w:tc>
        <w:tc>
          <w:tcPr>
            <w:tcW w:type="dxa" w:w="3061"/>
            <w:shd w:val="clear" w:color="auto" w:fill="F2F6FA"/>
            <w:vAlign w:val="center"/>
          </w:tcPr>
          <w:p>
            <w:pPr>
              <w:spacing w:line="300" w:lineRule="auto" w:before="30" w:after="30"/>
              <w:jc w:val="left"/>
            </w:pPr>
            <w:r/>
            <w:r>
              <w:rPr>
                <w:rFonts w:ascii="Times New Roman" w:hAnsi="Times New Roman" w:eastAsia="宋体"/>
                <w:b w:val="0"/>
                <w:i w:val="0"/>
                <w:color w:val="000000"/>
                <w:sz w:val="20"/>
              </w:rPr>
              <w:t>训练后导出 PMML，由 Java 引擎加载执行</w:t>
            </w:r>
          </w:p>
        </w:tc>
        <w:tc>
          <w:tcPr>
            <w:tcW w:type="dxa" w:w="3175"/>
            <w:shd w:val="clear" w:color="auto" w:fill="F2F6FA"/>
            <w:vAlign w:val="center"/>
          </w:tcPr>
          <w:p>
            <w:pPr>
              <w:spacing w:line="300" w:lineRule="auto" w:before="30" w:after="30"/>
              <w:jc w:val="left"/>
            </w:pPr>
            <w:r/>
            <w:r>
              <w:rPr>
                <w:rFonts w:ascii="Times New Roman" w:hAnsi="Times New Roman" w:eastAsia="宋体"/>
                <w:b w:val="0"/>
                <w:i w:val="0"/>
                <w:color w:val="000000"/>
                <w:sz w:val="20"/>
              </w:rPr>
              <w:t>调用链路短，适合评分卡等结构化模型，复杂模型支持有限</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20"/>
              </w:rPr>
              <w:t>独立 Python 模型服务</w:t>
            </w:r>
          </w:p>
        </w:tc>
        <w:tc>
          <w:tcPr>
            <w:tcW w:type="dxa" w:w="3061"/>
            <w:vAlign w:val="center"/>
          </w:tcPr>
          <w:p>
            <w:pPr>
              <w:spacing w:line="300" w:lineRule="auto" w:before="30" w:after="30"/>
              <w:jc w:val="left"/>
            </w:pPr>
            <w:r/>
            <w:r>
              <w:rPr>
                <w:rFonts w:ascii="Times New Roman" w:hAnsi="Times New Roman" w:eastAsia="宋体"/>
                <w:b w:val="0"/>
                <w:i w:val="0"/>
                <w:color w:val="000000"/>
                <w:sz w:val="20"/>
              </w:rPr>
              <w:t>FastAPI 提供版本化评分接口，业务服务通过 HTTP 调用</w:t>
            </w:r>
          </w:p>
        </w:tc>
        <w:tc>
          <w:tcPr>
            <w:tcW w:type="dxa" w:w="3175"/>
            <w:vAlign w:val="center"/>
          </w:tcPr>
          <w:p>
            <w:pPr>
              <w:spacing w:line="300" w:lineRule="auto" w:before="30" w:after="30"/>
              <w:jc w:val="left"/>
            </w:pPr>
            <w:r/>
            <w:r>
              <w:rPr>
                <w:rFonts w:ascii="Times New Roman" w:hAnsi="Times New Roman" w:eastAsia="宋体"/>
                <w:b w:val="0"/>
                <w:i w:val="0"/>
                <w:color w:val="000000"/>
                <w:sz w:val="20"/>
              </w:rPr>
              <w:t>训练与上线语言一致，模型可独立迭代与灰度，作为主选</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主选独立 Python 服务，采用 FastAPI 提供版本化接口，返回评分、风险等级、主要影响因素和模型版本号，便于人工复核与审计追溯。业务后端只负责调度、超时控制和结果落库，不参与模型计算。模型服务不可用时，业务后端降级到规则引擎给出的兜底结论并记录降级原因，保证审批流程不中断。综合项目I阶段只定义接口契约与数据结构，不实现模型计算；综合项目II阶段接入评分卡模型；综合项目III阶段在多模型并存的基础上增加模型版本管理与效果监控。</w:t>
      </w:r>
    </w:p>
    <w:p>
      <w:pPr>
        <w:pStyle w:val="Heading2"/>
        <w:keepNext/>
        <w:spacing w:before="160" w:after="60" w:line="312" w:lineRule="auto"/>
      </w:pPr>
      <w:r>
        <w:rPr>
          <w:rFonts w:ascii="Times New Roman" w:hAnsi="Times New Roman" w:eastAsia="黑体"/>
          <w:b/>
          <w:i w:val="0"/>
          <w:color w:val="000000"/>
          <w:sz w:val="28"/>
        </w:rPr>
        <w:t>3.6 规则引擎</w:t>
      </w:r>
    </w:p>
    <w:p>
      <w:pPr>
        <w:spacing w:line="360" w:lineRule="auto" w:before="0" w:after="0"/>
        <w:ind w:firstLine="480"/>
      </w:pPr>
      <w:r>
        <w:rPr>
          <w:rFonts w:ascii="Times New Roman" w:hAnsi="Times New Roman" w:eastAsia="宋体"/>
          <w:b w:val="0"/>
          <w:i w:val="0"/>
          <w:color w:val="000000"/>
          <w:sz w:val="24"/>
        </w:rPr>
        <w:t>贷中预警依赖连续逾期、联系方式频繁变更、登录地点异常、同设备多账号申请等业务规则。这些规则变更频繁，若硬编码在业务代码中，每次调整都需要重新发版。候选实现方式的对比与结论如表5所示。</w:t>
      </w:r>
    </w:p>
    <w:p>
      <w:pPr>
        <w:keepNext/>
        <w:spacing w:before="120" w:after="60" w:line="240" w:lineRule="auto"/>
        <w:jc w:val="center"/>
      </w:pPr>
      <w:r>
        <w:rPr>
          <w:rFonts w:ascii="Times New Roman" w:hAnsi="Times New Roman" w:eastAsia="黑体"/>
          <w:b/>
          <w:i w:val="0"/>
          <w:color w:val="000000"/>
          <w:sz w:val="21"/>
        </w:rPr>
        <w:t>表5 业务规则实现方式对比</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183"/>
        <w:gridCol w:w="2183"/>
        <w:gridCol w:w="2183"/>
        <w:gridCol w:w="2183"/>
      </w:tblGrid>
      <w:tr>
        <w:trPr>
          <w:cantSplit/>
          <w:tblHeader/>
        </w:trPr>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19"/>
              </w:rPr>
              <w:t>实现方式</w:t>
            </w:r>
          </w:p>
        </w:tc>
        <w:tc>
          <w:tcPr>
            <w:tcW w:type="dxa" w:w="2381"/>
            <w:shd w:val="clear" w:color="auto" w:fill="1F4E79"/>
            <w:vAlign w:val="center"/>
          </w:tcPr>
          <w:p>
            <w:pPr>
              <w:spacing w:line="300" w:lineRule="auto" w:before="30" w:after="30"/>
              <w:jc w:val="center"/>
            </w:pPr>
            <w:r/>
            <w:r>
              <w:rPr>
                <w:rFonts w:ascii="Times New Roman" w:hAnsi="Times New Roman" w:eastAsia="黑体"/>
                <w:b/>
                <w:i w:val="0"/>
                <w:color w:val="FFFFFF"/>
                <w:sz w:val="19"/>
              </w:rPr>
              <w:t>可配置性</w:t>
            </w:r>
          </w:p>
        </w:tc>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19"/>
              </w:rPr>
              <w:t>维护成本</w:t>
            </w:r>
          </w:p>
        </w:tc>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19"/>
              </w:rPr>
              <w:t>结论</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19"/>
              </w:rPr>
              <w:t>业务代码硬编码</w:t>
            </w:r>
          </w:p>
        </w:tc>
        <w:tc>
          <w:tcPr>
            <w:tcW w:type="dxa" w:w="2381"/>
            <w:vAlign w:val="center"/>
          </w:tcPr>
          <w:p>
            <w:pPr>
              <w:spacing w:line="300" w:lineRule="auto" w:before="30" w:after="30"/>
              <w:jc w:val="left"/>
            </w:pPr>
            <w:r/>
            <w:r>
              <w:rPr>
                <w:rFonts w:ascii="Times New Roman" w:hAnsi="Times New Roman" w:eastAsia="宋体"/>
                <w:b w:val="0"/>
                <w:i w:val="0"/>
                <w:color w:val="000000"/>
                <w:sz w:val="19"/>
              </w:rPr>
              <w:t>无，调整需要重新发版</w:t>
            </w:r>
          </w:p>
        </w:tc>
        <w:tc>
          <w:tcPr>
            <w:tcW w:type="dxa" w:w="1928"/>
            <w:vAlign w:val="center"/>
          </w:tcPr>
          <w:p>
            <w:pPr>
              <w:spacing w:line="300" w:lineRule="auto" w:before="30" w:after="30"/>
              <w:jc w:val="left"/>
            </w:pPr>
            <w:r/>
            <w:r>
              <w:rPr>
                <w:rFonts w:ascii="Times New Roman" w:hAnsi="Times New Roman" w:eastAsia="宋体"/>
                <w:b w:val="0"/>
                <w:i w:val="0"/>
                <w:color w:val="000000"/>
                <w:sz w:val="19"/>
              </w:rPr>
              <w:t>维护简单但变更缓慢</w:t>
            </w:r>
          </w:p>
        </w:tc>
        <w:tc>
          <w:tcPr>
            <w:tcW w:type="dxa" w:w="1928"/>
            <w:vAlign w:val="center"/>
          </w:tcPr>
          <w:p>
            <w:pPr>
              <w:spacing w:line="300" w:lineRule="auto" w:before="30" w:after="30"/>
              <w:jc w:val="left"/>
            </w:pPr>
            <w:r/>
            <w:r>
              <w:rPr>
                <w:rFonts w:ascii="Times New Roman" w:hAnsi="Times New Roman" w:eastAsia="宋体"/>
                <w:b w:val="0"/>
                <w:i w:val="0"/>
                <w:color w:val="000000"/>
                <w:sz w:val="19"/>
              </w:rPr>
              <w:t>仅用于稳定不变的核心校验</w:t>
            </w:r>
          </w:p>
        </w:tc>
      </w:tr>
      <w:tr>
        <w:trPr>
          <w:cantSplit/>
        </w:trPr>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规则配置表加表达式引擎</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9"/>
              </w:rPr>
              <w:t>规则以表达式存储，支持版本与灰度</w:t>
            </w:r>
          </w:p>
        </w:tc>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需要基本的规则治理</w:t>
            </w:r>
          </w:p>
        </w:tc>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9"/>
              </w:rPr>
              <w:t>主选，使用 Aviator 表达式</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19"/>
              </w:rPr>
              <w:t>Drools 规则引擎</w:t>
            </w:r>
          </w:p>
        </w:tc>
        <w:tc>
          <w:tcPr>
            <w:tcW w:type="dxa" w:w="2381"/>
            <w:vAlign w:val="center"/>
          </w:tcPr>
          <w:p>
            <w:pPr>
              <w:spacing w:line="300" w:lineRule="auto" w:before="30" w:after="30"/>
              <w:jc w:val="left"/>
            </w:pPr>
            <w:r/>
            <w:r>
              <w:rPr>
                <w:rFonts w:ascii="Times New Roman" w:hAnsi="Times New Roman" w:eastAsia="宋体"/>
                <w:b w:val="0"/>
                <w:i w:val="0"/>
                <w:color w:val="000000"/>
                <w:sz w:val="19"/>
              </w:rPr>
              <w:t>功能完整，支持复杂规则流与推理</w:t>
            </w:r>
          </w:p>
        </w:tc>
        <w:tc>
          <w:tcPr>
            <w:tcW w:type="dxa" w:w="1928"/>
            <w:vAlign w:val="center"/>
          </w:tcPr>
          <w:p>
            <w:pPr>
              <w:spacing w:line="300" w:lineRule="auto" w:before="30" w:after="30"/>
              <w:jc w:val="left"/>
            </w:pPr>
            <w:r/>
            <w:r>
              <w:rPr>
                <w:rFonts w:ascii="Times New Roman" w:hAnsi="Times New Roman" w:eastAsia="宋体"/>
                <w:b w:val="0"/>
                <w:i w:val="0"/>
                <w:color w:val="000000"/>
                <w:sz w:val="19"/>
              </w:rPr>
              <w:t>学习成本高，调试链路长</w:t>
            </w:r>
          </w:p>
        </w:tc>
        <w:tc>
          <w:tcPr>
            <w:tcW w:type="dxa" w:w="1928"/>
            <w:vAlign w:val="center"/>
          </w:tcPr>
          <w:p>
            <w:pPr>
              <w:spacing w:line="300" w:lineRule="auto" w:before="30" w:after="30"/>
              <w:jc w:val="left"/>
            </w:pPr>
            <w:r/>
            <w:r>
              <w:rPr>
                <w:rFonts w:ascii="Times New Roman" w:hAnsi="Times New Roman" w:eastAsia="宋体"/>
                <w:b w:val="0"/>
                <w:i w:val="0"/>
                <w:color w:val="000000"/>
                <w:sz w:val="19"/>
              </w:rPr>
              <w:t>暂不引入，规则规模扩大后再评估</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主选规则配置表加 Aviator 表达式的方式，规则内容、生效时间、版本号和审批人一同入库，规则命中结果写入风险事件表，供后续统计与模型特征复用。这种方式的表达能力和治理成本与课程项目规模匹配，后续若规则数量显著增加，再评估引入 LiteFlow 或 Drools 进行规则编排。</w:t>
      </w:r>
    </w:p>
    <w:p>
      <w:pPr>
        <w:pStyle w:val="Heading2"/>
        <w:keepNext/>
        <w:spacing w:before="160" w:after="60" w:line="312" w:lineRule="auto"/>
      </w:pPr>
      <w:r>
        <w:rPr>
          <w:rFonts w:ascii="Times New Roman" w:hAnsi="Times New Roman" w:eastAsia="黑体"/>
          <w:b/>
          <w:i w:val="0"/>
          <w:color w:val="000000"/>
          <w:sz w:val="28"/>
        </w:rPr>
        <w:t>3.7 认证授权、安全与审计</w:t>
      </w:r>
    </w:p>
    <w:p>
      <w:pPr>
        <w:keepNext/>
        <w:spacing w:before="120" w:after="60" w:line="240" w:lineRule="auto"/>
        <w:jc w:val="center"/>
      </w:pPr>
      <w:r>
        <w:rPr>
          <w:rFonts w:ascii="Times New Roman" w:hAnsi="Times New Roman" w:eastAsia="黑体"/>
          <w:b/>
          <w:i w:val="0"/>
          <w:color w:val="000000"/>
          <w:sz w:val="21"/>
        </w:rPr>
        <w:t>表6 认证授权方案对比</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2041"/>
            <w:shd w:val="clear" w:color="auto" w:fill="1F4E79"/>
            <w:vAlign w:val="center"/>
          </w:tcPr>
          <w:p>
            <w:pPr>
              <w:spacing w:line="300" w:lineRule="auto" w:before="30" w:after="30"/>
              <w:jc w:val="center"/>
            </w:pPr>
            <w:r/>
            <w:r>
              <w:rPr>
                <w:rFonts w:ascii="Times New Roman" w:hAnsi="Times New Roman" w:eastAsia="黑体"/>
                <w:b/>
                <w:i w:val="0"/>
                <w:color w:val="FFFFFF"/>
                <w:sz w:val="19"/>
              </w:rPr>
              <w:t>候选方案</w:t>
            </w:r>
          </w:p>
        </w:tc>
        <w:tc>
          <w:tcPr>
            <w:tcW w:type="dxa" w:w="3969"/>
            <w:shd w:val="clear" w:color="auto" w:fill="1F4E79"/>
            <w:vAlign w:val="center"/>
          </w:tcPr>
          <w:p>
            <w:pPr>
              <w:spacing w:line="300" w:lineRule="auto" w:before="30" w:after="30"/>
              <w:jc w:val="center"/>
            </w:pPr>
            <w:r/>
            <w:r>
              <w:rPr>
                <w:rFonts w:ascii="Times New Roman" w:hAnsi="Times New Roman" w:eastAsia="黑体"/>
                <w:b/>
                <w:i w:val="0"/>
                <w:color w:val="FFFFFF"/>
                <w:sz w:val="19"/>
              </w:rPr>
              <w:t>说明</w:t>
            </w:r>
          </w:p>
        </w:tc>
        <w:tc>
          <w:tcPr>
            <w:tcW w:type="dxa" w:w="2154"/>
            <w:shd w:val="clear" w:color="auto" w:fill="1F4E79"/>
            <w:vAlign w:val="center"/>
          </w:tcPr>
          <w:p>
            <w:pPr>
              <w:spacing w:line="300" w:lineRule="auto" w:before="30" w:after="30"/>
              <w:jc w:val="center"/>
            </w:pPr>
            <w:r/>
            <w:r>
              <w:rPr>
                <w:rFonts w:ascii="Times New Roman" w:hAnsi="Times New Roman" w:eastAsia="黑体"/>
                <w:b/>
                <w:i w:val="0"/>
                <w:color w:val="FFFFFF"/>
                <w:sz w:val="19"/>
              </w:rPr>
              <w:t>结论</w:t>
            </w:r>
          </w:p>
        </w:tc>
      </w:tr>
      <w:tr>
        <w:trPr>
          <w:cantSplit/>
        </w:trPr>
        <w:tc>
          <w:tcPr>
            <w:tcW w:type="dxa" w:w="2041"/>
            <w:vAlign w:val="center"/>
          </w:tcPr>
          <w:p>
            <w:pPr>
              <w:spacing w:line="300" w:lineRule="auto" w:before="30" w:after="30"/>
              <w:jc w:val="left"/>
            </w:pPr>
            <w:r/>
            <w:r>
              <w:rPr>
                <w:rFonts w:ascii="Times New Roman" w:hAnsi="Times New Roman" w:eastAsia="宋体"/>
                <w:b w:val="0"/>
                <w:i w:val="0"/>
                <w:color w:val="000000"/>
                <w:sz w:val="19"/>
              </w:rPr>
              <w:t>Spring Security 6 加 JWT</w:t>
            </w:r>
          </w:p>
        </w:tc>
        <w:tc>
          <w:tcPr>
            <w:tcW w:type="dxa" w:w="3969"/>
            <w:vAlign w:val="center"/>
          </w:tcPr>
          <w:p>
            <w:pPr>
              <w:spacing w:line="300" w:lineRule="auto" w:before="30" w:after="30"/>
              <w:jc w:val="left"/>
            </w:pPr>
            <w:r/>
            <w:r>
              <w:rPr>
                <w:rFonts w:ascii="Times New Roman" w:hAnsi="Times New Roman" w:eastAsia="宋体"/>
                <w:b w:val="0"/>
                <w:i w:val="0"/>
                <w:color w:val="000000"/>
                <w:sz w:val="19"/>
              </w:rPr>
              <w:t>与 Spring Boot 同源，过滤器链可扩展，支持方法级权限与审计埋点</w:t>
            </w:r>
          </w:p>
        </w:tc>
        <w:tc>
          <w:tcPr>
            <w:tcW w:type="dxa" w:w="2154"/>
            <w:vAlign w:val="center"/>
          </w:tcPr>
          <w:p>
            <w:pPr>
              <w:spacing w:line="300" w:lineRule="auto" w:before="30" w:after="30"/>
              <w:jc w:val="left"/>
            </w:pPr>
            <w:r/>
            <w:r>
              <w:rPr>
                <w:rFonts w:ascii="Times New Roman" w:hAnsi="Times New Roman" w:eastAsia="宋体"/>
                <w:b w:val="0"/>
                <w:i w:val="0"/>
                <w:color w:val="000000"/>
                <w:sz w:val="19"/>
              </w:rPr>
              <w:t>主选，配合 Redis 管理令牌状态</w:t>
            </w:r>
          </w:p>
        </w:tc>
      </w:tr>
      <w:tr>
        <w:trPr>
          <w:cantSplit/>
        </w:trPr>
        <w:tc>
          <w:tcPr>
            <w:tcW w:type="dxa" w:w="2041"/>
            <w:shd w:val="clear" w:color="auto" w:fill="F2F6FA"/>
            <w:vAlign w:val="center"/>
          </w:tcPr>
          <w:p>
            <w:pPr>
              <w:spacing w:line="300" w:lineRule="auto" w:before="30" w:after="30"/>
              <w:jc w:val="left"/>
            </w:pPr>
            <w:r/>
            <w:r>
              <w:rPr>
                <w:rFonts w:ascii="Times New Roman" w:hAnsi="Times New Roman" w:eastAsia="宋体"/>
                <w:b w:val="0"/>
                <w:i w:val="0"/>
                <w:color w:val="000000"/>
                <w:sz w:val="19"/>
              </w:rPr>
              <w:t>Sa-Token</w:t>
            </w:r>
          </w:p>
        </w:tc>
        <w:tc>
          <w:tcPr>
            <w:tcW w:type="dxa" w:w="3969"/>
            <w:shd w:val="clear" w:color="auto" w:fill="F2F6FA"/>
            <w:vAlign w:val="center"/>
          </w:tcPr>
          <w:p>
            <w:pPr>
              <w:spacing w:line="300" w:lineRule="auto" w:before="30" w:after="30"/>
              <w:jc w:val="left"/>
            </w:pPr>
            <w:r/>
            <w:r>
              <w:rPr>
                <w:rFonts w:ascii="Times New Roman" w:hAnsi="Times New Roman" w:eastAsia="宋体"/>
                <w:b w:val="0"/>
                <w:i w:val="0"/>
                <w:color w:val="000000"/>
                <w:sz w:val="19"/>
              </w:rPr>
              <w:t>注解式权限校验，上手快，中文文档友好</w:t>
            </w:r>
          </w:p>
        </w:tc>
        <w:tc>
          <w:tcPr>
            <w:tcW w:type="dxa" w:w="2154"/>
            <w:shd w:val="clear" w:color="auto" w:fill="F2F6FA"/>
            <w:vAlign w:val="center"/>
          </w:tcPr>
          <w:p>
            <w:pPr>
              <w:spacing w:line="300" w:lineRule="auto" w:before="30" w:after="30"/>
              <w:jc w:val="left"/>
            </w:pPr>
            <w:r/>
            <w:r>
              <w:rPr>
                <w:rFonts w:ascii="Times New Roman" w:hAnsi="Times New Roman" w:eastAsia="宋体"/>
                <w:b w:val="0"/>
                <w:i w:val="0"/>
                <w:color w:val="000000"/>
                <w:sz w:val="19"/>
              </w:rPr>
              <w:t>备选，开发时间紧张时可替换，接口契约保持不变</w:t>
            </w:r>
          </w:p>
        </w:tc>
      </w:tr>
      <w:tr>
        <w:trPr>
          <w:cantSplit/>
        </w:trPr>
        <w:tc>
          <w:tcPr>
            <w:tcW w:type="dxa" w:w="2041"/>
            <w:vAlign w:val="center"/>
          </w:tcPr>
          <w:p>
            <w:pPr>
              <w:spacing w:line="300" w:lineRule="auto" w:before="30" w:after="30"/>
              <w:jc w:val="left"/>
            </w:pPr>
            <w:r/>
            <w:r>
              <w:rPr>
                <w:rFonts w:ascii="Times New Roman" w:hAnsi="Times New Roman" w:eastAsia="宋体"/>
                <w:b w:val="0"/>
                <w:i w:val="0"/>
                <w:color w:val="000000"/>
                <w:sz w:val="19"/>
              </w:rPr>
              <w:t>Apache Shiro</w:t>
            </w:r>
          </w:p>
        </w:tc>
        <w:tc>
          <w:tcPr>
            <w:tcW w:type="dxa" w:w="3969"/>
            <w:vAlign w:val="center"/>
          </w:tcPr>
          <w:p>
            <w:pPr>
              <w:spacing w:line="300" w:lineRule="auto" w:before="30" w:after="30"/>
              <w:jc w:val="left"/>
            </w:pPr>
            <w:r/>
            <w:r>
              <w:rPr>
                <w:rFonts w:ascii="Times New Roman" w:hAnsi="Times New Roman" w:eastAsia="宋体"/>
                <w:b w:val="0"/>
                <w:i w:val="0"/>
                <w:color w:val="000000"/>
                <w:sz w:val="19"/>
              </w:rPr>
              <w:t>轻量易用，但社区活跃度下降，与 Spring Boot 3 集成需要额外适配</w:t>
            </w:r>
          </w:p>
        </w:tc>
        <w:tc>
          <w:tcPr>
            <w:tcW w:type="dxa" w:w="2154"/>
            <w:vAlign w:val="center"/>
          </w:tcPr>
          <w:p>
            <w:pPr>
              <w:spacing w:line="300" w:lineRule="auto" w:before="30" w:after="30"/>
              <w:jc w:val="left"/>
            </w:pPr>
            <w:r/>
            <w:r>
              <w:rPr>
                <w:rFonts w:ascii="Times New Roman" w:hAnsi="Times New Roman" w:eastAsia="宋体"/>
                <w:b w:val="0"/>
                <w:i w:val="0"/>
                <w:color w:val="000000"/>
                <w:sz w:val="19"/>
              </w:rPr>
              <w:t>不选</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权限模型采用基于角色的访问控制，按产品管理员、审核员、催收人员、风控人员和系统管理员划分角色，敏感操作再叠加数据权限与操作审计。密码使用 BCrypt 加盐存储，登录采用短时访问令牌加可撤销刷新令牌，令牌状态存入 Redis 以支持强制下线。</w:t>
      </w:r>
    </w:p>
    <w:p>
      <w:pPr>
        <w:spacing w:line="360" w:lineRule="auto" w:before="0" w:after="0"/>
        <w:ind w:firstLine="480"/>
      </w:pPr>
      <w:r>
        <w:rPr>
          <w:rFonts w:ascii="Times New Roman" w:hAnsi="Times New Roman" w:eastAsia="宋体"/>
          <w:b w:val="0"/>
          <w:i w:val="0"/>
          <w:color w:val="000000"/>
          <w:sz w:val="24"/>
        </w:rPr>
        <w:t>接口统一通过 HTTPS 传输，敏感字段在数据库中采用 AES-256-GCM 加密存储，展示层按最小必要原则脱敏，密钥通过独立的密钥管理方式保存，不写入代码库。审批、放款、阈值调整、模型发布和规则变更记录操作人、时间、IP、变更前后内容和审批依据。申请、审批和还款等核心记录在写入时生成哈希摘要，并以上一条记录的摘要参与下一条计算，形成可校验的哈希链，使篡改可被发现。该方案是可行性分析报告中数据指纹思想的轻量实现，不依赖区块链即可满足课程项目的防篡改要求。</w:t>
      </w:r>
    </w:p>
    <w:p>
      <w:pPr>
        <w:pStyle w:val="Heading2"/>
        <w:keepNext/>
        <w:spacing w:before="160" w:after="60" w:line="312" w:lineRule="auto"/>
      </w:pPr>
      <w:r>
        <w:rPr>
          <w:rFonts w:ascii="Times New Roman" w:hAnsi="Times New Roman" w:eastAsia="黑体"/>
          <w:b/>
          <w:i w:val="0"/>
          <w:color w:val="000000"/>
          <w:sz w:val="28"/>
        </w:rPr>
        <w:t>3.8 接口规范、工程工具链与部署</w:t>
      </w:r>
    </w:p>
    <w:p>
      <w:pPr>
        <w:spacing w:line="360" w:lineRule="auto" w:before="0" w:after="0"/>
        <w:ind w:firstLine="480"/>
      </w:pPr>
      <w:r>
        <w:rPr>
          <w:rFonts w:ascii="Times New Roman" w:hAnsi="Times New Roman" w:eastAsia="宋体"/>
          <w:b w:val="0"/>
          <w:i w:val="0"/>
          <w:color w:val="000000"/>
          <w:sz w:val="24"/>
        </w:rPr>
        <w:t>接口统一采用 RESTful 风格，使用 OpenAPI 3 描述契约，由 springdoc-openapi 与Knife4j 生成在线文档。接口在实现前先完成契约评审，以支撑安卓端、管理端与后端并行开发。响应体统一为状态码、消息、数据和链路标识四部分，错误码按模块分段；写操作接口支持幂等键，分页、排序和过滤参数遵循统一约定。</w:t>
      </w:r>
    </w:p>
    <w:p>
      <w:pPr>
        <w:keepNext/>
        <w:spacing w:before="120" w:after="60" w:line="240" w:lineRule="auto"/>
        <w:jc w:val="center"/>
      </w:pPr>
      <w:r>
        <w:rPr>
          <w:rFonts w:ascii="Times New Roman" w:hAnsi="Times New Roman" w:eastAsia="黑体"/>
          <w:b/>
          <w:i w:val="0"/>
          <w:color w:val="000000"/>
          <w:sz w:val="21"/>
        </w:rPr>
        <w:t>表7 工程工具链选型</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1474"/>
            <w:shd w:val="clear" w:color="auto" w:fill="1F4E79"/>
            <w:vAlign w:val="center"/>
          </w:tcPr>
          <w:p>
            <w:pPr>
              <w:spacing w:line="300" w:lineRule="auto" w:before="30" w:after="30"/>
              <w:jc w:val="center"/>
            </w:pPr>
            <w:r/>
            <w:r>
              <w:rPr>
                <w:rFonts w:ascii="Times New Roman" w:hAnsi="Times New Roman" w:eastAsia="黑体"/>
                <w:b/>
                <w:i w:val="0"/>
                <w:color w:val="FFFFFF"/>
                <w:sz w:val="19"/>
              </w:rPr>
              <w:t>环节</w:t>
            </w:r>
          </w:p>
        </w:tc>
        <w:tc>
          <w:tcPr>
            <w:tcW w:type="dxa" w:w="2494"/>
            <w:shd w:val="clear" w:color="auto" w:fill="1F4E79"/>
            <w:vAlign w:val="center"/>
          </w:tcPr>
          <w:p>
            <w:pPr>
              <w:spacing w:line="300" w:lineRule="auto" w:before="30" w:after="30"/>
              <w:jc w:val="center"/>
            </w:pPr>
            <w:r/>
            <w:r>
              <w:rPr>
                <w:rFonts w:ascii="Times New Roman" w:hAnsi="Times New Roman" w:eastAsia="黑体"/>
                <w:b/>
                <w:i w:val="0"/>
                <w:color w:val="FFFFFF"/>
                <w:sz w:val="19"/>
              </w:rPr>
              <w:t>选型</w:t>
            </w:r>
          </w:p>
        </w:tc>
        <w:tc>
          <w:tcPr>
            <w:tcW w:type="dxa" w:w="4195"/>
            <w:shd w:val="clear" w:color="auto" w:fill="1F4E79"/>
            <w:vAlign w:val="center"/>
          </w:tcPr>
          <w:p>
            <w:pPr>
              <w:spacing w:line="300" w:lineRule="auto" w:before="30" w:after="30"/>
              <w:jc w:val="center"/>
            </w:pPr>
            <w:r/>
            <w:r>
              <w:rPr>
                <w:rFonts w:ascii="Times New Roman" w:hAnsi="Times New Roman" w:eastAsia="黑体"/>
                <w:b/>
                <w:i w:val="0"/>
                <w:color w:val="FFFFFF"/>
                <w:sz w:val="19"/>
              </w:rPr>
              <w:t>说明</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构建</w:t>
            </w:r>
          </w:p>
        </w:tc>
        <w:tc>
          <w:tcPr>
            <w:tcW w:type="dxa" w:w="2494"/>
            <w:vAlign w:val="center"/>
          </w:tcPr>
          <w:p>
            <w:pPr>
              <w:spacing w:line="300" w:lineRule="auto" w:before="30" w:after="30"/>
              <w:jc w:val="left"/>
            </w:pPr>
            <w:r/>
            <w:r>
              <w:rPr>
                <w:rFonts w:ascii="Times New Roman" w:hAnsi="Times New Roman" w:eastAsia="宋体"/>
                <w:b w:val="0"/>
                <w:i w:val="0"/>
                <w:color w:val="000000"/>
                <w:sz w:val="19"/>
              </w:rPr>
              <w:t>Maven</w:t>
            </w:r>
          </w:p>
        </w:tc>
        <w:tc>
          <w:tcPr>
            <w:tcW w:type="dxa" w:w="4195"/>
            <w:vAlign w:val="center"/>
          </w:tcPr>
          <w:p>
            <w:pPr>
              <w:spacing w:line="300" w:lineRule="auto" w:before="30" w:after="30"/>
              <w:jc w:val="left"/>
            </w:pPr>
            <w:r/>
            <w:r>
              <w:rPr>
                <w:rFonts w:ascii="Times New Roman" w:hAnsi="Times New Roman" w:eastAsia="宋体"/>
                <w:b w:val="0"/>
                <w:i w:val="0"/>
                <w:color w:val="000000"/>
                <w:sz w:val="19"/>
              </w:rPr>
              <w:t>依赖管理与多模块构建，便于后期按模块拆分微服务</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测试</w:t>
            </w:r>
          </w:p>
        </w:tc>
        <w:tc>
          <w:tcPr>
            <w:tcW w:type="dxa" w:w="2494"/>
            <w:shd w:val="clear" w:color="auto" w:fill="F2F6FA"/>
            <w:vAlign w:val="center"/>
          </w:tcPr>
          <w:p>
            <w:pPr>
              <w:spacing w:line="300" w:lineRule="auto" w:before="30" w:after="30"/>
              <w:jc w:val="left"/>
            </w:pPr>
            <w:r/>
            <w:r>
              <w:rPr>
                <w:rFonts w:ascii="Times New Roman" w:hAnsi="Times New Roman" w:eastAsia="宋体"/>
                <w:b w:val="0"/>
                <w:i w:val="0"/>
                <w:color w:val="000000"/>
                <w:sz w:val="19"/>
              </w:rPr>
              <w:t>JUnit 5、Mockito、Testcontainers、JMeter</w:t>
            </w:r>
          </w:p>
        </w:tc>
        <w:tc>
          <w:tcPr>
            <w:tcW w:type="dxa" w:w="4195"/>
            <w:shd w:val="clear" w:color="auto" w:fill="F2F6FA"/>
            <w:vAlign w:val="center"/>
          </w:tcPr>
          <w:p>
            <w:pPr>
              <w:spacing w:line="300" w:lineRule="auto" w:before="30" w:after="30"/>
              <w:jc w:val="left"/>
            </w:pPr>
            <w:r/>
            <w:r>
              <w:rPr>
                <w:rFonts w:ascii="Times New Roman" w:hAnsi="Times New Roman" w:eastAsia="宋体"/>
                <w:b w:val="0"/>
                <w:i w:val="0"/>
                <w:color w:val="000000"/>
                <w:sz w:val="19"/>
              </w:rPr>
              <w:t>覆盖单元测试、集成测试、接口测试与性能测试，满足多种测试方法的要求</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容器化</w:t>
            </w:r>
          </w:p>
        </w:tc>
        <w:tc>
          <w:tcPr>
            <w:tcW w:type="dxa" w:w="2494"/>
            <w:vAlign w:val="center"/>
          </w:tcPr>
          <w:p>
            <w:pPr>
              <w:spacing w:line="300" w:lineRule="auto" w:before="30" w:after="30"/>
              <w:jc w:val="left"/>
            </w:pPr>
            <w:r/>
            <w:r>
              <w:rPr>
                <w:rFonts w:ascii="Times New Roman" w:hAnsi="Times New Roman" w:eastAsia="宋体"/>
                <w:b w:val="0"/>
                <w:i w:val="0"/>
                <w:color w:val="000000"/>
                <w:sz w:val="19"/>
              </w:rPr>
              <w:t>Docker 与 Docker Compose</w:t>
            </w:r>
          </w:p>
        </w:tc>
        <w:tc>
          <w:tcPr>
            <w:tcW w:type="dxa" w:w="4195"/>
            <w:vAlign w:val="center"/>
          </w:tcPr>
          <w:p>
            <w:pPr>
              <w:spacing w:line="300" w:lineRule="auto" w:before="30" w:after="30"/>
              <w:jc w:val="left"/>
            </w:pPr>
            <w:r/>
            <w:r>
              <w:rPr>
                <w:rFonts w:ascii="Times New Roman" w:hAnsi="Times New Roman" w:eastAsia="宋体"/>
                <w:b w:val="0"/>
                <w:i w:val="0"/>
                <w:color w:val="000000"/>
                <w:sz w:val="19"/>
              </w:rPr>
              <w:t>一键启动后端、数据库、缓存、消息队列与模型服务，便于演示与交付</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反向代理</w:t>
            </w:r>
          </w:p>
        </w:tc>
        <w:tc>
          <w:tcPr>
            <w:tcW w:type="dxa" w:w="2494"/>
            <w:shd w:val="clear" w:color="auto" w:fill="F2F6FA"/>
            <w:vAlign w:val="center"/>
          </w:tcPr>
          <w:p>
            <w:pPr>
              <w:spacing w:line="300" w:lineRule="auto" w:before="30" w:after="30"/>
              <w:jc w:val="left"/>
            </w:pPr>
            <w:r/>
            <w:r>
              <w:rPr>
                <w:rFonts w:ascii="Times New Roman" w:hAnsi="Times New Roman" w:eastAsia="宋体"/>
                <w:b w:val="0"/>
                <w:i w:val="0"/>
                <w:color w:val="000000"/>
                <w:sz w:val="19"/>
              </w:rPr>
              <w:t>Nginx</w:t>
            </w:r>
          </w:p>
        </w:tc>
        <w:tc>
          <w:tcPr>
            <w:tcW w:type="dxa" w:w="4195"/>
            <w:shd w:val="clear" w:color="auto" w:fill="F2F6FA"/>
            <w:vAlign w:val="center"/>
          </w:tcPr>
          <w:p>
            <w:pPr>
              <w:spacing w:line="300" w:lineRule="auto" w:before="30" w:after="30"/>
              <w:jc w:val="left"/>
            </w:pPr>
            <w:r/>
            <w:r>
              <w:rPr>
                <w:rFonts w:ascii="Times New Roman" w:hAnsi="Times New Roman" w:eastAsia="宋体"/>
                <w:b w:val="0"/>
                <w:i w:val="0"/>
                <w:color w:val="000000"/>
                <w:sz w:val="19"/>
              </w:rPr>
              <w:t>HTTPS 终端、静态资源与接口转发</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日志与监控</w:t>
            </w:r>
          </w:p>
        </w:tc>
        <w:tc>
          <w:tcPr>
            <w:tcW w:type="dxa" w:w="2494"/>
            <w:vAlign w:val="center"/>
          </w:tcPr>
          <w:p>
            <w:pPr>
              <w:spacing w:line="300" w:lineRule="auto" w:before="30" w:after="30"/>
              <w:jc w:val="left"/>
            </w:pPr>
            <w:r/>
            <w:r>
              <w:rPr>
                <w:rFonts w:ascii="Times New Roman" w:hAnsi="Times New Roman" w:eastAsia="宋体"/>
                <w:b w:val="0"/>
                <w:i w:val="0"/>
                <w:color w:val="000000"/>
                <w:sz w:val="19"/>
              </w:rPr>
              <w:t>Logback、Actuator、Prometheus、Grafana</w:t>
            </w:r>
          </w:p>
        </w:tc>
        <w:tc>
          <w:tcPr>
            <w:tcW w:type="dxa" w:w="4195"/>
            <w:vAlign w:val="center"/>
          </w:tcPr>
          <w:p>
            <w:pPr>
              <w:spacing w:line="300" w:lineRule="auto" w:before="30" w:after="30"/>
              <w:jc w:val="left"/>
            </w:pPr>
            <w:r/>
            <w:r>
              <w:rPr>
                <w:rFonts w:ascii="Times New Roman" w:hAnsi="Times New Roman" w:eastAsia="宋体"/>
                <w:b w:val="0"/>
                <w:i w:val="0"/>
                <w:color w:val="000000"/>
                <w:sz w:val="19"/>
              </w:rPr>
              <w:t>展示接口耗时、错误率、数据库连接与模型调用指标</w:t>
            </w:r>
          </w:p>
        </w:tc>
      </w:tr>
      <w:tr>
        <w:trPr>
          <w:cantSplit/>
        </w:trPr>
        <w:tc>
          <w:tcPr>
            <w:tcW w:type="dxa" w:w="1474"/>
            <w:shd w:val="clear" w:color="auto" w:fill="F2F6FA"/>
            <w:vAlign w:val="center"/>
          </w:tcPr>
          <w:p>
            <w:pPr>
              <w:spacing w:line="300" w:lineRule="auto" w:before="30" w:after="30"/>
              <w:jc w:val="left"/>
            </w:pPr>
            <w:r/>
            <w:r>
              <w:rPr>
                <w:rFonts w:ascii="Times New Roman" w:hAnsi="Times New Roman" w:eastAsia="宋体"/>
                <w:b w:val="0"/>
                <w:i w:val="0"/>
                <w:color w:val="000000"/>
                <w:sz w:val="19"/>
              </w:rPr>
              <w:t>持续集成</w:t>
            </w:r>
          </w:p>
        </w:tc>
        <w:tc>
          <w:tcPr>
            <w:tcW w:type="dxa" w:w="2494"/>
            <w:shd w:val="clear" w:color="auto" w:fill="F2F6FA"/>
            <w:vAlign w:val="center"/>
          </w:tcPr>
          <w:p>
            <w:pPr>
              <w:spacing w:line="300" w:lineRule="auto" w:before="30" w:after="30"/>
              <w:jc w:val="left"/>
            </w:pPr>
            <w:r/>
            <w:r>
              <w:rPr>
                <w:rFonts w:ascii="Times New Roman" w:hAnsi="Times New Roman" w:eastAsia="宋体"/>
                <w:b w:val="0"/>
                <w:i w:val="0"/>
                <w:color w:val="000000"/>
                <w:sz w:val="19"/>
              </w:rPr>
              <w:t>GitHub Actions 或 Jenkins</w:t>
            </w:r>
          </w:p>
        </w:tc>
        <w:tc>
          <w:tcPr>
            <w:tcW w:type="dxa" w:w="4195"/>
            <w:shd w:val="clear" w:color="auto" w:fill="F2F6FA"/>
            <w:vAlign w:val="center"/>
          </w:tcPr>
          <w:p>
            <w:pPr>
              <w:spacing w:line="300" w:lineRule="auto" w:before="30" w:after="30"/>
              <w:jc w:val="left"/>
            </w:pPr>
            <w:r/>
            <w:r>
              <w:rPr>
                <w:rFonts w:ascii="Times New Roman" w:hAnsi="Times New Roman" w:eastAsia="宋体"/>
                <w:b w:val="0"/>
                <w:i w:val="0"/>
                <w:color w:val="000000"/>
                <w:sz w:val="19"/>
              </w:rPr>
              <w:t>自动构建、静态检查与自动化测试</w:t>
            </w:r>
          </w:p>
        </w:tc>
      </w:tr>
      <w:tr>
        <w:trPr>
          <w:cantSplit/>
        </w:trPr>
        <w:tc>
          <w:tcPr>
            <w:tcW w:type="dxa" w:w="1474"/>
            <w:vAlign w:val="center"/>
          </w:tcPr>
          <w:p>
            <w:pPr>
              <w:spacing w:line="300" w:lineRule="auto" w:before="30" w:after="30"/>
              <w:jc w:val="left"/>
            </w:pPr>
            <w:r/>
            <w:r>
              <w:rPr>
                <w:rFonts w:ascii="Times New Roman" w:hAnsi="Times New Roman" w:eastAsia="宋体"/>
                <w:b w:val="0"/>
                <w:i w:val="0"/>
                <w:color w:val="000000"/>
                <w:sz w:val="19"/>
              </w:rPr>
              <w:t>对象存储</w:t>
            </w:r>
          </w:p>
        </w:tc>
        <w:tc>
          <w:tcPr>
            <w:tcW w:type="dxa" w:w="2494"/>
            <w:vAlign w:val="center"/>
          </w:tcPr>
          <w:p>
            <w:pPr>
              <w:spacing w:line="300" w:lineRule="auto" w:before="30" w:after="30"/>
              <w:jc w:val="left"/>
            </w:pPr>
            <w:r/>
            <w:r>
              <w:rPr>
                <w:rFonts w:ascii="Times New Roman" w:hAnsi="Times New Roman" w:eastAsia="宋体"/>
                <w:b w:val="0"/>
                <w:i w:val="0"/>
                <w:color w:val="000000"/>
                <w:sz w:val="19"/>
              </w:rPr>
              <w:t>MinIO（兼容 S3 协议）</w:t>
            </w:r>
          </w:p>
        </w:tc>
        <w:tc>
          <w:tcPr>
            <w:tcW w:type="dxa" w:w="4195"/>
            <w:vAlign w:val="center"/>
          </w:tcPr>
          <w:p>
            <w:pPr>
              <w:spacing w:line="300" w:lineRule="auto" w:before="30" w:after="30"/>
              <w:jc w:val="left"/>
            </w:pPr>
            <w:r/>
            <w:r>
              <w:rPr>
                <w:rFonts w:ascii="Times New Roman" w:hAnsi="Times New Roman" w:eastAsia="宋体"/>
                <w:b w:val="0"/>
                <w:i w:val="0"/>
                <w:color w:val="000000"/>
                <w:sz w:val="19"/>
              </w:rPr>
              <w:t>存储合同与附件，访问层抽象为接口，后续可切换云对象存储</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部署形态在综合项目I与综合项目II阶段采用单体应用加独立中间件的容器化部署，数据库、缓存、消息队列和模型服务各自独立运行，后端应用可以按需水平扩容。所有组件版本在项目内统一锁定，避免依赖冲突。</w:t>
      </w:r>
    </w:p>
    <w:p>
      <w:pPr>
        <w:pStyle w:val="Heading1"/>
        <w:keepNext/>
        <w:spacing w:before="200" w:after="100" w:line="312" w:lineRule="auto"/>
      </w:pPr>
      <w:r>
        <w:rPr>
          <w:rFonts w:ascii="Times New Roman" w:hAnsi="Times New Roman" w:eastAsia="黑体"/>
          <w:b/>
          <w:i w:val="0"/>
          <w:color w:val="000000"/>
          <w:sz w:val="32"/>
        </w:rPr>
        <w:t>四、综合评估与选型结论</w:t>
      </w:r>
    </w:p>
    <w:p>
      <w:pPr>
        <w:pStyle w:val="Heading2"/>
        <w:keepNext/>
        <w:spacing w:before="160" w:after="60" w:line="312" w:lineRule="auto"/>
      </w:pPr>
      <w:r>
        <w:rPr>
          <w:rFonts w:ascii="Times New Roman" w:hAnsi="Times New Roman" w:eastAsia="黑体"/>
          <w:b/>
          <w:i w:val="0"/>
          <w:color w:val="000000"/>
          <w:sz w:val="28"/>
        </w:rPr>
        <w:t>4.1 评价指标与权重</w:t>
      </w:r>
    </w:p>
    <w:p>
      <w:pPr>
        <w:spacing w:line="360" w:lineRule="auto" w:before="0" w:after="0"/>
        <w:ind w:firstLine="480"/>
      </w:pPr>
      <w:r>
        <w:rPr>
          <w:rFonts w:ascii="Times New Roman" w:hAnsi="Times New Roman" w:eastAsia="宋体"/>
          <w:b w:val="0"/>
          <w:i w:val="0"/>
          <w:color w:val="000000"/>
          <w:sz w:val="24"/>
        </w:rPr>
        <w:t>为避免凭经验判断，候选路线按五项统一指标进行加权评分。指标与权重根据任务书的考核重点和系统质量需求确定，如表8所示。</w:t>
      </w:r>
    </w:p>
    <w:p>
      <w:pPr>
        <w:keepNext/>
        <w:spacing w:before="120" w:after="60" w:line="240" w:lineRule="auto"/>
        <w:jc w:val="center"/>
      </w:pPr>
      <w:r>
        <w:rPr>
          <w:rFonts w:ascii="Times New Roman" w:hAnsi="Times New Roman" w:eastAsia="黑体"/>
          <w:b/>
          <w:i w:val="0"/>
          <w:color w:val="000000"/>
          <w:sz w:val="21"/>
        </w:rPr>
        <w:t>表8 后端技术路线评价指标与权重</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2268"/>
            <w:shd w:val="clear" w:color="auto" w:fill="1F4E79"/>
            <w:vAlign w:val="center"/>
          </w:tcPr>
          <w:p>
            <w:pPr>
              <w:spacing w:line="300" w:lineRule="auto" w:before="30" w:after="30"/>
              <w:jc w:val="center"/>
            </w:pPr>
            <w:r/>
            <w:r>
              <w:rPr>
                <w:rFonts w:ascii="Times New Roman" w:hAnsi="Times New Roman" w:eastAsia="黑体"/>
                <w:b/>
                <w:i w:val="0"/>
                <w:color w:val="FFFFFF"/>
                <w:sz w:val="20"/>
              </w:rPr>
              <w:t>评价指标</w:t>
            </w:r>
          </w:p>
        </w:tc>
        <w:tc>
          <w:tcPr>
            <w:tcW w:type="dxa" w:w="1020"/>
            <w:shd w:val="clear" w:color="auto" w:fill="1F4E79"/>
            <w:vAlign w:val="center"/>
          </w:tcPr>
          <w:p>
            <w:pPr>
              <w:spacing w:line="300" w:lineRule="auto" w:before="30" w:after="30"/>
              <w:jc w:val="center"/>
            </w:pPr>
            <w:r/>
            <w:r>
              <w:rPr>
                <w:rFonts w:ascii="Times New Roman" w:hAnsi="Times New Roman" w:eastAsia="黑体"/>
                <w:b/>
                <w:i w:val="0"/>
                <w:color w:val="FFFFFF"/>
                <w:sz w:val="20"/>
              </w:rPr>
              <w:t>权重</w:t>
            </w:r>
          </w:p>
        </w:tc>
        <w:tc>
          <w:tcPr>
            <w:tcW w:type="dxa" w:w="5329"/>
            <w:shd w:val="clear" w:color="auto" w:fill="1F4E79"/>
            <w:vAlign w:val="center"/>
          </w:tcPr>
          <w:p>
            <w:pPr>
              <w:spacing w:line="300" w:lineRule="auto" w:before="30" w:after="30"/>
              <w:jc w:val="center"/>
            </w:pPr>
            <w:r/>
            <w:r>
              <w:rPr>
                <w:rFonts w:ascii="Times New Roman" w:hAnsi="Times New Roman" w:eastAsia="黑体"/>
                <w:b/>
                <w:i w:val="0"/>
                <w:color w:val="FFFFFF"/>
                <w:sz w:val="20"/>
              </w:rPr>
              <w:t>评价内容</w:t>
            </w:r>
          </w:p>
        </w:tc>
      </w:tr>
      <w:tr>
        <w:trPr>
          <w:cantSplit/>
        </w:trPr>
        <w:tc>
          <w:tcPr>
            <w:tcW w:type="dxa" w:w="2268"/>
            <w:vAlign w:val="center"/>
          </w:tcPr>
          <w:p>
            <w:pPr>
              <w:spacing w:line="300" w:lineRule="auto" w:before="30" w:after="30"/>
              <w:jc w:val="left"/>
            </w:pPr>
            <w:r/>
            <w:r>
              <w:rPr>
                <w:rFonts w:ascii="Times New Roman" w:hAnsi="Times New Roman" w:eastAsia="宋体"/>
                <w:b w:val="0"/>
                <w:i w:val="0"/>
                <w:color w:val="000000"/>
                <w:sz w:val="20"/>
              </w:rPr>
              <w:t>功能与业务匹配度</w:t>
            </w:r>
          </w:p>
        </w:tc>
        <w:tc>
          <w:tcPr>
            <w:tcW w:type="dxa" w:w="1020"/>
            <w:vAlign w:val="center"/>
          </w:tcPr>
          <w:p>
            <w:pPr>
              <w:spacing w:line="300" w:lineRule="auto" w:before="30" w:after="30"/>
              <w:jc w:val="center"/>
            </w:pPr>
            <w:r/>
            <w:r>
              <w:rPr>
                <w:rFonts w:ascii="Times New Roman" w:hAnsi="Times New Roman" w:eastAsia="宋体"/>
                <w:b w:val="0"/>
                <w:i w:val="0"/>
                <w:color w:val="000000"/>
                <w:sz w:val="20"/>
              </w:rPr>
              <w:t>25%</w:t>
            </w:r>
          </w:p>
        </w:tc>
        <w:tc>
          <w:tcPr>
            <w:tcW w:type="dxa" w:w="5329"/>
            <w:vAlign w:val="center"/>
          </w:tcPr>
          <w:p>
            <w:pPr>
              <w:spacing w:line="300" w:lineRule="auto" w:before="30" w:after="30"/>
              <w:jc w:val="left"/>
            </w:pPr>
            <w:r/>
            <w:r>
              <w:rPr>
                <w:rFonts w:ascii="Times New Roman" w:hAnsi="Times New Roman" w:eastAsia="宋体"/>
                <w:b w:val="0"/>
                <w:i w:val="0"/>
                <w:color w:val="000000"/>
                <w:sz w:val="20"/>
              </w:rPr>
              <w:t>是否覆盖账务事务、多数据源接入、风控模型调用与通知提醒等核心功能</w:t>
            </w:r>
          </w:p>
        </w:tc>
      </w:tr>
      <w:tr>
        <w:trPr>
          <w:cantSplit/>
        </w:trPr>
        <w:tc>
          <w:tcPr>
            <w:tcW w:type="dxa" w:w="2268"/>
            <w:shd w:val="clear" w:color="auto" w:fill="F2F6FA"/>
            <w:vAlign w:val="center"/>
          </w:tcPr>
          <w:p>
            <w:pPr>
              <w:spacing w:line="300" w:lineRule="auto" w:before="30" w:after="30"/>
              <w:jc w:val="left"/>
            </w:pPr>
            <w:r/>
            <w:r>
              <w:rPr>
                <w:rFonts w:ascii="Times New Roman" w:hAnsi="Times New Roman" w:eastAsia="宋体"/>
                <w:b w:val="0"/>
                <w:i w:val="0"/>
                <w:color w:val="000000"/>
                <w:sz w:val="20"/>
              </w:rPr>
              <w:t>与课程阶段要求契合度</w:t>
            </w:r>
          </w:p>
        </w:tc>
        <w:tc>
          <w:tcPr>
            <w:tcW w:type="dxa" w:w="1020"/>
            <w:shd w:val="clear" w:color="auto" w:fill="F2F6FA"/>
            <w:vAlign w:val="center"/>
          </w:tcPr>
          <w:p>
            <w:pPr>
              <w:spacing w:line="300" w:lineRule="auto" w:before="30" w:after="30"/>
              <w:jc w:val="center"/>
            </w:pPr>
            <w:r/>
            <w:r>
              <w:rPr>
                <w:rFonts w:ascii="Times New Roman" w:hAnsi="Times New Roman" w:eastAsia="宋体"/>
                <w:b w:val="0"/>
                <w:i w:val="0"/>
                <w:color w:val="000000"/>
                <w:sz w:val="20"/>
              </w:rPr>
              <w:t>20%</w:t>
            </w:r>
          </w:p>
        </w:tc>
        <w:tc>
          <w:tcPr>
            <w:tcW w:type="dxa" w:w="5329"/>
            <w:shd w:val="clear" w:color="auto" w:fill="F2F6FA"/>
            <w:vAlign w:val="center"/>
          </w:tcPr>
          <w:p>
            <w:pPr>
              <w:spacing w:line="300" w:lineRule="auto" w:before="30" w:after="30"/>
              <w:jc w:val="left"/>
            </w:pPr>
            <w:r/>
            <w:r>
              <w:rPr>
                <w:rFonts w:ascii="Times New Roman" w:hAnsi="Times New Roman" w:eastAsia="宋体"/>
                <w:b w:val="0"/>
                <w:i w:val="0"/>
                <w:color w:val="000000"/>
                <w:sz w:val="20"/>
              </w:rPr>
              <w:t>是否满足综合项目II的 SSM 知识点以及综合项目III的微服务与高并发要求</w:t>
            </w:r>
          </w:p>
        </w:tc>
      </w:tr>
      <w:tr>
        <w:trPr>
          <w:cantSplit/>
        </w:trPr>
        <w:tc>
          <w:tcPr>
            <w:tcW w:type="dxa" w:w="2268"/>
            <w:vAlign w:val="center"/>
          </w:tcPr>
          <w:p>
            <w:pPr>
              <w:spacing w:line="300" w:lineRule="auto" w:before="30" w:after="30"/>
              <w:jc w:val="left"/>
            </w:pPr>
            <w:r/>
            <w:r>
              <w:rPr>
                <w:rFonts w:ascii="Times New Roman" w:hAnsi="Times New Roman" w:eastAsia="宋体"/>
                <w:b w:val="0"/>
                <w:i w:val="0"/>
                <w:color w:val="000000"/>
                <w:sz w:val="20"/>
              </w:rPr>
              <w:t>技术生态与资料成熟度</w:t>
            </w:r>
          </w:p>
        </w:tc>
        <w:tc>
          <w:tcPr>
            <w:tcW w:type="dxa" w:w="1020"/>
            <w:vAlign w:val="center"/>
          </w:tcPr>
          <w:p>
            <w:pPr>
              <w:spacing w:line="300" w:lineRule="auto" w:before="30" w:after="30"/>
              <w:jc w:val="center"/>
            </w:pPr>
            <w:r/>
            <w:r>
              <w:rPr>
                <w:rFonts w:ascii="Times New Roman" w:hAnsi="Times New Roman" w:eastAsia="宋体"/>
                <w:b w:val="0"/>
                <w:i w:val="0"/>
                <w:color w:val="000000"/>
                <w:sz w:val="20"/>
              </w:rPr>
              <w:t>20%</w:t>
            </w:r>
          </w:p>
        </w:tc>
        <w:tc>
          <w:tcPr>
            <w:tcW w:type="dxa" w:w="5329"/>
            <w:vAlign w:val="center"/>
          </w:tcPr>
          <w:p>
            <w:pPr>
              <w:spacing w:line="300" w:lineRule="auto" w:before="30" w:after="30"/>
              <w:jc w:val="left"/>
            </w:pPr>
            <w:r/>
            <w:r>
              <w:rPr>
                <w:rFonts w:ascii="Times New Roman" w:hAnsi="Times New Roman" w:eastAsia="宋体"/>
                <w:b w:val="0"/>
                <w:i w:val="0"/>
                <w:color w:val="000000"/>
                <w:sz w:val="20"/>
              </w:rPr>
              <w:t>组件是否稳定、中文资料与同类金融项目案例是否充足</w:t>
            </w:r>
          </w:p>
        </w:tc>
      </w:tr>
      <w:tr>
        <w:trPr>
          <w:cantSplit/>
        </w:trPr>
        <w:tc>
          <w:tcPr>
            <w:tcW w:type="dxa" w:w="2268"/>
            <w:shd w:val="clear" w:color="auto" w:fill="F2F6FA"/>
            <w:vAlign w:val="center"/>
          </w:tcPr>
          <w:p>
            <w:pPr>
              <w:spacing w:line="300" w:lineRule="auto" w:before="30" w:after="30"/>
              <w:jc w:val="left"/>
            </w:pPr>
            <w:r/>
            <w:r>
              <w:rPr>
                <w:rFonts w:ascii="Times New Roman" w:hAnsi="Times New Roman" w:eastAsia="宋体"/>
                <w:b w:val="0"/>
                <w:i w:val="0"/>
                <w:color w:val="000000"/>
                <w:sz w:val="20"/>
              </w:rPr>
              <w:t>团队学习与人力成本</w:t>
            </w:r>
          </w:p>
        </w:tc>
        <w:tc>
          <w:tcPr>
            <w:tcW w:type="dxa" w:w="1020"/>
            <w:shd w:val="clear" w:color="auto" w:fill="F2F6FA"/>
            <w:vAlign w:val="center"/>
          </w:tcPr>
          <w:p>
            <w:pPr>
              <w:spacing w:line="300" w:lineRule="auto" w:before="30" w:after="30"/>
              <w:jc w:val="center"/>
            </w:pPr>
            <w:r/>
            <w:r>
              <w:rPr>
                <w:rFonts w:ascii="Times New Roman" w:hAnsi="Times New Roman" w:eastAsia="宋体"/>
                <w:b w:val="0"/>
                <w:i w:val="0"/>
                <w:color w:val="000000"/>
                <w:sz w:val="20"/>
              </w:rPr>
              <w:t>20%</w:t>
            </w:r>
          </w:p>
        </w:tc>
        <w:tc>
          <w:tcPr>
            <w:tcW w:type="dxa" w:w="5329"/>
            <w:shd w:val="clear" w:color="auto" w:fill="F2F6FA"/>
            <w:vAlign w:val="center"/>
          </w:tcPr>
          <w:p>
            <w:pPr>
              <w:spacing w:line="300" w:lineRule="auto" w:before="30" w:after="30"/>
              <w:jc w:val="left"/>
            </w:pPr>
            <w:r/>
            <w:r>
              <w:rPr>
                <w:rFonts w:ascii="Times New Roman" w:hAnsi="Times New Roman" w:eastAsia="宋体"/>
                <w:b w:val="0"/>
                <w:i w:val="0"/>
                <w:color w:val="000000"/>
                <w:sz w:val="20"/>
              </w:rPr>
              <w:t>团队在项目周期内掌握该技术栈的难度与并行开发效率</w:t>
            </w:r>
          </w:p>
        </w:tc>
      </w:tr>
      <w:tr>
        <w:trPr>
          <w:cantSplit/>
        </w:trPr>
        <w:tc>
          <w:tcPr>
            <w:tcW w:type="dxa" w:w="2268"/>
            <w:vAlign w:val="center"/>
          </w:tcPr>
          <w:p>
            <w:pPr>
              <w:spacing w:line="300" w:lineRule="auto" w:before="30" w:after="30"/>
              <w:jc w:val="left"/>
            </w:pPr>
            <w:r/>
            <w:r>
              <w:rPr>
                <w:rFonts w:ascii="Times New Roman" w:hAnsi="Times New Roman" w:eastAsia="宋体"/>
                <w:b w:val="0"/>
                <w:i w:val="0"/>
                <w:color w:val="000000"/>
                <w:sz w:val="20"/>
              </w:rPr>
              <w:t>性能与后续演进能力</w:t>
            </w:r>
          </w:p>
        </w:tc>
        <w:tc>
          <w:tcPr>
            <w:tcW w:type="dxa" w:w="1020"/>
            <w:vAlign w:val="center"/>
          </w:tcPr>
          <w:p>
            <w:pPr>
              <w:spacing w:line="300" w:lineRule="auto" w:before="30" w:after="30"/>
              <w:jc w:val="center"/>
            </w:pPr>
            <w:r/>
            <w:r>
              <w:rPr>
                <w:rFonts w:ascii="Times New Roman" w:hAnsi="Times New Roman" w:eastAsia="宋体"/>
                <w:b w:val="0"/>
                <w:i w:val="0"/>
                <w:color w:val="000000"/>
                <w:sz w:val="20"/>
              </w:rPr>
              <w:t>15%</w:t>
            </w:r>
          </w:p>
        </w:tc>
        <w:tc>
          <w:tcPr>
            <w:tcW w:type="dxa" w:w="5329"/>
            <w:vAlign w:val="center"/>
          </w:tcPr>
          <w:p>
            <w:pPr>
              <w:spacing w:line="300" w:lineRule="auto" w:before="30" w:after="30"/>
              <w:jc w:val="left"/>
            </w:pPr>
            <w:r/>
            <w:r>
              <w:rPr>
                <w:rFonts w:ascii="Times New Roman" w:hAnsi="Times New Roman" w:eastAsia="宋体"/>
                <w:b w:val="0"/>
                <w:i w:val="0"/>
                <w:color w:val="000000"/>
                <w:sz w:val="20"/>
              </w:rPr>
              <w:t>并发处理能力以及向微服务和高并发部署演进的空间</w:t>
            </w:r>
          </w:p>
        </w:tc>
      </w:tr>
    </w:tbl>
    <w:p>
      <w:pPr>
        <w:spacing w:line="240" w:lineRule="auto" w:before="0" w:after="0"/>
        <w:rPr>
          <w:sz w:val="10"/>
          <w:szCs w:val="10"/>
        </w:rPr>
      </w:pPr>
    </w:p>
    <w:p>
      <w:pPr>
        <w:pStyle w:val="Heading2"/>
        <w:keepNext/>
        <w:spacing w:before="160" w:after="60" w:line="312" w:lineRule="auto"/>
      </w:pPr>
      <w:r>
        <w:rPr>
          <w:rFonts w:ascii="Times New Roman" w:hAnsi="Times New Roman" w:eastAsia="黑体"/>
          <w:b/>
          <w:i w:val="0"/>
          <w:color w:val="000000"/>
          <w:sz w:val="28"/>
        </w:rPr>
        <w:t>4.2 候选路线加权评分</w:t>
      </w:r>
    </w:p>
    <w:p>
      <w:pPr>
        <w:spacing w:line="360" w:lineRule="auto" w:before="0" w:after="0"/>
        <w:ind w:firstLine="480"/>
      </w:pPr>
      <w:r>
        <w:rPr>
          <w:rFonts w:ascii="Times New Roman" w:hAnsi="Times New Roman" w:eastAsia="宋体"/>
          <w:b w:val="0"/>
          <w:i w:val="0"/>
          <w:color w:val="000000"/>
          <w:sz w:val="24"/>
        </w:rPr>
        <w:t>评分采用五分制，小组成员按统一标准独立打分后取平均值，加权总分按表8的权重计算，结果如表9所示。</w:t>
      </w:r>
    </w:p>
    <w:p>
      <w:pPr>
        <w:keepNext/>
        <w:spacing w:before="120" w:after="60" w:line="240" w:lineRule="auto"/>
        <w:jc w:val="center"/>
      </w:pPr>
      <w:r>
        <w:rPr>
          <w:rFonts w:ascii="Times New Roman" w:hAnsi="Times New Roman" w:eastAsia="黑体"/>
          <w:b/>
          <w:i w:val="0"/>
          <w:color w:val="000000"/>
          <w:sz w:val="21"/>
        </w:rPr>
        <w:t>表9 候选后端技术路线加权评分</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1247"/>
        <w:gridCol w:w="1247"/>
        <w:gridCol w:w="1247"/>
        <w:gridCol w:w="1247"/>
        <w:gridCol w:w="1247"/>
        <w:gridCol w:w="1247"/>
        <w:gridCol w:w="1247"/>
      </w:tblGrid>
      <w:tr>
        <w:trPr>
          <w:cantSplit/>
          <w:tblHeader/>
        </w:trPr>
        <w:tc>
          <w:tcPr>
            <w:tcW w:type="dxa" w:w="1928"/>
            <w:shd w:val="clear" w:color="auto" w:fill="1F4E79"/>
            <w:vAlign w:val="center"/>
          </w:tcPr>
          <w:p>
            <w:pPr>
              <w:spacing w:line="300" w:lineRule="auto" w:before="30" w:after="30"/>
              <w:jc w:val="center"/>
            </w:pPr>
            <w:r/>
            <w:r>
              <w:rPr>
                <w:rFonts w:ascii="Times New Roman" w:hAnsi="Times New Roman" w:eastAsia="黑体"/>
                <w:b/>
                <w:i w:val="0"/>
                <w:color w:val="FFFFFF"/>
                <w:sz w:val="17"/>
              </w:rPr>
              <w:t>技术路线</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功能匹配</w:t>
            </w:r>
          </w:p>
          <w:p>
            <w:pPr>
              <w:spacing w:line="300" w:lineRule="auto" w:before="30" w:after="30"/>
              <w:jc w:val="center"/>
            </w:pPr>
            <w:r>
              <w:rPr>
                <w:rFonts w:ascii="Times New Roman" w:hAnsi="Times New Roman" w:eastAsia="黑体"/>
                <w:b/>
                <w:i w:val="0"/>
                <w:color w:val="FFFFFF"/>
                <w:sz w:val="17"/>
              </w:rPr>
              <w:t>25%</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课程契合</w:t>
            </w:r>
          </w:p>
          <w:p>
            <w:pPr>
              <w:spacing w:line="300" w:lineRule="auto" w:before="30" w:after="30"/>
              <w:jc w:val="center"/>
            </w:pPr>
            <w:r>
              <w:rPr>
                <w:rFonts w:ascii="Times New Roman" w:hAnsi="Times New Roman" w:eastAsia="黑体"/>
                <w:b/>
                <w:i w:val="0"/>
                <w:color w:val="FFFFFF"/>
                <w:sz w:val="17"/>
              </w:rPr>
              <w:t>20%</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生态成熟</w:t>
            </w:r>
          </w:p>
          <w:p>
            <w:pPr>
              <w:spacing w:line="300" w:lineRule="auto" w:before="30" w:after="30"/>
              <w:jc w:val="center"/>
            </w:pPr>
            <w:r>
              <w:rPr>
                <w:rFonts w:ascii="Times New Roman" w:hAnsi="Times New Roman" w:eastAsia="黑体"/>
                <w:b/>
                <w:i w:val="0"/>
                <w:color w:val="FFFFFF"/>
                <w:sz w:val="17"/>
              </w:rPr>
              <w:t>20%</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学习成本</w:t>
            </w:r>
          </w:p>
          <w:p>
            <w:pPr>
              <w:spacing w:line="300" w:lineRule="auto" w:before="30" w:after="30"/>
              <w:jc w:val="center"/>
            </w:pPr>
            <w:r>
              <w:rPr>
                <w:rFonts w:ascii="Times New Roman" w:hAnsi="Times New Roman" w:eastAsia="黑体"/>
                <w:b/>
                <w:i w:val="0"/>
                <w:color w:val="FFFFFF"/>
                <w:sz w:val="17"/>
              </w:rPr>
              <w:t>20%</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性能演进</w:t>
            </w:r>
          </w:p>
          <w:p>
            <w:pPr>
              <w:spacing w:line="300" w:lineRule="auto" w:before="30" w:after="30"/>
              <w:jc w:val="center"/>
            </w:pPr>
            <w:r>
              <w:rPr>
                <w:rFonts w:ascii="Times New Roman" w:hAnsi="Times New Roman" w:eastAsia="黑体"/>
                <w:b/>
                <w:i w:val="0"/>
                <w:color w:val="FFFFFF"/>
                <w:sz w:val="17"/>
              </w:rPr>
              <w:t>15%</w:t>
            </w:r>
          </w:p>
        </w:tc>
        <w:tc>
          <w:tcPr>
            <w:tcW w:type="dxa" w:w="907"/>
            <w:shd w:val="clear" w:color="auto" w:fill="1F4E79"/>
            <w:vAlign w:val="center"/>
          </w:tcPr>
          <w:p>
            <w:pPr>
              <w:spacing w:line="300" w:lineRule="auto" w:before="30" w:after="30"/>
              <w:jc w:val="center"/>
            </w:pPr>
            <w:r/>
            <w:r>
              <w:rPr>
                <w:rFonts w:ascii="Times New Roman" w:hAnsi="Times New Roman" w:eastAsia="黑体"/>
                <w:b/>
                <w:i w:val="0"/>
                <w:color w:val="FFFFFF"/>
                <w:sz w:val="17"/>
              </w:rPr>
              <w:t>加权总分</w:t>
            </w:r>
          </w:p>
        </w:tc>
      </w:tr>
      <w:tr>
        <w:trPr>
          <w:cantSplit/>
        </w:trPr>
        <w:tc>
          <w:tcPr>
            <w:tcW w:type="dxa" w:w="1928"/>
            <w:vAlign w:val="center"/>
          </w:tcPr>
          <w:p>
            <w:pPr>
              <w:spacing w:line="300" w:lineRule="auto" w:before="30" w:after="30"/>
              <w:jc w:val="left"/>
            </w:pPr>
            <w:r/>
            <w:r>
              <w:rPr>
                <w:rFonts w:ascii="Times New Roman" w:hAnsi="Times New Roman" w:eastAsia="宋体"/>
                <w:b/>
                <w:i w:val="0"/>
                <w:color w:val="000000"/>
                <w:sz w:val="18"/>
              </w:rPr>
              <w:t>Java + Spring Boot</w:t>
            </w:r>
          </w:p>
        </w:tc>
        <w:tc>
          <w:tcPr>
            <w:tcW w:type="dxa" w:w="907"/>
            <w:vAlign w:val="center"/>
          </w:tcPr>
          <w:p>
            <w:pPr>
              <w:spacing w:line="300" w:lineRule="auto" w:before="30" w:after="30"/>
              <w:jc w:val="center"/>
            </w:pPr>
            <w:r/>
            <w:r>
              <w:rPr>
                <w:rFonts w:ascii="Times New Roman" w:hAnsi="Times New Roman" w:eastAsia="宋体"/>
                <w:b/>
                <w:i w:val="0"/>
                <w:color w:val="000000"/>
                <w:sz w:val="18"/>
              </w:rPr>
              <w:t>4.8</w:t>
            </w:r>
          </w:p>
        </w:tc>
        <w:tc>
          <w:tcPr>
            <w:tcW w:type="dxa" w:w="907"/>
            <w:vAlign w:val="center"/>
          </w:tcPr>
          <w:p>
            <w:pPr>
              <w:spacing w:line="300" w:lineRule="auto" w:before="30" w:after="30"/>
              <w:jc w:val="center"/>
            </w:pPr>
            <w:r/>
            <w:r>
              <w:rPr>
                <w:rFonts w:ascii="Times New Roman" w:hAnsi="Times New Roman" w:eastAsia="宋体"/>
                <w:b/>
                <w:i w:val="0"/>
                <w:color w:val="000000"/>
                <w:sz w:val="18"/>
              </w:rPr>
              <w:t>4.9</w:t>
            </w:r>
          </w:p>
        </w:tc>
        <w:tc>
          <w:tcPr>
            <w:tcW w:type="dxa" w:w="907"/>
            <w:vAlign w:val="center"/>
          </w:tcPr>
          <w:p>
            <w:pPr>
              <w:spacing w:line="300" w:lineRule="auto" w:before="30" w:after="30"/>
              <w:jc w:val="center"/>
            </w:pPr>
            <w:r/>
            <w:r>
              <w:rPr>
                <w:rFonts w:ascii="Times New Roman" w:hAnsi="Times New Roman" w:eastAsia="宋体"/>
                <w:b/>
                <w:i w:val="0"/>
                <w:color w:val="000000"/>
                <w:sz w:val="18"/>
              </w:rPr>
              <w:t>4.9</w:t>
            </w:r>
          </w:p>
        </w:tc>
        <w:tc>
          <w:tcPr>
            <w:tcW w:type="dxa" w:w="907"/>
            <w:vAlign w:val="center"/>
          </w:tcPr>
          <w:p>
            <w:pPr>
              <w:spacing w:line="300" w:lineRule="auto" w:before="30" w:after="30"/>
              <w:jc w:val="center"/>
            </w:pPr>
            <w:r/>
            <w:r>
              <w:rPr>
                <w:rFonts w:ascii="Times New Roman" w:hAnsi="Times New Roman" w:eastAsia="宋体"/>
                <w:b/>
                <w:i w:val="0"/>
                <w:color w:val="000000"/>
                <w:sz w:val="18"/>
              </w:rPr>
              <w:t>4.0</w:t>
            </w:r>
          </w:p>
        </w:tc>
        <w:tc>
          <w:tcPr>
            <w:tcW w:type="dxa" w:w="907"/>
            <w:vAlign w:val="center"/>
          </w:tcPr>
          <w:p>
            <w:pPr>
              <w:spacing w:line="300" w:lineRule="auto" w:before="30" w:after="30"/>
              <w:jc w:val="center"/>
            </w:pPr>
            <w:r/>
            <w:r>
              <w:rPr>
                <w:rFonts w:ascii="Times New Roman" w:hAnsi="Times New Roman" w:eastAsia="宋体"/>
                <w:b/>
                <w:i w:val="0"/>
                <w:color w:val="000000"/>
                <w:sz w:val="18"/>
              </w:rPr>
              <w:t>4.5</w:t>
            </w:r>
          </w:p>
        </w:tc>
        <w:tc>
          <w:tcPr>
            <w:tcW w:type="dxa" w:w="907"/>
            <w:vAlign w:val="center"/>
          </w:tcPr>
          <w:p>
            <w:pPr>
              <w:spacing w:line="300" w:lineRule="auto" w:before="30" w:after="30"/>
              <w:jc w:val="center"/>
            </w:pPr>
            <w:r/>
            <w:r>
              <w:rPr>
                <w:rFonts w:ascii="Times New Roman" w:hAnsi="Times New Roman" w:eastAsia="宋体"/>
                <w:b/>
                <w:i w:val="0"/>
                <w:color w:val="000000"/>
                <w:sz w:val="18"/>
              </w:rPr>
              <w:t>4.64</w:t>
            </w:r>
          </w:p>
        </w:tc>
      </w:tr>
      <w:tr>
        <w:trPr>
          <w:cantSplit/>
        </w:trPr>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8"/>
              </w:rPr>
              <w:t>Node.js + NestJS</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4.0</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3.4</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4.2</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3.8</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4.0</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3.88</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18"/>
              </w:rPr>
              <w:t>传统 SSM</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4.0</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4.5</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3.8</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3.5</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3.0</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3.81</w:t>
            </w:r>
          </w:p>
        </w:tc>
      </w:tr>
      <w:tr>
        <w:trPr>
          <w:cantSplit/>
        </w:trPr>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8"/>
              </w:rPr>
              <w:t>Kotlin + Ktor</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4.2</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3.6</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3.5</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3.2</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4.3</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3.76</w:t>
            </w:r>
          </w:p>
        </w:tc>
      </w:tr>
      <w:tr>
        <w:trPr>
          <w:cantSplit/>
        </w:trPr>
        <w:tc>
          <w:tcPr>
            <w:tcW w:type="dxa" w:w="1928"/>
            <w:vAlign w:val="center"/>
          </w:tcPr>
          <w:p>
            <w:pPr>
              <w:spacing w:line="300" w:lineRule="auto" w:before="30" w:after="30"/>
              <w:jc w:val="left"/>
            </w:pPr>
            <w:r/>
            <w:r>
              <w:rPr>
                <w:rFonts w:ascii="Times New Roman" w:hAnsi="Times New Roman" w:eastAsia="宋体"/>
                <w:b w:val="0"/>
                <w:i w:val="0"/>
                <w:color w:val="000000"/>
                <w:sz w:val="18"/>
              </w:rPr>
              <w:t>Python + Django/FastAPI</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3.8</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3.0</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4.3</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4.2</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3.4</w:t>
            </w:r>
          </w:p>
        </w:tc>
        <w:tc>
          <w:tcPr>
            <w:tcW w:type="dxa" w:w="907"/>
            <w:vAlign w:val="center"/>
          </w:tcPr>
          <w:p>
            <w:pPr>
              <w:spacing w:line="300" w:lineRule="auto" w:before="30" w:after="30"/>
              <w:jc w:val="center"/>
            </w:pPr>
            <w:r/>
            <w:r>
              <w:rPr>
                <w:rFonts w:ascii="Times New Roman" w:hAnsi="Times New Roman" w:eastAsia="宋体"/>
                <w:b w:val="0"/>
                <w:i w:val="0"/>
                <w:color w:val="000000"/>
                <w:sz w:val="18"/>
              </w:rPr>
              <w:t>3.76</w:t>
            </w:r>
          </w:p>
        </w:tc>
      </w:tr>
      <w:tr>
        <w:trPr>
          <w:cantSplit/>
        </w:trPr>
        <w:tc>
          <w:tcPr>
            <w:tcW w:type="dxa" w:w="1928"/>
            <w:shd w:val="clear" w:color="auto" w:fill="F2F6FA"/>
            <w:vAlign w:val="center"/>
          </w:tcPr>
          <w:p>
            <w:pPr>
              <w:spacing w:line="300" w:lineRule="auto" w:before="30" w:after="30"/>
              <w:jc w:val="left"/>
            </w:pPr>
            <w:r/>
            <w:r>
              <w:rPr>
                <w:rFonts w:ascii="Times New Roman" w:hAnsi="Times New Roman" w:eastAsia="宋体"/>
                <w:b w:val="0"/>
                <w:i w:val="0"/>
                <w:color w:val="000000"/>
                <w:sz w:val="18"/>
              </w:rPr>
              <w:t>Go + Gin/Go-Zero</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3.6</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2.8</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3.9</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2.8</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4.8</w:t>
            </w:r>
          </w:p>
        </w:tc>
        <w:tc>
          <w:tcPr>
            <w:tcW w:type="dxa" w:w="907"/>
            <w:shd w:val="clear" w:color="auto" w:fill="F2F6FA"/>
            <w:vAlign w:val="center"/>
          </w:tcPr>
          <w:p>
            <w:pPr>
              <w:spacing w:line="300" w:lineRule="auto" w:before="30" w:after="30"/>
              <w:jc w:val="center"/>
            </w:pPr>
            <w:r/>
            <w:r>
              <w:rPr>
                <w:rFonts w:ascii="Times New Roman" w:hAnsi="Times New Roman" w:eastAsia="宋体"/>
                <w:b w:val="0"/>
                <w:i w:val="0"/>
                <w:color w:val="000000"/>
                <w:sz w:val="18"/>
              </w:rPr>
              <w:t>3.52</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Java 与 Spring Boot 路线在功能匹配、课程契合和生态成熟三项上得分最高，学习成本中等但低于 Kotlin、Go 和 Node.js 路线，最终以 4.64 分排在首位。传统 SSM 在课程契合度上得分较高，但生态成熟度和演进能力偏低，且 XML 配置带来的额外工作量与团队并行开发的节奏不匹配；其技术内核已经通过 Spring Boot 与 MyBatis-Plus 的组合得到保留。Node.js、Kotlin、Python 与 Go 路线各有优势，但都存在与课程要求偏离或团队学习成本偏高的问题。</w:t>
      </w:r>
    </w:p>
    <w:p>
      <w:pPr>
        <w:pStyle w:val="Heading2"/>
        <w:keepNext/>
        <w:spacing w:before="160" w:after="60" w:line="312" w:lineRule="auto"/>
      </w:pPr>
      <w:r>
        <w:rPr>
          <w:rFonts w:ascii="Times New Roman" w:hAnsi="Times New Roman" w:eastAsia="黑体"/>
          <w:b/>
          <w:i w:val="0"/>
          <w:color w:val="000000"/>
          <w:sz w:val="28"/>
        </w:rPr>
        <w:t>4.3 推荐后端技术栈清单</w:t>
      </w:r>
    </w:p>
    <w:p>
      <w:pPr>
        <w:spacing w:line="360" w:lineRule="auto" w:before="0" w:after="0"/>
        <w:ind w:firstLine="480"/>
      </w:pPr>
      <w:r>
        <w:rPr>
          <w:rFonts w:ascii="Times New Roman" w:hAnsi="Times New Roman" w:eastAsia="宋体"/>
          <w:b w:val="0"/>
          <w:i w:val="0"/>
          <w:color w:val="000000"/>
          <w:sz w:val="24"/>
        </w:rPr>
        <w:t>综合路线评分与组件对比，推荐的后端技术栈如表10所示。各组件均选取当前稳定版本作为项目基线，具体版本号在项目初始化时锁定。</w:t>
      </w:r>
    </w:p>
    <w:p>
      <w:pPr>
        <w:keepNext/>
        <w:spacing w:before="120" w:after="60" w:line="240" w:lineRule="auto"/>
        <w:jc w:val="center"/>
      </w:pPr>
      <w:r>
        <w:rPr>
          <w:rFonts w:ascii="Times New Roman" w:hAnsi="Times New Roman" w:eastAsia="黑体"/>
          <w:b/>
          <w:i w:val="0"/>
          <w:color w:val="000000"/>
          <w:sz w:val="21"/>
        </w:rPr>
        <w:t>表10 推荐后端技术栈清单</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183"/>
        <w:gridCol w:w="2183"/>
        <w:gridCol w:w="2183"/>
        <w:gridCol w:w="2183"/>
      </w:tblGrid>
      <w:tr>
        <w:trPr>
          <w:cantSplit/>
          <w:tblHeader/>
        </w:trPr>
        <w:tc>
          <w:tcPr>
            <w:tcW w:type="dxa" w:w="1701"/>
            <w:shd w:val="clear" w:color="auto" w:fill="1F4E79"/>
            <w:vAlign w:val="center"/>
          </w:tcPr>
          <w:p>
            <w:pPr>
              <w:spacing w:line="300" w:lineRule="auto" w:before="30" w:after="30"/>
              <w:jc w:val="center"/>
            </w:pPr>
            <w:r/>
            <w:r>
              <w:rPr>
                <w:rFonts w:ascii="Times New Roman" w:hAnsi="Times New Roman" w:eastAsia="黑体"/>
                <w:b/>
                <w:i w:val="0"/>
                <w:color w:val="FFFFFF"/>
                <w:sz w:val="18"/>
              </w:rPr>
              <w:t>层次</w:t>
            </w:r>
          </w:p>
        </w:tc>
        <w:tc>
          <w:tcPr>
            <w:tcW w:type="dxa" w:w="2381"/>
            <w:shd w:val="clear" w:color="auto" w:fill="1F4E79"/>
            <w:vAlign w:val="center"/>
          </w:tcPr>
          <w:p>
            <w:pPr>
              <w:spacing w:line="300" w:lineRule="auto" w:before="30" w:after="30"/>
              <w:jc w:val="center"/>
            </w:pPr>
            <w:r/>
            <w:r>
              <w:rPr>
                <w:rFonts w:ascii="Times New Roman" w:hAnsi="Times New Roman" w:eastAsia="黑体"/>
                <w:b/>
                <w:i w:val="0"/>
                <w:color w:val="FFFFFF"/>
                <w:sz w:val="18"/>
              </w:rPr>
              <w:t>选型</w:t>
            </w:r>
          </w:p>
        </w:tc>
        <w:tc>
          <w:tcPr>
            <w:tcW w:type="dxa" w:w="1361"/>
            <w:shd w:val="clear" w:color="auto" w:fill="1F4E79"/>
            <w:vAlign w:val="center"/>
          </w:tcPr>
          <w:p>
            <w:pPr>
              <w:spacing w:line="300" w:lineRule="auto" w:before="30" w:after="30"/>
              <w:jc w:val="center"/>
            </w:pPr>
            <w:r/>
            <w:r>
              <w:rPr>
                <w:rFonts w:ascii="Times New Roman" w:hAnsi="Times New Roman" w:eastAsia="黑体"/>
                <w:b/>
                <w:i w:val="0"/>
                <w:color w:val="FFFFFF"/>
                <w:sz w:val="18"/>
              </w:rPr>
              <w:t>版本基线</w:t>
            </w:r>
          </w:p>
        </w:tc>
        <w:tc>
          <w:tcPr>
            <w:tcW w:type="dxa" w:w="2721"/>
            <w:shd w:val="clear" w:color="auto" w:fill="1F4E79"/>
            <w:vAlign w:val="center"/>
          </w:tcPr>
          <w:p>
            <w:pPr>
              <w:spacing w:line="300" w:lineRule="auto" w:before="30" w:after="30"/>
              <w:jc w:val="center"/>
            </w:pPr>
            <w:r/>
            <w:r>
              <w:rPr>
                <w:rFonts w:ascii="Times New Roman" w:hAnsi="Times New Roman" w:eastAsia="黑体"/>
                <w:b/>
                <w:i w:val="0"/>
                <w:color w:val="FFFFFF"/>
                <w:sz w:val="18"/>
              </w:rPr>
              <w:t>选用理由</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开发语言与运行时</w:t>
            </w:r>
          </w:p>
        </w:tc>
        <w:tc>
          <w:tcPr>
            <w:tcW w:type="dxa" w:w="2381"/>
            <w:vAlign w:val="center"/>
          </w:tcPr>
          <w:p>
            <w:pPr>
              <w:spacing w:line="300" w:lineRule="auto" w:before="30" w:after="30"/>
              <w:jc w:val="left"/>
            </w:pPr>
            <w:r/>
            <w:r>
              <w:rPr>
                <w:rFonts w:ascii="Times New Roman" w:hAnsi="Times New Roman" w:eastAsia="宋体"/>
                <w:b w:val="0"/>
                <w:i w:val="0"/>
                <w:color w:val="000000"/>
                <w:sz w:val="18"/>
              </w:rPr>
              <w:t>Java（长期支持版）</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17</w:t>
            </w:r>
          </w:p>
        </w:tc>
        <w:tc>
          <w:tcPr>
            <w:tcW w:type="dxa" w:w="2721"/>
            <w:vAlign w:val="center"/>
          </w:tcPr>
          <w:p>
            <w:pPr>
              <w:spacing w:line="300" w:lineRule="auto" w:before="30" w:after="30"/>
              <w:jc w:val="left"/>
            </w:pPr>
            <w:r/>
            <w:r>
              <w:rPr>
                <w:rFonts w:ascii="Times New Roman" w:hAnsi="Times New Roman" w:eastAsia="宋体"/>
                <w:b w:val="0"/>
                <w:i w:val="0"/>
                <w:color w:val="000000"/>
                <w:sz w:val="18"/>
              </w:rPr>
              <w:t>类型安全，事务与并发控制成熟，适合账务类金融业务</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服务框架</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Spring Boot 与 Spring MVC</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3.2.x</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SSM 的现代化落地形式，同时满足基于 SSM 的后端开发要求</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数据访问</w:t>
            </w:r>
          </w:p>
        </w:tc>
        <w:tc>
          <w:tcPr>
            <w:tcW w:type="dxa" w:w="2381"/>
            <w:vAlign w:val="center"/>
          </w:tcPr>
          <w:p>
            <w:pPr>
              <w:spacing w:line="300" w:lineRule="auto" w:before="30" w:after="30"/>
              <w:jc w:val="left"/>
            </w:pPr>
            <w:r/>
            <w:r>
              <w:rPr>
                <w:rFonts w:ascii="Times New Roman" w:hAnsi="Times New Roman" w:eastAsia="宋体"/>
                <w:b w:val="0"/>
                <w:i w:val="0"/>
                <w:color w:val="000000"/>
                <w:sz w:val="18"/>
              </w:rPr>
              <w:t>MyBatis-Plus 与手写 SQL</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3.5.x</w:t>
            </w:r>
          </w:p>
        </w:tc>
        <w:tc>
          <w:tcPr>
            <w:tcW w:type="dxa" w:w="2721"/>
            <w:vAlign w:val="center"/>
          </w:tcPr>
          <w:p>
            <w:pPr>
              <w:spacing w:line="300" w:lineRule="auto" w:before="30" w:after="30"/>
              <w:jc w:val="left"/>
            </w:pPr>
            <w:r/>
            <w:r>
              <w:rPr>
                <w:rFonts w:ascii="Times New Roman" w:hAnsi="Times New Roman" w:eastAsia="宋体"/>
                <w:b w:val="0"/>
                <w:i w:val="0"/>
                <w:color w:val="000000"/>
                <w:sz w:val="18"/>
              </w:rPr>
              <w:t>SQL 可控，便于审计与性能优化，复杂特征统计使用手写语句</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关系型数据库</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MySQL（InnoDB）</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8.0</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事务与行级锁保证账务一致性，团队与课程基础一致</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缓存与分布式协调</w:t>
            </w:r>
          </w:p>
        </w:tc>
        <w:tc>
          <w:tcPr>
            <w:tcW w:type="dxa" w:w="2381"/>
            <w:vAlign w:val="center"/>
          </w:tcPr>
          <w:p>
            <w:pPr>
              <w:spacing w:line="300" w:lineRule="auto" w:before="30" w:after="30"/>
              <w:jc w:val="left"/>
            </w:pPr>
            <w:r/>
            <w:r>
              <w:rPr>
                <w:rFonts w:ascii="Times New Roman" w:hAnsi="Times New Roman" w:eastAsia="宋体"/>
                <w:b w:val="0"/>
                <w:i w:val="0"/>
                <w:color w:val="000000"/>
                <w:sz w:val="18"/>
              </w:rPr>
              <w:t>Redis 与 Redisson</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7.x</w:t>
            </w:r>
          </w:p>
        </w:tc>
        <w:tc>
          <w:tcPr>
            <w:tcW w:type="dxa" w:w="2721"/>
            <w:vAlign w:val="center"/>
          </w:tcPr>
          <w:p>
            <w:pPr>
              <w:spacing w:line="300" w:lineRule="auto" w:before="30" w:after="30"/>
              <w:jc w:val="left"/>
            </w:pPr>
            <w:r/>
            <w:r>
              <w:rPr>
                <w:rFonts w:ascii="Times New Roman" w:hAnsi="Times New Roman" w:eastAsia="宋体"/>
                <w:b w:val="0"/>
                <w:i w:val="0"/>
                <w:color w:val="000000"/>
                <w:sz w:val="18"/>
              </w:rPr>
              <w:t>缓存、验证码、令牌状态、限流以及分布式锁与幂等控制</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消息队列</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RabbitMQ</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3.13</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通知解耦与重试，延时消息支撑还款提醒，学习成本低</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对象存储</w:t>
            </w:r>
          </w:p>
        </w:tc>
        <w:tc>
          <w:tcPr>
            <w:tcW w:type="dxa" w:w="2381"/>
            <w:vAlign w:val="center"/>
          </w:tcPr>
          <w:p>
            <w:pPr>
              <w:spacing w:line="300" w:lineRule="auto" w:before="30" w:after="30"/>
              <w:jc w:val="left"/>
            </w:pPr>
            <w:r/>
            <w:r>
              <w:rPr>
                <w:rFonts w:ascii="Times New Roman" w:hAnsi="Times New Roman" w:eastAsia="宋体"/>
                <w:b w:val="0"/>
                <w:i w:val="0"/>
                <w:color w:val="000000"/>
                <w:sz w:val="18"/>
              </w:rPr>
              <w:t>MinIO（兼容 S3 协议）</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2024 版本及以上</w:t>
            </w:r>
          </w:p>
        </w:tc>
        <w:tc>
          <w:tcPr>
            <w:tcW w:type="dxa" w:w="2721"/>
            <w:vAlign w:val="center"/>
          </w:tcPr>
          <w:p>
            <w:pPr>
              <w:spacing w:line="300" w:lineRule="auto" w:before="30" w:after="30"/>
              <w:jc w:val="left"/>
            </w:pPr>
            <w:r/>
            <w:r>
              <w:rPr>
                <w:rFonts w:ascii="Times New Roman" w:hAnsi="Times New Roman" w:eastAsia="宋体"/>
                <w:b w:val="0"/>
                <w:i w:val="0"/>
                <w:color w:val="000000"/>
                <w:sz w:val="18"/>
              </w:rPr>
              <w:t>存储合同与附件，接口兼容云对象存储，便于后续替换</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认证与授权</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Spring Security 与 JWT</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Spring Security 6</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与框架同源，过滤器链可扩展，便于接入审计与数据权限</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风控模型服务</w:t>
            </w:r>
          </w:p>
        </w:tc>
        <w:tc>
          <w:tcPr>
            <w:tcW w:type="dxa" w:w="2381"/>
            <w:vAlign w:val="center"/>
          </w:tcPr>
          <w:p>
            <w:pPr>
              <w:spacing w:line="300" w:lineRule="auto" w:before="30" w:after="30"/>
              <w:jc w:val="left"/>
            </w:pPr>
            <w:r/>
            <w:r>
              <w:rPr>
                <w:rFonts w:ascii="Times New Roman" w:hAnsi="Times New Roman" w:eastAsia="宋体"/>
                <w:b w:val="0"/>
                <w:i w:val="0"/>
                <w:color w:val="000000"/>
                <w:sz w:val="18"/>
              </w:rPr>
              <w:t>Python、FastAPI、scikit-learn 与 XGBoost</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Python 3.11</w:t>
            </w:r>
          </w:p>
        </w:tc>
        <w:tc>
          <w:tcPr>
            <w:tcW w:type="dxa" w:w="2721"/>
            <w:vAlign w:val="center"/>
          </w:tcPr>
          <w:p>
            <w:pPr>
              <w:spacing w:line="300" w:lineRule="auto" w:before="30" w:after="30"/>
              <w:jc w:val="left"/>
            </w:pPr>
            <w:r/>
            <w:r>
              <w:rPr>
                <w:rFonts w:ascii="Times New Roman" w:hAnsi="Times New Roman" w:eastAsia="宋体"/>
                <w:b w:val="0"/>
                <w:i w:val="0"/>
                <w:color w:val="000000"/>
                <w:sz w:val="18"/>
              </w:rPr>
              <w:t>训练与上线语言一致，模型可独立迭代，接口版本化管理</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规则引擎</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规则配置表与 Aviator 表达式</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Aviator 5.x</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规则可配置、可版本化，治理成本低于完整规则引擎</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接口文档</w:t>
            </w:r>
          </w:p>
        </w:tc>
        <w:tc>
          <w:tcPr>
            <w:tcW w:type="dxa" w:w="2381"/>
            <w:vAlign w:val="center"/>
          </w:tcPr>
          <w:p>
            <w:pPr>
              <w:spacing w:line="300" w:lineRule="auto" w:before="30" w:after="30"/>
              <w:jc w:val="left"/>
            </w:pPr>
            <w:r/>
            <w:r>
              <w:rPr>
                <w:rFonts w:ascii="Times New Roman" w:hAnsi="Times New Roman" w:eastAsia="宋体"/>
                <w:b w:val="0"/>
                <w:i w:val="0"/>
                <w:color w:val="000000"/>
                <w:sz w:val="18"/>
              </w:rPr>
              <w:t>OpenAPI 3、springdoc-openapi 与 Knife4j</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2.x 与 4.x</w:t>
            </w:r>
          </w:p>
        </w:tc>
        <w:tc>
          <w:tcPr>
            <w:tcW w:type="dxa" w:w="2721"/>
            <w:vAlign w:val="center"/>
          </w:tcPr>
          <w:p>
            <w:pPr>
              <w:spacing w:line="300" w:lineRule="auto" w:before="30" w:after="30"/>
              <w:jc w:val="left"/>
            </w:pPr>
            <w:r/>
            <w:r>
              <w:rPr>
                <w:rFonts w:ascii="Times New Roman" w:hAnsi="Times New Roman" w:eastAsia="宋体"/>
                <w:b w:val="0"/>
                <w:i w:val="0"/>
                <w:color w:val="000000"/>
                <w:sz w:val="18"/>
              </w:rPr>
              <w:t>契约先行，支撑三端并行开发与联调</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安全与审计</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TLS、AES-256-GCM、操作审计与哈希链</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项目内统一</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满足合规、最小必要、可追溯与防篡改要求</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测试</w:t>
            </w:r>
          </w:p>
        </w:tc>
        <w:tc>
          <w:tcPr>
            <w:tcW w:type="dxa" w:w="2381"/>
            <w:vAlign w:val="center"/>
          </w:tcPr>
          <w:p>
            <w:pPr>
              <w:spacing w:line="300" w:lineRule="auto" w:before="30" w:after="30"/>
              <w:jc w:val="left"/>
            </w:pPr>
            <w:r/>
            <w:r>
              <w:rPr>
                <w:rFonts w:ascii="Times New Roman" w:hAnsi="Times New Roman" w:eastAsia="宋体"/>
                <w:b w:val="0"/>
                <w:i w:val="0"/>
                <w:color w:val="000000"/>
                <w:sz w:val="18"/>
              </w:rPr>
              <w:t>JUnit 5、Mockito、Testcontainers 与 JMeter</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项目内统一</w:t>
            </w:r>
          </w:p>
        </w:tc>
        <w:tc>
          <w:tcPr>
            <w:tcW w:type="dxa" w:w="2721"/>
            <w:vAlign w:val="center"/>
          </w:tcPr>
          <w:p>
            <w:pPr>
              <w:spacing w:line="300" w:lineRule="auto" w:before="30" w:after="30"/>
              <w:jc w:val="left"/>
            </w:pPr>
            <w:r/>
            <w:r>
              <w:rPr>
                <w:rFonts w:ascii="Times New Roman" w:hAnsi="Times New Roman" w:eastAsia="宋体"/>
                <w:b w:val="0"/>
                <w:i w:val="0"/>
                <w:color w:val="000000"/>
                <w:sz w:val="18"/>
              </w:rPr>
              <w:t>覆盖单元、集成、接口与性能测试，满足多种测试方法要求</w:t>
            </w:r>
          </w:p>
        </w:tc>
      </w:tr>
      <w:tr>
        <w:trPr>
          <w:cantSplit/>
        </w:trPr>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8"/>
              </w:rPr>
              <w:t>部署与运维</w:t>
            </w:r>
          </w:p>
        </w:tc>
        <w:tc>
          <w:tcPr>
            <w:tcW w:type="dxa" w:w="2381"/>
            <w:shd w:val="clear" w:color="auto" w:fill="F2F6FA"/>
            <w:vAlign w:val="center"/>
          </w:tcPr>
          <w:p>
            <w:pPr>
              <w:spacing w:line="300" w:lineRule="auto" w:before="30" w:after="30"/>
              <w:jc w:val="left"/>
            </w:pPr>
            <w:r/>
            <w:r>
              <w:rPr>
                <w:rFonts w:ascii="Times New Roman" w:hAnsi="Times New Roman" w:eastAsia="宋体"/>
                <w:b w:val="0"/>
                <w:i w:val="0"/>
                <w:color w:val="000000"/>
                <w:sz w:val="18"/>
              </w:rPr>
              <w:t>Maven、Docker Compose、Nginx 与 Prometheus</w:t>
            </w:r>
          </w:p>
        </w:tc>
        <w:tc>
          <w:tcPr>
            <w:tcW w:type="dxa" w:w="1361"/>
            <w:shd w:val="clear" w:color="auto" w:fill="F2F6FA"/>
            <w:vAlign w:val="center"/>
          </w:tcPr>
          <w:p>
            <w:pPr>
              <w:spacing w:line="300" w:lineRule="auto" w:before="30" w:after="30"/>
              <w:jc w:val="center"/>
            </w:pPr>
            <w:r/>
            <w:r>
              <w:rPr>
                <w:rFonts w:ascii="Times New Roman" w:hAnsi="Times New Roman" w:eastAsia="宋体"/>
                <w:b w:val="0"/>
                <w:i w:val="0"/>
                <w:color w:val="000000"/>
                <w:sz w:val="18"/>
              </w:rPr>
              <w:t>项目内统一</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8"/>
              </w:rPr>
              <w:t>一键部署与演示，监控指标支撑接口与模型运维</w:t>
            </w:r>
          </w:p>
        </w:tc>
      </w:tr>
      <w:tr>
        <w:trPr>
          <w:cantSplit/>
        </w:trPr>
        <w:tc>
          <w:tcPr>
            <w:tcW w:type="dxa" w:w="1701"/>
            <w:vAlign w:val="center"/>
          </w:tcPr>
          <w:p>
            <w:pPr>
              <w:spacing w:line="300" w:lineRule="auto" w:before="30" w:after="30"/>
              <w:jc w:val="left"/>
            </w:pPr>
            <w:r/>
            <w:r>
              <w:rPr>
                <w:rFonts w:ascii="Times New Roman" w:hAnsi="Times New Roman" w:eastAsia="宋体"/>
                <w:b w:val="0"/>
                <w:i w:val="0"/>
                <w:color w:val="000000"/>
                <w:sz w:val="18"/>
              </w:rPr>
              <w:t>微服务演进（综合项目III）</w:t>
            </w:r>
          </w:p>
        </w:tc>
        <w:tc>
          <w:tcPr>
            <w:tcW w:type="dxa" w:w="2381"/>
            <w:vAlign w:val="center"/>
          </w:tcPr>
          <w:p>
            <w:pPr>
              <w:spacing w:line="300" w:lineRule="auto" w:before="30" w:after="30"/>
              <w:jc w:val="left"/>
            </w:pPr>
            <w:r/>
            <w:r>
              <w:rPr>
                <w:rFonts w:ascii="Times New Roman" w:hAnsi="Times New Roman" w:eastAsia="宋体"/>
                <w:b w:val="0"/>
                <w:i w:val="0"/>
                <w:color w:val="000000"/>
                <w:sz w:val="18"/>
              </w:rPr>
              <w:t>Spring Cloud Alibaba：Nacos、Gateway、OpenFeign、Sentinel、Seata</w:t>
            </w:r>
          </w:p>
        </w:tc>
        <w:tc>
          <w:tcPr>
            <w:tcW w:type="dxa" w:w="1361"/>
            <w:vAlign w:val="center"/>
          </w:tcPr>
          <w:p>
            <w:pPr>
              <w:spacing w:line="300" w:lineRule="auto" w:before="30" w:after="30"/>
              <w:jc w:val="center"/>
            </w:pPr>
            <w:r/>
            <w:r>
              <w:rPr>
                <w:rFonts w:ascii="Times New Roman" w:hAnsi="Times New Roman" w:eastAsia="宋体"/>
                <w:b w:val="0"/>
                <w:i w:val="0"/>
                <w:color w:val="000000"/>
                <w:sz w:val="18"/>
              </w:rPr>
              <w:t>2023.x</w:t>
            </w:r>
          </w:p>
        </w:tc>
        <w:tc>
          <w:tcPr>
            <w:tcW w:type="dxa" w:w="2721"/>
            <w:vAlign w:val="center"/>
          </w:tcPr>
          <w:p>
            <w:pPr>
              <w:spacing w:line="300" w:lineRule="auto" w:before="30" w:after="30"/>
              <w:jc w:val="left"/>
            </w:pPr>
            <w:r/>
            <w:r>
              <w:rPr>
                <w:rFonts w:ascii="Times New Roman" w:hAnsi="Times New Roman" w:eastAsia="宋体"/>
                <w:b w:val="0"/>
                <w:i w:val="0"/>
                <w:color w:val="000000"/>
                <w:sz w:val="18"/>
              </w:rPr>
              <w:t>在接口契约不变的前提下拆分服务，支撑高并发与限流降级</w:t>
            </w:r>
          </w:p>
        </w:tc>
      </w:tr>
    </w:tbl>
    <w:p>
      <w:pPr>
        <w:spacing w:line="240" w:lineRule="auto" w:before="0" w:after="0"/>
        <w:rPr>
          <w:sz w:val="10"/>
          <w:szCs w:val="10"/>
        </w:rPr>
      </w:pPr>
    </w:p>
    <w:p>
      <w:pPr>
        <w:pStyle w:val="Heading2"/>
        <w:keepNext/>
        <w:spacing w:before="160" w:after="60" w:line="312" w:lineRule="auto"/>
      </w:pPr>
      <w:r>
        <w:rPr>
          <w:rFonts w:ascii="Times New Roman" w:hAnsi="Times New Roman" w:eastAsia="黑体"/>
          <w:b/>
          <w:i w:val="0"/>
          <w:color w:val="000000"/>
          <w:sz w:val="28"/>
        </w:rPr>
        <w:t>4.4 后端分层与模块边界</w:t>
      </w:r>
    </w:p>
    <w:p>
      <w:pPr>
        <w:spacing w:line="360" w:lineRule="auto" w:before="0" w:after="0"/>
        <w:ind w:firstLine="480"/>
      </w:pPr>
      <w:r>
        <w:rPr>
          <w:rFonts w:ascii="Times New Roman" w:hAnsi="Times New Roman" w:eastAsia="宋体"/>
          <w:b w:val="0"/>
          <w:i w:val="0"/>
          <w:color w:val="000000"/>
          <w:sz w:val="24"/>
        </w:rPr>
        <w:t>后端在单体阶段按分层结构组织。接口层负责参数校验、身份认证与协议转换；应用服务层编排业务流程并划定事务边界；领域与业务层实现贷款、审批、账务和风控等核心规则；数据访问层封装 MyBatis-Plus 映射与手写 SQL；基础设施层提供缓存、消息、存储、加密和审计等通用能力。</w:t>
      </w:r>
    </w:p>
    <w:p>
      <w:pPr>
        <w:spacing w:line="360" w:lineRule="auto" w:before="0" w:after="0"/>
        <w:ind w:firstLine="480"/>
      </w:pPr>
      <w:r>
        <w:rPr>
          <w:rFonts w:ascii="Times New Roman" w:hAnsi="Times New Roman" w:eastAsia="宋体"/>
          <w:b w:val="0"/>
          <w:i w:val="0"/>
          <w:color w:val="000000"/>
          <w:sz w:val="24"/>
        </w:rPr>
        <w:t>模块划分与功能需求中的九个中心保持一致，每个中心在代码中对应独立包与独立数据表前缀。模块之间只能通过应用服务接口调用，不允许跨模块直接访问数据表，这样可以在综合项目III阶段按模块边界拆分服务，而不需要重写业务逻辑。</w:t>
      </w:r>
    </w:p>
    <w:p>
      <w:pPr>
        <w:spacing w:line="360" w:lineRule="auto" w:before="0" w:after="0"/>
        <w:ind w:firstLine="480"/>
      </w:pPr>
      <w:r>
        <w:rPr>
          <w:rFonts w:ascii="Times New Roman" w:hAnsi="Times New Roman" w:eastAsia="宋体"/>
          <w:b w:val="0"/>
          <w:i w:val="0"/>
          <w:color w:val="000000"/>
          <w:sz w:val="24"/>
        </w:rPr>
        <w:t>对外接口分为借款端接口、管理端接口和内部接口三类，分别设置不同的鉴权策略与访问范围。模型服务、通知服务和数据清洗任务作为独立进程部署，通过版本化接口或消息与业务后端交互。任何一类接口的协议变更都需要同步更新契约文档，并由前后端共同确认后再进入实现。</w:t>
      </w:r>
    </w:p>
    <w:p>
      <w:pPr>
        <w:pStyle w:val="Heading1"/>
        <w:keepNext/>
        <w:spacing w:before="200" w:after="100" w:line="312" w:lineRule="auto"/>
      </w:pPr>
      <w:r>
        <w:rPr>
          <w:rFonts w:ascii="Times New Roman" w:hAnsi="Times New Roman" w:eastAsia="黑体"/>
          <w:b/>
          <w:i w:val="0"/>
          <w:color w:val="000000"/>
          <w:sz w:val="32"/>
        </w:rPr>
        <w:t>五、分阶段演进与技术复用</w:t>
      </w:r>
    </w:p>
    <w:p>
      <w:pPr>
        <w:spacing w:line="360" w:lineRule="auto" w:before="0" w:after="0"/>
        <w:ind w:firstLine="480"/>
      </w:pPr>
      <w:r>
        <w:rPr>
          <w:rFonts w:ascii="Times New Roman" w:hAnsi="Times New Roman" w:eastAsia="宋体"/>
          <w:b w:val="0"/>
          <w:i w:val="0"/>
          <w:color w:val="000000"/>
          <w:sz w:val="24"/>
        </w:rPr>
        <w:t>选型方案覆盖三个阶段的完整生命周期，各阶段的后端形态与技术复用关系如表11所示。</w:t>
      </w:r>
    </w:p>
    <w:p>
      <w:pPr>
        <w:keepNext/>
        <w:spacing w:before="120" w:after="60" w:line="240" w:lineRule="auto"/>
        <w:jc w:val="center"/>
      </w:pPr>
      <w:r>
        <w:rPr>
          <w:rFonts w:ascii="Times New Roman" w:hAnsi="Times New Roman" w:eastAsia="黑体"/>
          <w:b/>
          <w:i w:val="0"/>
          <w:color w:val="000000"/>
          <w:sz w:val="21"/>
        </w:rPr>
        <w:t>表11 三个阶段的 Web 后端形态演变</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183"/>
        <w:gridCol w:w="2183"/>
        <w:gridCol w:w="2183"/>
        <w:gridCol w:w="2183"/>
      </w:tblGrid>
      <w:tr>
        <w:trPr>
          <w:cantSplit/>
          <w:tblHeader/>
        </w:trPr>
        <w:tc>
          <w:tcPr>
            <w:tcW w:type="dxa" w:w="1247"/>
            <w:shd w:val="clear" w:color="auto" w:fill="1F4E79"/>
            <w:vAlign w:val="center"/>
          </w:tcPr>
          <w:p>
            <w:pPr>
              <w:spacing w:line="300" w:lineRule="auto" w:before="30" w:after="30"/>
              <w:jc w:val="center"/>
            </w:pPr>
            <w:r/>
            <w:r>
              <w:rPr>
                <w:rFonts w:ascii="Times New Roman" w:hAnsi="Times New Roman" w:eastAsia="黑体"/>
                <w:b/>
                <w:i w:val="0"/>
                <w:color w:val="FFFFFF"/>
                <w:sz w:val="19"/>
              </w:rPr>
              <w:t>阶段</w:t>
            </w:r>
          </w:p>
        </w:tc>
        <w:tc>
          <w:tcPr>
            <w:tcW w:type="dxa" w:w="1701"/>
            <w:shd w:val="clear" w:color="auto" w:fill="1F4E79"/>
            <w:vAlign w:val="center"/>
          </w:tcPr>
          <w:p>
            <w:pPr>
              <w:spacing w:line="300" w:lineRule="auto" w:before="30" w:after="30"/>
              <w:jc w:val="center"/>
            </w:pPr>
            <w:r/>
            <w:r>
              <w:rPr>
                <w:rFonts w:ascii="Times New Roman" w:hAnsi="Times New Roman" w:eastAsia="黑体"/>
                <w:b/>
                <w:i w:val="0"/>
                <w:color w:val="FFFFFF"/>
                <w:sz w:val="19"/>
              </w:rPr>
              <w:t>后端形态</w:t>
            </w:r>
          </w:p>
        </w:tc>
        <w:tc>
          <w:tcPr>
            <w:tcW w:type="dxa" w:w="2948"/>
            <w:shd w:val="clear" w:color="auto" w:fill="1F4E79"/>
            <w:vAlign w:val="center"/>
          </w:tcPr>
          <w:p>
            <w:pPr>
              <w:spacing w:line="300" w:lineRule="auto" w:before="30" w:after="30"/>
              <w:jc w:val="center"/>
            </w:pPr>
            <w:r/>
            <w:r>
              <w:rPr>
                <w:rFonts w:ascii="Times New Roman" w:hAnsi="Times New Roman" w:eastAsia="黑体"/>
                <w:b/>
                <w:i w:val="0"/>
                <w:color w:val="FFFFFF"/>
                <w:sz w:val="19"/>
              </w:rPr>
              <w:t>关键工作</w:t>
            </w:r>
          </w:p>
        </w:tc>
        <w:tc>
          <w:tcPr>
            <w:tcW w:type="dxa" w:w="2268"/>
            <w:shd w:val="clear" w:color="auto" w:fill="1F4E79"/>
            <w:vAlign w:val="center"/>
          </w:tcPr>
          <w:p>
            <w:pPr>
              <w:spacing w:line="300" w:lineRule="auto" w:before="30" w:after="30"/>
              <w:jc w:val="center"/>
            </w:pPr>
            <w:r/>
            <w:r>
              <w:rPr>
                <w:rFonts w:ascii="Times New Roman" w:hAnsi="Times New Roman" w:eastAsia="黑体"/>
                <w:b/>
                <w:i w:val="0"/>
                <w:color w:val="FFFFFF"/>
                <w:sz w:val="19"/>
              </w:rPr>
              <w:t>技术复用说明</w:t>
            </w:r>
          </w:p>
        </w:tc>
      </w:tr>
      <w:tr>
        <w:trPr>
          <w:cantSplit/>
        </w:trPr>
        <w:tc>
          <w:tcPr>
            <w:tcW w:type="dxa" w:w="1247"/>
            <w:vAlign w:val="center"/>
          </w:tcPr>
          <w:p>
            <w:pPr>
              <w:spacing w:line="300" w:lineRule="auto" w:before="30" w:after="30"/>
              <w:jc w:val="center"/>
            </w:pPr>
            <w:r/>
            <w:r>
              <w:rPr>
                <w:rFonts w:ascii="Times New Roman" w:hAnsi="Times New Roman" w:eastAsia="宋体"/>
                <w:b w:val="0"/>
                <w:i w:val="0"/>
                <w:color w:val="000000"/>
                <w:sz w:val="19"/>
              </w:rPr>
              <w:t>综合项目I</w:t>
            </w:r>
          </w:p>
        </w:tc>
        <w:tc>
          <w:tcPr>
            <w:tcW w:type="dxa" w:w="1701"/>
            <w:vAlign w:val="center"/>
          </w:tcPr>
          <w:p>
            <w:pPr>
              <w:spacing w:line="300" w:lineRule="auto" w:before="30" w:after="30"/>
              <w:jc w:val="left"/>
            </w:pPr>
            <w:r/>
            <w:r>
              <w:rPr>
                <w:rFonts w:ascii="Times New Roman" w:hAnsi="Times New Roman" w:eastAsia="宋体"/>
                <w:b w:val="0"/>
                <w:i w:val="0"/>
                <w:color w:val="000000"/>
                <w:sz w:val="19"/>
              </w:rPr>
              <w:t>单体模块化骨架与接口契约</w:t>
            </w:r>
          </w:p>
        </w:tc>
        <w:tc>
          <w:tcPr>
            <w:tcW w:type="dxa" w:w="2948"/>
            <w:vAlign w:val="center"/>
          </w:tcPr>
          <w:p>
            <w:pPr>
              <w:spacing w:line="300" w:lineRule="auto" w:before="30" w:after="30"/>
              <w:jc w:val="left"/>
            </w:pPr>
            <w:r/>
            <w:r>
              <w:rPr>
                <w:rFonts w:ascii="Times New Roman" w:hAnsi="Times New Roman" w:eastAsia="宋体"/>
                <w:b w:val="0"/>
                <w:i w:val="0"/>
                <w:color w:val="000000"/>
                <w:sz w:val="19"/>
              </w:rPr>
              <w:t>领域模型与数据库设计、REST 接口定义、模型服务接口占位、安全与审计方案设计</w:t>
            </w:r>
          </w:p>
        </w:tc>
        <w:tc>
          <w:tcPr>
            <w:tcW w:type="dxa" w:w="2268"/>
            <w:vAlign w:val="center"/>
          </w:tcPr>
          <w:p>
            <w:pPr>
              <w:spacing w:line="300" w:lineRule="auto" w:before="30" w:after="30"/>
              <w:jc w:val="left"/>
            </w:pPr>
            <w:r/>
            <w:r>
              <w:rPr>
                <w:rFonts w:ascii="Times New Roman" w:hAnsi="Times New Roman" w:eastAsia="宋体"/>
                <w:b w:val="0"/>
                <w:i w:val="0"/>
                <w:color w:val="000000"/>
                <w:sz w:val="19"/>
              </w:rPr>
              <w:t>确定 Spring Boot 与 MySQL 基线，只定义模型接口不实现计算</w:t>
            </w:r>
          </w:p>
        </w:tc>
      </w:tr>
      <w:tr>
        <w:trPr>
          <w:cantSplit/>
        </w:trPr>
        <w:tc>
          <w:tcPr>
            <w:tcW w:type="dxa" w:w="1247"/>
            <w:shd w:val="clear" w:color="auto" w:fill="F2F6FA"/>
            <w:vAlign w:val="center"/>
          </w:tcPr>
          <w:p>
            <w:pPr>
              <w:spacing w:line="300" w:lineRule="auto" w:before="30" w:after="30"/>
              <w:jc w:val="center"/>
            </w:pPr>
            <w:r/>
            <w:r>
              <w:rPr>
                <w:rFonts w:ascii="Times New Roman" w:hAnsi="Times New Roman" w:eastAsia="宋体"/>
                <w:b w:val="0"/>
                <w:i w:val="0"/>
                <w:color w:val="000000"/>
                <w:sz w:val="19"/>
              </w:rPr>
              <w:t>综合项目II</w:t>
            </w:r>
          </w:p>
        </w:tc>
        <w:tc>
          <w:tcPr>
            <w:tcW w:type="dxa" w:w="1701"/>
            <w:shd w:val="clear" w:color="auto" w:fill="F2F6FA"/>
            <w:vAlign w:val="center"/>
          </w:tcPr>
          <w:p>
            <w:pPr>
              <w:spacing w:line="300" w:lineRule="auto" w:before="30" w:after="30"/>
              <w:jc w:val="left"/>
            </w:pPr>
            <w:r/>
            <w:r>
              <w:rPr>
                <w:rFonts w:ascii="Times New Roman" w:hAnsi="Times New Roman" w:eastAsia="宋体"/>
                <w:b w:val="0"/>
                <w:i w:val="0"/>
                <w:color w:val="000000"/>
                <w:sz w:val="19"/>
              </w:rPr>
              <w:t>单体完整功能版</w:t>
            </w:r>
          </w:p>
        </w:tc>
        <w:tc>
          <w:tcPr>
            <w:tcW w:type="dxa" w:w="2948"/>
            <w:shd w:val="clear" w:color="auto" w:fill="F2F6FA"/>
            <w:vAlign w:val="center"/>
          </w:tcPr>
          <w:p>
            <w:pPr>
              <w:spacing w:line="300" w:lineRule="auto" w:before="30" w:after="30"/>
              <w:jc w:val="left"/>
            </w:pPr>
            <w:r/>
            <w:r>
              <w:rPr>
                <w:rFonts w:ascii="Times New Roman" w:hAnsi="Times New Roman" w:eastAsia="宋体"/>
                <w:b w:val="0"/>
                <w:i w:val="0"/>
                <w:color w:val="000000"/>
                <w:sz w:val="19"/>
              </w:rPr>
              <w:t>用户、申请、审批、放款与账务模块开发，评分卡模型训练与上线，数据爬取与数据清洗</w:t>
            </w:r>
          </w:p>
        </w:tc>
        <w:tc>
          <w:tcPr>
            <w:tcW w:type="dxa" w:w="2268"/>
            <w:shd w:val="clear" w:color="auto" w:fill="F2F6FA"/>
            <w:vAlign w:val="center"/>
          </w:tcPr>
          <w:p>
            <w:pPr>
              <w:spacing w:line="300" w:lineRule="auto" w:before="30" w:after="30"/>
              <w:jc w:val="left"/>
            </w:pPr>
            <w:r/>
            <w:r>
              <w:rPr>
                <w:rFonts w:ascii="Times New Roman" w:hAnsi="Times New Roman" w:eastAsia="宋体"/>
                <w:b w:val="0"/>
                <w:i w:val="0"/>
                <w:color w:val="000000"/>
                <w:sz w:val="19"/>
              </w:rPr>
              <w:t>沿用同一代码基线与数据模型，模型服务接入 Python 评分卡实现</w:t>
            </w:r>
          </w:p>
        </w:tc>
      </w:tr>
      <w:tr>
        <w:trPr>
          <w:cantSplit/>
        </w:trPr>
        <w:tc>
          <w:tcPr>
            <w:tcW w:type="dxa" w:w="1247"/>
            <w:vAlign w:val="center"/>
          </w:tcPr>
          <w:p>
            <w:pPr>
              <w:spacing w:line="300" w:lineRule="auto" w:before="30" w:after="30"/>
              <w:jc w:val="center"/>
            </w:pPr>
            <w:r/>
            <w:r>
              <w:rPr>
                <w:rFonts w:ascii="Times New Roman" w:hAnsi="Times New Roman" w:eastAsia="宋体"/>
                <w:b w:val="0"/>
                <w:i w:val="0"/>
                <w:color w:val="000000"/>
                <w:sz w:val="19"/>
              </w:rPr>
              <w:t>综合项目III</w:t>
            </w:r>
          </w:p>
        </w:tc>
        <w:tc>
          <w:tcPr>
            <w:tcW w:type="dxa" w:w="1701"/>
            <w:vAlign w:val="center"/>
          </w:tcPr>
          <w:p>
            <w:pPr>
              <w:spacing w:line="300" w:lineRule="auto" w:before="30" w:after="30"/>
              <w:jc w:val="left"/>
            </w:pPr>
            <w:r/>
            <w:r>
              <w:rPr>
                <w:rFonts w:ascii="Times New Roman" w:hAnsi="Times New Roman" w:eastAsia="宋体"/>
                <w:b w:val="0"/>
                <w:i w:val="0"/>
                <w:color w:val="000000"/>
                <w:sz w:val="19"/>
              </w:rPr>
              <w:t>微服务版与高并发部署</w:t>
            </w:r>
          </w:p>
        </w:tc>
        <w:tc>
          <w:tcPr>
            <w:tcW w:type="dxa" w:w="2948"/>
            <w:vAlign w:val="center"/>
          </w:tcPr>
          <w:p>
            <w:pPr>
              <w:spacing w:line="300" w:lineRule="auto" w:before="30" w:after="30"/>
              <w:jc w:val="left"/>
            </w:pPr>
            <w:r/>
            <w:r>
              <w:rPr>
                <w:rFonts w:ascii="Times New Roman" w:hAnsi="Times New Roman" w:eastAsia="宋体"/>
                <w:b w:val="0"/>
                <w:i w:val="0"/>
                <w:color w:val="000000"/>
                <w:sz w:val="19"/>
              </w:rPr>
              <w:t>服务拆分、网关与注册配置中心、限流降级、分布式事务，大模型客服接口</w:t>
            </w:r>
          </w:p>
        </w:tc>
        <w:tc>
          <w:tcPr>
            <w:tcW w:type="dxa" w:w="2268"/>
            <w:vAlign w:val="center"/>
          </w:tcPr>
          <w:p>
            <w:pPr>
              <w:spacing w:line="300" w:lineRule="auto" w:before="30" w:after="30"/>
              <w:jc w:val="left"/>
            </w:pPr>
            <w:r/>
            <w:r>
              <w:rPr>
                <w:rFonts w:ascii="Times New Roman" w:hAnsi="Times New Roman" w:eastAsia="宋体"/>
                <w:b w:val="0"/>
                <w:i w:val="0"/>
                <w:color w:val="000000"/>
                <w:sz w:val="19"/>
              </w:rPr>
              <w:t>接口契约与数据模型保持不变，增加 Spring Cloud Alibaba 与容器编排</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这一路线避免在两个阶段之间推倒重来。综合项目I只搭建骨架并冻结接口契约，使三端可以按契约并行开发；综合项目II在骨架上填充完整业务与评分卡模型，验证单体形态下的业务闭环；综合项目III按已有的模块边界拆分为微服务，引入注册配置中心、网关、限流降级和分布式事务组件，把高并发压力分散到独立服务。由于模块边界、接口契约和数据模型在前期已经确定，拆分工作主要集中在部署结构与服务间调用，不会波及业务规则本身。</w:t>
      </w:r>
    </w:p>
    <w:p>
      <w:pPr>
        <w:spacing w:line="360" w:lineRule="auto" w:before="0" w:after="0"/>
        <w:ind w:firstLine="480"/>
      </w:pPr>
      <w:r>
        <w:rPr>
          <w:rFonts w:ascii="Times New Roman" w:hAnsi="Times New Roman" w:eastAsia="宋体"/>
          <w:b w:val="0"/>
          <w:i w:val="0"/>
          <w:color w:val="000000"/>
          <w:sz w:val="24"/>
        </w:rPr>
        <w:t>当综合项目III引入第三方大模型接口实现客服系统时，后端增加一层模型调用适配服务，负责提示词模板管理、敏感信息脱敏、调用超时控制与降级处理。客服服务只读取必要的业务上下文，不把完整客户资料发送给外部服务，调用记录进入审计日志，满足合规与可追溯要求。</w:t>
      </w:r>
    </w:p>
    <w:p>
      <w:pPr>
        <w:pStyle w:val="Heading1"/>
        <w:keepNext/>
        <w:spacing w:before="200" w:after="100" w:line="312" w:lineRule="auto"/>
      </w:pPr>
      <w:r>
        <w:rPr>
          <w:rFonts w:ascii="Times New Roman" w:hAnsi="Times New Roman" w:eastAsia="黑体"/>
          <w:b/>
          <w:i w:val="0"/>
          <w:color w:val="000000"/>
          <w:sz w:val="32"/>
        </w:rPr>
        <w:t>六、主要风险与应对措施</w:t>
      </w:r>
    </w:p>
    <w:p>
      <w:pPr>
        <w:spacing w:line="360" w:lineRule="auto" w:before="0" w:after="0"/>
        <w:ind w:firstLine="480"/>
      </w:pPr>
      <w:r>
        <w:rPr>
          <w:rFonts w:ascii="Times New Roman" w:hAnsi="Times New Roman" w:eastAsia="宋体"/>
          <w:b w:val="0"/>
          <w:i w:val="0"/>
          <w:color w:val="000000"/>
          <w:sz w:val="24"/>
        </w:rPr>
        <w:t>选型方案的主要风险集中在跨语言调用、团队学习成本、架构节奏、数据一致性、合规安全以及组件版本兼容六个方面，具体应对措施如表12所示。</w:t>
      </w:r>
    </w:p>
    <w:p>
      <w:pPr>
        <w:keepNext/>
        <w:spacing w:before="120" w:after="60" w:line="240" w:lineRule="auto"/>
        <w:jc w:val="center"/>
      </w:pPr>
      <w:r>
        <w:rPr>
          <w:rFonts w:ascii="Times New Roman" w:hAnsi="Times New Roman" w:eastAsia="黑体"/>
          <w:b/>
          <w:i w:val="0"/>
          <w:color w:val="000000"/>
          <w:sz w:val="21"/>
        </w:rPr>
        <w:t>表12 后端选型主要风险与应对措施</w:t>
      </w:r>
    </w:p>
    <w:tbl>
      <w:tblPr>
        <w:tblStyle w:val="TableGrid"/>
        <w:tblW w:type="auto" w:w="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10" w:type="dxa"/>
          <w:bottom w:w="70" w:type="dxa"/>
          <w:right w:w="110" w:type="dxa"/>
        </w:tblCellMar>
        <w:tblLook w:firstColumn="1" w:firstRow="1" w:lastColumn="0" w:lastRow="0" w:noHBand="0" w:noVBand="1" w:val="04A0"/>
      </w:tblPr>
      <w:tblGrid>
        <w:gridCol w:w="2911"/>
        <w:gridCol w:w="2911"/>
        <w:gridCol w:w="2911"/>
      </w:tblGrid>
      <w:tr>
        <w:trPr>
          <w:cantSplit/>
          <w:tblHeader/>
        </w:trPr>
        <w:tc>
          <w:tcPr>
            <w:tcW w:type="dxa" w:w="1814"/>
            <w:shd w:val="clear" w:color="auto" w:fill="1F4E79"/>
            <w:vAlign w:val="center"/>
          </w:tcPr>
          <w:p>
            <w:pPr>
              <w:spacing w:line="300" w:lineRule="auto" w:before="30" w:after="30"/>
              <w:jc w:val="center"/>
            </w:pPr>
            <w:r/>
            <w:r>
              <w:rPr>
                <w:rFonts w:ascii="Times New Roman" w:hAnsi="Times New Roman" w:eastAsia="黑体"/>
                <w:b/>
                <w:i w:val="0"/>
                <w:color w:val="FFFFFF"/>
                <w:sz w:val="19"/>
              </w:rPr>
              <w:t>风险</w:t>
            </w:r>
          </w:p>
        </w:tc>
        <w:tc>
          <w:tcPr>
            <w:tcW w:type="dxa" w:w="2721"/>
            <w:shd w:val="clear" w:color="auto" w:fill="1F4E79"/>
            <w:vAlign w:val="center"/>
          </w:tcPr>
          <w:p>
            <w:pPr>
              <w:spacing w:line="300" w:lineRule="auto" w:before="30" w:after="30"/>
              <w:jc w:val="center"/>
            </w:pPr>
            <w:r/>
            <w:r>
              <w:rPr>
                <w:rFonts w:ascii="Times New Roman" w:hAnsi="Times New Roman" w:eastAsia="黑体"/>
                <w:b/>
                <w:i w:val="0"/>
                <w:color w:val="FFFFFF"/>
                <w:sz w:val="19"/>
              </w:rPr>
              <w:t>具体表现</w:t>
            </w:r>
          </w:p>
        </w:tc>
        <w:tc>
          <w:tcPr>
            <w:tcW w:type="dxa" w:w="3628"/>
            <w:shd w:val="clear" w:color="auto" w:fill="1F4E79"/>
            <w:vAlign w:val="center"/>
          </w:tcPr>
          <w:p>
            <w:pPr>
              <w:spacing w:line="300" w:lineRule="auto" w:before="30" w:after="30"/>
              <w:jc w:val="center"/>
            </w:pPr>
            <w:r/>
            <w:r>
              <w:rPr>
                <w:rFonts w:ascii="Times New Roman" w:hAnsi="Times New Roman" w:eastAsia="黑体"/>
                <w:b/>
                <w:i w:val="0"/>
                <w:color w:val="FFFFFF"/>
                <w:sz w:val="19"/>
              </w:rPr>
              <w:t>应对措施</w:t>
            </w:r>
          </w:p>
        </w:tc>
      </w:tr>
      <w:tr>
        <w:trPr>
          <w:cantSplit/>
        </w:trPr>
        <w:tc>
          <w:tcPr>
            <w:tcW w:type="dxa" w:w="1814"/>
            <w:vAlign w:val="center"/>
          </w:tcPr>
          <w:p>
            <w:pPr>
              <w:spacing w:line="300" w:lineRule="auto" w:before="30" w:after="30"/>
              <w:jc w:val="left"/>
            </w:pPr>
            <w:r/>
            <w:r>
              <w:rPr>
                <w:rFonts w:ascii="Times New Roman" w:hAnsi="Times New Roman" w:eastAsia="宋体"/>
                <w:b w:val="0"/>
                <w:i w:val="0"/>
                <w:color w:val="000000"/>
                <w:sz w:val="19"/>
              </w:rPr>
              <w:t>跨语言模型调用不稳定</w:t>
            </w:r>
          </w:p>
        </w:tc>
        <w:tc>
          <w:tcPr>
            <w:tcW w:type="dxa" w:w="2721"/>
            <w:vAlign w:val="center"/>
          </w:tcPr>
          <w:p>
            <w:pPr>
              <w:spacing w:line="300" w:lineRule="auto" w:before="30" w:after="30"/>
              <w:jc w:val="left"/>
            </w:pPr>
            <w:r/>
            <w:r>
              <w:rPr>
                <w:rFonts w:ascii="Times New Roman" w:hAnsi="Times New Roman" w:eastAsia="宋体"/>
                <w:b w:val="0"/>
                <w:i w:val="0"/>
                <w:color w:val="000000"/>
                <w:sz w:val="19"/>
              </w:rPr>
              <w:t>模型服务超时或不可用导致审批流程阻塞</w:t>
            </w:r>
          </w:p>
        </w:tc>
        <w:tc>
          <w:tcPr>
            <w:tcW w:type="dxa" w:w="3628"/>
            <w:vAlign w:val="center"/>
          </w:tcPr>
          <w:p>
            <w:pPr>
              <w:spacing w:line="300" w:lineRule="auto" w:before="30" w:after="30"/>
              <w:jc w:val="left"/>
            </w:pPr>
            <w:r/>
            <w:r>
              <w:rPr>
                <w:rFonts w:ascii="Times New Roman" w:hAnsi="Times New Roman" w:eastAsia="宋体"/>
                <w:b w:val="0"/>
                <w:i w:val="0"/>
                <w:color w:val="000000"/>
                <w:sz w:val="19"/>
              </w:rPr>
              <w:t>设置调用超时与重试上限，规则引擎兜底，模型结果落库留痕并支持异步补算</w:t>
            </w:r>
          </w:p>
        </w:tc>
      </w:tr>
      <w:tr>
        <w:trPr>
          <w:cantSplit/>
        </w:trPr>
        <w:tc>
          <w:tcPr>
            <w:tcW w:type="dxa" w:w="1814"/>
            <w:shd w:val="clear" w:color="auto" w:fill="F2F6FA"/>
            <w:vAlign w:val="center"/>
          </w:tcPr>
          <w:p>
            <w:pPr>
              <w:spacing w:line="300" w:lineRule="auto" w:before="30" w:after="30"/>
              <w:jc w:val="left"/>
            </w:pPr>
            <w:r/>
            <w:r>
              <w:rPr>
                <w:rFonts w:ascii="Times New Roman" w:hAnsi="Times New Roman" w:eastAsia="宋体"/>
                <w:b w:val="0"/>
                <w:i w:val="0"/>
                <w:color w:val="000000"/>
                <w:sz w:val="19"/>
              </w:rPr>
              <w:t>团队技术栈学习成本</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成员对框架与中间件掌握不足影响进度</w:t>
            </w:r>
          </w:p>
        </w:tc>
        <w:tc>
          <w:tcPr>
            <w:tcW w:type="dxa" w:w="3628"/>
            <w:shd w:val="clear" w:color="auto" w:fill="F2F6FA"/>
            <w:vAlign w:val="center"/>
          </w:tcPr>
          <w:p>
            <w:pPr>
              <w:spacing w:line="300" w:lineRule="auto" w:before="30" w:after="30"/>
              <w:jc w:val="left"/>
            </w:pPr>
            <w:r/>
            <w:r>
              <w:rPr>
                <w:rFonts w:ascii="Times New Roman" w:hAnsi="Times New Roman" w:eastAsia="宋体"/>
                <w:b w:val="0"/>
                <w:i w:val="0"/>
                <w:color w:val="000000"/>
                <w:sz w:val="19"/>
              </w:rPr>
              <w:t>选择与课程进度匹配的 Java 体系，关键组件先做最小验证再全面使用</w:t>
            </w:r>
          </w:p>
        </w:tc>
      </w:tr>
      <w:tr>
        <w:trPr>
          <w:cantSplit/>
        </w:trPr>
        <w:tc>
          <w:tcPr>
            <w:tcW w:type="dxa" w:w="1814"/>
            <w:vAlign w:val="center"/>
          </w:tcPr>
          <w:p>
            <w:pPr>
              <w:spacing w:line="300" w:lineRule="auto" w:before="30" w:after="30"/>
              <w:jc w:val="left"/>
            </w:pPr>
            <w:r/>
            <w:r>
              <w:rPr>
                <w:rFonts w:ascii="Times New Roman" w:hAnsi="Times New Roman" w:eastAsia="宋体"/>
                <w:b w:val="0"/>
                <w:i w:val="0"/>
                <w:color w:val="000000"/>
                <w:sz w:val="19"/>
              </w:rPr>
              <w:t>架构节奏失衡</w:t>
            </w:r>
          </w:p>
        </w:tc>
        <w:tc>
          <w:tcPr>
            <w:tcW w:type="dxa" w:w="2721"/>
            <w:vAlign w:val="center"/>
          </w:tcPr>
          <w:p>
            <w:pPr>
              <w:spacing w:line="300" w:lineRule="auto" w:before="30" w:after="30"/>
              <w:jc w:val="left"/>
            </w:pPr>
            <w:r/>
            <w:r>
              <w:rPr>
                <w:rFonts w:ascii="Times New Roman" w:hAnsi="Times New Roman" w:eastAsia="宋体"/>
                <w:b w:val="0"/>
                <w:i w:val="0"/>
                <w:color w:val="000000"/>
                <w:sz w:val="19"/>
              </w:rPr>
              <w:t>过早拆分微服务导致联调与部署成本上升</w:t>
            </w:r>
          </w:p>
        </w:tc>
        <w:tc>
          <w:tcPr>
            <w:tcW w:type="dxa" w:w="3628"/>
            <w:vAlign w:val="center"/>
          </w:tcPr>
          <w:p>
            <w:pPr>
              <w:spacing w:line="300" w:lineRule="auto" w:before="30" w:after="30"/>
              <w:jc w:val="left"/>
            </w:pPr>
            <w:r/>
            <w:r>
              <w:rPr>
                <w:rFonts w:ascii="Times New Roman" w:hAnsi="Times New Roman" w:eastAsia="宋体"/>
                <w:b w:val="0"/>
                <w:i w:val="0"/>
                <w:color w:val="000000"/>
                <w:sz w:val="19"/>
              </w:rPr>
              <w:t>综合项目I与II保持单体模块化，按模块边界分包，项目III再拆分</w:t>
            </w:r>
          </w:p>
        </w:tc>
      </w:tr>
      <w:tr>
        <w:trPr>
          <w:cantSplit/>
        </w:trPr>
        <w:tc>
          <w:tcPr>
            <w:tcW w:type="dxa" w:w="1814"/>
            <w:shd w:val="clear" w:color="auto" w:fill="F2F6FA"/>
            <w:vAlign w:val="center"/>
          </w:tcPr>
          <w:p>
            <w:pPr>
              <w:spacing w:line="300" w:lineRule="auto" w:before="30" w:after="30"/>
              <w:jc w:val="left"/>
            </w:pPr>
            <w:r/>
            <w:r>
              <w:rPr>
                <w:rFonts w:ascii="Times New Roman" w:hAnsi="Times New Roman" w:eastAsia="宋体"/>
                <w:b w:val="0"/>
                <w:i w:val="0"/>
                <w:color w:val="000000"/>
                <w:sz w:val="19"/>
              </w:rPr>
              <w:t>账务数据不一致</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并发审批或重复提交导致重复放款、重复扣款</w:t>
            </w:r>
          </w:p>
        </w:tc>
        <w:tc>
          <w:tcPr>
            <w:tcW w:type="dxa" w:w="3628"/>
            <w:shd w:val="clear" w:color="auto" w:fill="F2F6FA"/>
            <w:vAlign w:val="center"/>
          </w:tcPr>
          <w:p>
            <w:pPr>
              <w:spacing w:line="300" w:lineRule="auto" w:before="30" w:after="30"/>
              <w:jc w:val="left"/>
            </w:pPr>
            <w:r/>
            <w:r>
              <w:rPr>
                <w:rFonts w:ascii="Times New Roman" w:hAnsi="Times New Roman" w:eastAsia="宋体"/>
                <w:b w:val="0"/>
                <w:i w:val="0"/>
                <w:color w:val="000000"/>
                <w:sz w:val="19"/>
              </w:rPr>
              <w:t>数据库事务与唯一约束结合幂等键，关键操作加分布式锁</w:t>
            </w:r>
          </w:p>
        </w:tc>
      </w:tr>
      <w:tr>
        <w:trPr>
          <w:cantSplit/>
        </w:trPr>
        <w:tc>
          <w:tcPr>
            <w:tcW w:type="dxa" w:w="1814"/>
            <w:vAlign w:val="center"/>
          </w:tcPr>
          <w:p>
            <w:pPr>
              <w:spacing w:line="300" w:lineRule="auto" w:before="30" w:after="30"/>
              <w:jc w:val="left"/>
            </w:pPr>
            <w:r/>
            <w:r>
              <w:rPr>
                <w:rFonts w:ascii="Times New Roman" w:hAnsi="Times New Roman" w:eastAsia="宋体"/>
                <w:b w:val="0"/>
                <w:i w:val="0"/>
                <w:color w:val="000000"/>
                <w:sz w:val="19"/>
              </w:rPr>
              <w:t>敏感数据与合规风险</w:t>
            </w:r>
          </w:p>
        </w:tc>
        <w:tc>
          <w:tcPr>
            <w:tcW w:type="dxa" w:w="2721"/>
            <w:vAlign w:val="center"/>
          </w:tcPr>
          <w:p>
            <w:pPr>
              <w:spacing w:line="300" w:lineRule="auto" w:before="30" w:after="30"/>
              <w:jc w:val="left"/>
            </w:pPr>
            <w:r/>
            <w:r>
              <w:rPr>
                <w:rFonts w:ascii="Times New Roman" w:hAnsi="Times New Roman" w:eastAsia="宋体"/>
                <w:b w:val="0"/>
                <w:i w:val="0"/>
                <w:color w:val="000000"/>
                <w:sz w:val="19"/>
              </w:rPr>
              <w:t>字段泄露、越权访问或日志记录敏感信息</w:t>
            </w:r>
          </w:p>
        </w:tc>
        <w:tc>
          <w:tcPr>
            <w:tcW w:type="dxa" w:w="3628"/>
            <w:vAlign w:val="center"/>
          </w:tcPr>
          <w:p>
            <w:pPr>
              <w:spacing w:line="300" w:lineRule="auto" w:before="30" w:after="30"/>
              <w:jc w:val="left"/>
            </w:pPr>
            <w:r/>
            <w:r>
              <w:rPr>
                <w:rFonts w:ascii="Times New Roman" w:hAnsi="Times New Roman" w:eastAsia="宋体"/>
                <w:b w:val="0"/>
                <w:i w:val="0"/>
                <w:color w:val="000000"/>
                <w:sz w:val="19"/>
              </w:rPr>
              <w:t>传输加密、字段级加密与脱敏、角色权限与数据权限、日志脱敏</w:t>
            </w:r>
          </w:p>
        </w:tc>
      </w:tr>
      <w:tr>
        <w:trPr>
          <w:cantSplit/>
        </w:trPr>
        <w:tc>
          <w:tcPr>
            <w:tcW w:type="dxa" w:w="1814"/>
            <w:shd w:val="clear" w:color="auto" w:fill="F2F6FA"/>
            <w:vAlign w:val="center"/>
          </w:tcPr>
          <w:p>
            <w:pPr>
              <w:spacing w:line="300" w:lineRule="auto" w:before="30" w:after="30"/>
              <w:jc w:val="left"/>
            </w:pPr>
            <w:r/>
            <w:r>
              <w:rPr>
                <w:rFonts w:ascii="Times New Roman" w:hAnsi="Times New Roman" w:eastAsia="宋体"/>
                <w:b w:val="0"/>
                <w:i w:val="0"/>
                <w:color w:val="000000"/>
                <w:sz w:val="19"/>
              </w:rPr>
              <w:t>组件版本与许可风险</w:t>
            </w:r>
          </w:p>
        </w:tc>
        <w:tc>
          <w:tcPr>
            <w:tcW w:type="dxa" w:w="2721"/>
            <w:shd w:val="clear" w:color="auto" w:fill="F2F6FA"/>
            <w:vAlign w:val="center"/>
          </w:tcPr>
          <w:p>
            <w:pPr>
              <w:spacing w:line="300" w:lineRule="auto" w:before="30" w:after="30"/>
              <w:jc w:val="left"/>
            </w:pPr>
            <w:r/>
            <w:r>
              <w:rPr>
                <w:rFonts w:ascii="Times New Roman" w:hAnsi="Times New Roman" w:eastAsia="宋体"/>
                <w:b w:val="0"/>
                <w:i w:val="0"/>
                <w:color w:val="000000"/>
                <w:sz w:val="19"/>
              </w:rPr>
              <w:t>框架版本不兼容，开源组件许可条款变化</w:t>
            </w:r>
          </w:p>
        </w:tc>
        <w:tc>
          <w:tcPr>
            <w:tcW w:type="dxa" w:w="3628"/>
            <w:shd w:val="clear" w:color="auto" w:fill="F2F6FA"/>
            <w:vAlign w:val="center"/>
          </w:tcPr>
          <w:p>
            <w:pPr>
              <w:spacing w:line="300" w:lineRule="auto" w:before="30" w:after="30"/>
              <w:jc w:val="left"/>
            </w:pPr>
            <w:r/>
            <w:r>
              <w:rPr>
                <w:rFonts w:ascii="Times New Roman" w:hAnsi="Times New Roman" w:eastAsia="宋体"/>
                <w:b w:val="0"/>
                <w:i w:val="0"/>
                <w:color w:val="000000"/>
                <w:sz w:val="19"/>
              </w:rPr>
              <w:t>统一版本基线并纳入持续集成检查，存储等组件抽象接口以便替换</w:t>
            </w:r>
          </w:p>
        </w:tc>
      </w:tr>
    </w:tbl>
    <w:p>
      <w:pPr>
        <w:spacing w:line="240" w:lineRule="auto" w:before="0" w:after="0"/>
        <w:rPr>
          <w:sz w:val="10"/>
          <w:szCs w:val="10"/>
        </w:rPr>
      </w:pPr>
    </w:p>
    <w:p>
      <w:pPr>
        <w:spacing w:line="360" w:lineRule="auto" w:before="40" w:after="0"/>
        <w:ind w:firstLine="480"/>
      </w:pPr>
      <w:r>
        <w:rPr>
          <w:rFonts w:ascii="Times New Roman" w:hAnsi="Times New Roman" w:eastAsia="宋体"/>
          <w:b w:val="0"/>
          <w:i w:val="0"/>
          <w:color w:val="000000"/>
          <w:sz w:val="24"/>
        </w:rPr>
        <w:t>上述风险在综合项目I阶段通过设计与契约管理控制，在综合项目II阶段通过最小可用版本验证，在综合项目III阶段通过监控与灰度机制持续观察。跨语言调用与数据一致性直接影响审批结果和资金安全，需要在详细设计阶段明确超时阈值、重试策略和幂等键。</w:t>
      </w:r>
    </w:p>
    <w:p>
      <w:pPr>
        <w:pStyle w:val="Heading1"/>
        <w:keepNext/>
        <w:spacing w:before="200" w:after="100" w:line="312" w:lineRule="auto"/>
      </w:pPr>
      <w:r>
        <w:rPr>
          <w:rFonts w:ascii="Times New Roman" w:hAnsi="Times New Roman" w:eastAsia="黑体"/>
          <w:b/>
          <w:i w:val="0"/>
          <w:color w:val="000000"/>
          <w:sz w:val="32"/>
        </w:rPr>
        <w:t>七、选型结论</w:t>
      </w:r>
    </w:p>
    <w:p>
      <w:pPr>
        <w:spacing w:line="360" w:lineRule="auto" w:before="0" w:after="0"/>
        <w:ind w:firstLine="480"/>
      </w:pPr>
      <w:r>
        <w:rPr>
          <w:rFonts w:ascii="Times New Roman" w:hAnsi="Times New Roman" w:eastAsia="宋体"/>
          <w:b w:val="0"/>
          <w:i w:val="0"/>
          <w:color w:val="000000"/>
          <w:sz w:val="24"/>
        </w:rPr>
        <w:t>按功能匹配、课程契合、生态成熟、学习成本和性能演进五项指标对六条候选路线加权评分后，Java 与 Spring Boot 路线以 4.64 分居首，确定为系统的后端主选方案。配套组件采用 MyBatis-Plus、MySQL 8.0、Redis、RabbitMQ、MinIO、Spring Security 与 JWT，风控模型以独立 Python 服务部署。</w:t>
      </w:r>
    </w:p>
    <w:p>
      <w:pPr>
        <w:spacing w:line="360" w:lineRule="auto" w:before="0" w:after="0"/>
        <w:ind w:firstLine="480"/>
      </w:pPr>
      <w:r>
        <w:rPr>
          <w:rFonts w:ascii="Times New Roman" w:hAnsi="Times New Roman" w:eastAsia="宋体"/>
          <w:b w:val="0"/>
          <w:i w:val="0"/>
          <w:color w:val="000000"/>
          <w:sz w:val="24"/>
        </w:rPr>
        <w:t>该方案与项目需求一致。成熟的事务管理、安全框架和消息组件覆盖了账务一致性、合规审计和通知提醒等要求；Spring、Spring MVC 与 MyBatis 的组合满足综合项目II基于 SSM 的后端开发要求，并可通过 Spring Cloud Alibaba 支撑综合项目III的微服务重构；模块化分包与契约先行的做法使三端可以并行开发，也为高并发部署保留了演进空间。本报告的结论作为概要设计与详细设计的技术基线，后续调整组件版本或引入新中间件时，应评估其对接口契约、数据模型和已实现模块的影响。</w:t>
      </w:r>
    </w:p>
    <w:sectPr w:rsidR="00FC693F" w:rsidRPr="0006063C" w:rsidSect="00034616">
      <w:footerReference w:type="default" r:id="rId9"/>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