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DFC0C" w14:textId="77777777" w:rsidR="005F4C5C" w:rsidRPr="00134390" w:rsidRDefault="005F4C5C" w:rsidP="005F4C5C">
      <w:pPr>
        <w:spacing w:after="156" w:line="240" w:lineRule="auto"/>
        <w:jc w:val="center"/>
        <w:rPr>
          <w:rFonts w:ascii="华文行楷" w:eastAsia="华文行楷" w:hAnsi="华文行楷" w:cs="Times New Roman" w:hint="eastAsia"/>
          <w:sz w:val="52"/>
          <w:szCs w:val="20"/>
          <w14:ligatures w14:val="none"/>
        </w:rPr>
      </w:pPr>
      <w:r w:rsidRPr="00134390">
        <w:rPr>
          <w:rFonts w:ascii="华文行楷" w:eastAsia="华文行楷" w:hAnsi="华文行楷" w:cs="Times New Roman" w:hint="eastAsia"/>
          <w:sz w:val="52"/>
          <w:szCs w:val="20"/>
          <w14:ligatures w14:val="none"/>
        </w:rPr>
        <w:t>电子科技大学</w:t>
      </w:r>
      <w:r w:rsidRPr="00134390">
        <w:rPr>
          <w:rFonts w:ascii="华文行楷" w:eastAsia="华文行楷" w:hAnsi="华文行楷" w:cs="Times New Roman" w:hint="eastAsia"/>
          <w:sz w:val="52"/>
          <w:szCs w:val="20"/>
          <w:u w:val="single"/>
          <w14:ligatures w14:val="none"/>
        </w:rPr>
        <w:t>信息与软件工程</w:t>
      </w:r>
      <w:r w:rsidRPr="00134390">
        <w:rPr>
          <w:rFonts w:ascii="华文行楷" w:eastAsia="华文行楷" w:hAnsi="华文行楷" w:cs="Times New Roman" w:hint="eastAsia"/>
          <w:sz w:val="52"/>
          <w:szCs w:val="20"/>
          <w14:ligatures w14:val="none"/>
        </w:rPr>
        <w:t>学院</w:t>
      </w:r>
    </w:p>
    <w:p w14:paraId="384B3FB0" w14:textId="77777777" w:rsidR="005F4C5C" w:rsidRPr="00134390" w:rsidRDefault="005F4C5C" w:rsidP="005F4C5C">
      <w:pPr>
        <w:spacing w:after="156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39D708EC" w14:textId="77777777" w:rsidR="005F4C5C" w:rsidRPr="00134390" w:rsidRDefault="005F4C5C" w:rsidP="005F4C5C">
      <w:pPr>
        <w:spacing w:after="156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097E123D" w14:textId="77777777" w:rsidR="005F4C5C" w:rsidRPr="00134390" w:rsidRDefault="005F4C5C" w:rsidP="005F4C5C">
      <w:pPr>
        <w:spacing w:after="156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448E7318" w14:textId="77777777" w:rsidR="005F4C5C" w:rsidRPr="00134390" w:rsidRDefault="005F4C5C" w:rsidP="005F4C5C">
      <w:pPr>
        <w:spacing w:after="156" w:line="240" w:lineRule="auto"/>
        <w:jc w:val="center"/>
        <w:rPr>
          <w:rFonts w:ascii="等线" w:eastAsia="楷体_GB2312" w:hAnsi="等线" w:cs="Times New Roman" w:hint="eastAsia"/>
          <w:b/>
          <w:sz w:val="72"/>
          <w:szCs w:val="20"/>
          <w14:ligatures w14:val="none"/>
        </w:rPr>
      </w:pPr>
      <w:r w:rsidRPr="00134390">
        <w:rPr>
          <w:rFonts w:ascii="等线" w:eastAsia="楷体_GB2312" w:hAnsi="等线" w:cs="Times New Roman" w:hint="eastAsia"/>
          <w:b/>
          <w:sz w:val="72"/>
          <w:szCs w:val="20"/>
          <w14:ligatures w14:val="none"/>
        </w:rPr>
        <w:t>软件工程大作业</w:t>
      </w:r>
    </w:p>
    <w:p w14:paraId="27E23DC1" w14:textId="7E322C85" w:rsidR="005F4C5C" w:rsidRPr="00134390" w:rsidRDefault="005F4C5C" w:rsidP="005F4C5C">
      <w:pPr>
        <w:spacing w:after="120" w:line="240" w:lineRule="auto"/>
        <w:ind w:leftChars="1800" w:left="3960" w:firstLineChars="200" w:firstLine="723"/>
        <w:jc w:val="both"/>
        <w:rPr>
          <w:rFonts w:ascii="等线" w:eastAsia="等线" w:hAnsi="等线" w:cs="Times New Roman" w:hint="eastAsia"/>
          <w:sz w:val="36"/>
          <w:szCs w:val="36"/>
          <w14:ligatures w14:val="none"/>
        </w:rPr>
      </w:pPr>
      <w:r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——</w:t>
      </w:r>
      <w:r w:rsidRPr="005F4C5C"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多数据源融合的互联网个人贷款风控系统</w:t>
      </w:r>
      <w:r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可行性分析</w:t>
      </w:r>
      <w:r w:rsidRPr="00134390"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文档</w:t>
      </w:r>
    </w:p>
    <w:p w14:paraId="2D67ED61" w14:textId="77777777" w:rsidR="005F4C5C" w:rsidRPr="00134390" w:rsidRDefault="005F4C5C" w:rsidP="005F4C5C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070A7B08" w14:textId="77777777" w:rsidR="005F4C5C" w:rsidRDefault="005F4C5C" w:rsidP="005F4C5C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381E9EC0" w14:textId="77777777" w:rsidR="005F4C5C" w:rsidRDefault="005F4C5C" w:rsidP="005F4C5C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09BCF21C" w14:textId="77777777" w:rsidR="005F4C5C" w:rsidRPr="00134390" w:rsidRDefault="005F4C5C" w:rsidP="005F4C5C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30A0E527" w14:textId="77777777" w:rsidR="005F4C5C" w:rsidRPr="00134390" w:rsidRDefault="005F4C5C" w:rsidP="005F4C5C">
      <w:pPr>
        <w:spacing w:after="0" w:line="240" w:lineRule="auto"/>
        <w:ind w:firstLineChars="100" w:firstLine="440"/>
        <w:jc w:val="both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2783DFDD" w14:textId="77777777" w:rsidR="005F4C5C" w:rsidRPr="00134390" w:rsidRDefault="005F4C5C" w:rsidP="005F4C5C">
      <w:pPr>
        <w:spacing w:after="120" w:line="240" w:lineRule="auto"/>
        <w:ind w:leftChars="200" w:left="44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92FDAD5" w14:textId="77777777" w:rsidR="005F4C5C" w:rsidRDefault="005F4C5C" w:rsidP="005F4C5C">
      <w:pPr>
        <w:spacing w:after="0" w:line="240" w:lineRule="auto"/>
        <w:ind w:left="1260" w:firstLine="420"/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</w:pPr>
      <w:r>
        <w:rPr>
          <w:rFonts w:ascii="黑体" w:eastAsia="黑体" w:hAnsi="黑体" w:cs="Times New Roman" w:hint="eastAsia"/>
          <w:sz w:val="36"/>
          <w:szCs w:val="36"/>
          <w14:ligatures w14:val="none"/>
        </w:rPr>
        <w:t>组</w:t>
      </w: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    号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</w:p>
    <w:p w14:paraId="0BEAE40A" w14:textId="77777777" w:rsidR="005F4C5C" w:rsidRPr="00134390" w:rsidRDefault="005F4C5C" w:rsidP="005F4C5C">
      <w:pPr>
        <w:spacing w:after="0" w:line="240" w:lineRule="auto"/>
        <w:ind w:left="1260" w:firstLine="42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项    目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</w:p>
    <w:p w14:paraId="4D3B121F" w14:textId="77777777" w:rsidR="005F4C5C" w:rsidRPr="00134390" w:rsidRDefault="005F4C5C" w:rsidP="005F4C5C">
      <w:pPr>
        <w:spacing w:after="0" w:line="240" w:lineRule="auto"/>
        <w:ind w:left="168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>
        <w:rPr>
          <w:rFonts w:ascii="黑体" w:eastAsia="黑体" w:hAnsi="黑体" w:cs="Times New Roman" w:hint="eastAsia"/>
          <w:sz w:val="36"/>
          <w:szCs w:val="36"/>
          <w14:ligatures w14:val="none"/>
        </w:rPr>
        <w:t>组    长</w:t>
      </w: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 </w:t>
      </w:r>
    </w:p>
    <w:p w14:paraId="6E331BD5" w14:textId="77777777" w:rsidR="005F4C5C" w:rsidRPr="00134390" w:rsidRDefault="005F4C5C" w:rsidP="005F4C5C">
      <w:pPr>
        <w:spacing w:after="0" w:line="240" w:lineRule="auto"/>
        <w:ind w:left="1260" w:firstLine="42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成    员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</w:p>
    <w:p w14:paraId="39BF9BC9" w14:textId="77777777" w:rsidR="005F4C5C" w:rsidRDefault="005F4C5C" w:rsidP="005F4C5C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6C84CF5" w14:textId="77777777" w:rsidR="005F4C5C" w:rsidRDefault="005F4C5C" w:rsidP="005F4C5C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D3D0BCD" w14:textId="77777777" w:rsidR="005F4C5C" w:rsidRDefault="005F4C5C" w:rsidP="005F4C5C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39FA852D" w14:textId="77777777" w:rsidR="005F4C5C" w:rsidRDefault="005F4C5C" w:rsidP="005F4C5C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AD3D0AF" w14:textId="77777777" w:rsidR="005F4C5C" w:rsidRPr="00134390" w:rsidRDefault="005F4C5C" w:rsidP="005F4C5C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AF9B267" w14:textId="77777777" w:rsidR="005F4C5C" w:rsidRPr="00134390" w:rsidRDefault="005F4C5C" w:rsidP="005F4C5C">
      <w:pPr>
        <w:spacing w:after="0" w:line="240" w:lineRule="auto"/>
        <w:ind w:left="3780" w:firstLine="42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>提交日期：</w:t>
      </w:r>
    </w:p>
    <w:p w14:paraId="283DD151" w14:textId="77777777" w:rsidR="005F4C5C" w:rsidRPr="00134390" w:rsidRDefault="005F4C5C" w:rsidP="005F4C5C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6693D73B" w14:textId="77777777" w:rsidR="005F4C5C" w:rsidRPr="00134390" w:rsidRDefault="005F4C5C" w:rsidP="005F4C5C">
      <w:pPr>
        <w:spacing w:after="0" w:line="240" w:lineRule="auto"/>
        <w:ind w:firstLine="1321"/>
        <w:jc w:val="both"/>
        <w:rPr>
          <w:rFonts w:ascii="等线" w:eastAsia="等线" w:hAnsi="等线" w:cs="Times New Roman" w:hint="eastAsia"/>
          <w:b/>
          <w:sz w:val="44"/>
          <w:szCs w:val="20"/>
          <w:u w:val="single"/>
          <w14:ligatures w14:val="none"/>
        </w:rPr>
      </w:pPr>
    </w:p>
    <w:tbl>
      <w:tblPr>
        <w:tblStyle w:val="ae"/>
        <w:tblW w:w="8758" w:type="dxa"/>
        <w:tblInd w:w="0" w:type="dxa"/>
        <w:tblLook w:val="04A0" w:firstRow="1" w:lastRow="0" w:firstColumn="1" w:lastColumn="0" w:noHBand="0" w:noVBand="1"/>
      </w:tblPr>
      <w:tblGrid>
        <w:gridCol w:w="2405"/>
        <w:gridCol w:w="1985"/>
        <w:gridCol w:w="4368"/>
      </w:tblGrid>
      <w:tr w:rsidR="005F4C5C" w:rsidRPr="00134390" w14:paraId="19423C7E" w14:textId="77777777" w:rsidTr="003B596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4E539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44"/>
              </w:rPr>
            </w:pPr>
            <w:r w:rsidRPr="00134390">
              <w:rPr>
                <w:rFonts w:ascii="等线" w:eastAsia="等线" w:hAnsi="等线" w:hint="eastAsia"/>
                <w:bCs/>
                <w:sz w:val="28"/>
                <w:szCs w:val="28"/>
              </w:rPr>
              <w:t>姓名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A009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44"/>
              </w:rPr>
            </w:pPr>
            <w:r w:rsidRPr="00134390">
              <w:rPr>
                <w:rFonts w:ascii="等线" w:eastAsia="等线" w:hAnsi="等线" w:hint="eastAsia"/>
                <w:bCs/>
                <w:sz w:val="28"/>
                <w:szCs w:val="28"/>
              </w:rPr>
              <w:t>比例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5B6C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/>
                <w:sz w:val="44"/>
                <w:u w:val="single"/>
              </w:rPr>
            </w:pPr>
            <w:r>
              <w:rPr>
                <w:rFonts w:ascii="等线" w:eastAsia="等线" w:hAnsi="等线" w:hint="eastAsia"/>
                <w:bCs/>
                <w:sz w:val="28"/>
                <w:szCs w:val="28"/>
              </w:rPr>
              <w:t>描述</w:t>
            </w:r>
          </w:p>
        </w:tc>
      </w:tr>
      <w:tr w:rsidR="005F4C5C" w:rsidRPr="00134390" w14:paraId="4032788B" w14:textId="77777777" w:rsidTr="003B596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763B9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81A8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CE83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</w:tr>
      <w:tr w:rsidR="005F4C5C" w:rsidRPr="00134390" w14:paraId="042F8253" w14:textId="77777777" w:rsidTr="003B596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3733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7D0A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B67B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</w:tr>
      <w:tr w:rsidR="005F4C5C" w:rsidRPr="00134390" w14:paraId="5C1F09FE" w14:textId="77777777" w:rsidTr="003B596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6460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6F86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2773" w14:textId="77777777" w:rsidR="005F4C5C" w:rsidRPr="00134390" w:rsidRDefault="005F4C5C" w:rsidP="003B5961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</w:tr>
    </w:tbl>
    <w:p w14:paraId="2DCF3D5A" w14:textId="77777777" w:rsidR="005F4C5C" w:rsidRPr="00134390" w:rsidRDefault="005F4C5C" w:rsidP="005F4C5C">
      <w:pPr>
        <w:spacing w:after="0" w:line="240" w:lineRule="auto"/>
        <w:ind w:firstLine="1321"/>
        <w:jc w:val="both"/>
        <w:rPr>
          <w:rFonts w:ascii="等线" w:eastAsia="等线" w:hAnsi="等线" w:cs="Times New Roman" w:hint="eastAsia"/>
          <w:b/>
          <w:sz w:val="44"/>
          <w:szCs w:val="20"/>
          <w:u w:val="single"/>
          <w14:ligatures w14:val="none"/>
        </w:rPr>
      </w:pPr>
    </w:p>
    <w:p w14:paraId="76336477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6486B436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3A3B5A45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1523804F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65CAD2AA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02B00578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4E9B1E22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3C8EFDC7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311C3486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02E9388D" w14:textId="77777777" w:rsidR="005F4C5C" w:rsidRDefault="005F4C5C">
      <w:pPr>
        <w:jc w:val="center"/>
        <w:rPr>
          <w:rFonts w:ascii="黑体" w:eastAsia="黑体" w:hAnsi="黑体" w:hint="eastAsia"/>
          <w:b/>
          <w:sz w:val="36"/>
        </w:rPr>
      </w:pPr>
    </w:p>
    <w:p w14:paraId="7D28B7CD" w14:textId="77777777" w:rsidR="005F4C5C" w:rsidRDefault="005F4C5C" w:rsidP="005F4C5C">
      <w:pPr>
        <w:rPr>
          <w:rFonts w:ascii="黑体" w:eastAsia="黑体" w:hAnsi="黑体" w:hint="eastAsia"/>
          <w:b/>
          <w:sz w:val="36"/>
        </w:rPr>
      </w:pPr>
    </w:p>
    <w:p w14:paraId="4D47C9C1" w14:textId="1E203986" w:rsidR="00164CC6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t>多数据源融合的互联网个人贷款风控系统可行性分析报告</w:t>
      </w:r>
    </w:p>
    <w:p w14:paraId="5613C6E8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t>摘 要</w:t>
      </w:r>
    </w:p>
    <w:p w14:paraId="4FC28B4C" w14:textId="0BAE5D24" w:rsidR="00164CC6" w:rsidRDefault="00000000">
      <w:pPr>
        <w:spacing w:after="0" w:line="360" w:lineRule="auto"/>
        <w:ind w:firstLine="440"/>
        <w:rPr>
          <w:rFonts w:hint="eastAsia"/>
        </w:rPr>
      </w:pPr>
      <w:r>
        <w:t>随着互联网金融业务从线下柜台向移动端、网页端迁移，个人贷款的申请、审批、放款和贷后管理正在呈现高频、线上化、自动化的特点。传统以人工审查为主的风控方式在效率、成本、数据覆盖范围和贷中预警能力方面存在局限，难以满足小额、高并发、实时化的个人信贷业务需求。本报告以“多数据源融合的互联网个人贷款风控系统”为对象，围绕系统建设目标、数据来源、业务流程、技术路线、开发组织、经济效益、合规安全和实施风险等方面进行可行性分析。</w:t>
      </w:r>
    </w:p>
    <w:p w14:paraId="7566B45A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分析认为，依托移动端授权采集、用户主动填报、内部业务数据、第三方征信/公开数据等多类数据源，并结合评分卡模型、坏账预测模型、规则引擎、权限控制和数据防篡改机制，可以构建覆盖贷前准入、贷中监测、贷后提醒的个人贷款风险控制闭环。项目在技术实现、团队开发、业务推广和教学实践层面均具有较高可行性，但必须重视数据合法授权、个人信息最小必要采集、模型可解释性、数据质量治理和系统安全防护等关键约束。</w:t>
      </w:r>
    </w:p>
    <w:p w14:paraId="0021E76C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关键词：互联网个人贷款；多数据源融合；风险控制；评分卡模型；可行性分析</w:t>
      </w:r>
    </w:p>
    <w:p w14:paraId="2FB7BE20" w14:textId="77777777" w:rsidR="00164CC6" w:rsidRDefault="00000000">
      <w:pPr>
        <w:rPr>
          <w:rFonts w:hint="eastAsia"/>
        </w:rPr>
      </w:pPr>
      <w:r>
        <w:br w:type="page"/>
      </w:r>
    </w:p>
    <w:p w14:paraId="3705ABB1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lastRenderedPageBreak/>
        <w:t>目 录</w:t>
      </w:r>
    </w:p>
    <w:p w14:paraId="6F9873E6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一、项目概述</w:t>
      </w:r>
    </w:p>
    <w:p w14:paraId="46A32D26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二、建设背景与必要性</w:t>
      </w:r>
    </w:p>
    <w:p w14:paraId="7D07E889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三、系统需求与建设目标</w:t>
      </w:r>
    </w:p>
    <w:p w14:paraId="3370D8E4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四、多数据源融合方案</w:t>
      </w:r>
    </w:p>
    <w:p w14:paraId="0B3D65E4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五、实施方案构想</w:t>
      </w:r>
    </w:p>
    <w:p w14:paraId="4D7AA51C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六、可行性分析</w:t>
      </w:r>
    </w:p>
    <w:p w14:paraId="751CEF5F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七、主要风险与应对措施</w:t>
      </w:r>
    </w:p>
    <w:p w14:paraId="7218054C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八、实施计划与资源估算</w:t>
      </w:r>
    </w:p>
    <w:p w14:paraId="1E902322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九、结论</w:t>
      </w:r>
    </w:p>
    <w:p w14:paraId="1AA07FD5" w14:textId="77777777" w:rsidR="00164CC6" w:rsidRDefault="00000000">
      <w:pPr>
        <w:rPr>
          <w:rFonts w:hint="eastAsia"/>
        </w:rPr>
      </w:pPr>
      <w:r>
        <w:br w:type="page"/>
      </w:r>
    </w:p>
    <w:p w14:paraId="1A54D5DD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lastRenderedPageBreak/>
        <w:t>一、项目概述</w:t>
      </w:r>
    </w:p>
    <w:p w14:paraId="439D3DB3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本项目拟设计并实现一个面向互联网个人贷款业务的风控系统。系统服务对象主要包括个人贷款用户、银行或金融机构业务人员、风控审核人员以及系统管理员。个人用户通过移动端完成注册登录、实名认证、贷款申请、资料补充、合同确认、还款查询和还款提醒；银行与管理员通过 Web 管理端完成贷款产品维护、申请审批、风险监控、催收提醒、数据看板和模型阈值配置。</w:t>
      </w:r>
    </w:p>
    <w:p w14:paraId="0254E1A2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系统的核心目标不是简单完成借还款流程，而是在贷款业务全周期中引入多数据源融合和智能风控能力：贷前阶段对申请人基础信息、财务能力、信用记录、设备与行为特征等进行综合评估；贷中阶段持续监测还款行为、登录行为、联系方式变更、位置/IP 异常等风险信号；贷后阶段根据逾期风险等级触发通知提醒、人工复核和催收辅助。通过数据、模型和业务规则协同，系统力求提升审批效率、降低坏账概率，并保证业务过程具备可追溯、可解释和可管理的工程特征。</w:t>
      </w:r>
    </w:p>
    <w:p w14:paraId="0D60C305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t>二、建设背景与必要性</w:t>
      </w:r>
    </w:p>
    <w:p w14:paraId="54264F04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互联网消费场景的发展使个人信贷需求呈现“小额、短期、高频、即时”的趋势。用户希望贷款申请能够在线完成、快速审批、灵活还款；金融机构则需要在用户体验与风险控制之间取得平衡。如果继续依赖传统人工审核，容易出现审批周期长、数据维度有限、贷中监控薄弱、审核标准不稳定等问题。</w:t>
      </w:r>
    </w:p>
    <w:p w14:paraId="5CB21FC6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从课程目标看，互联网加金融方向综合项目强调金融业务理解、软件工程开发、数据库、网络通信、人工智能和风险控制等知识的综合运用。个人贷款风控系统正好具有跨学科、系统性、连续性和工程复杂性：它既需要理解信贷业务规则和监管要求，也需要解决数据采集、模型建模、系统安全、三端协同和业务流程自动化等软件工程问题。因此，围绕该项目开展可行性分析具有明确的教学价值和实践价值。</w:t>
      </w:r>
    </w:p>
    <w:p w14:paraId="3879C82C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从行业应用看，个人信贷风控的竞争焦点已经从单一信用评分转向“数据覆盖更广、响应速度更快、风险解释更清楚、合规边界更明确”的综合能力。多数据源融合能够补足单一数据源的片面性，提高对用户偿债能力、还款意愿和异常行为的识别能力，是互联网个人贷款系统提升风控质量的重要路径。</w:t>
      </w:r>
    </w:p>
    <w:p w14:paraId="33010046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lastRenderedPageBreak/>
        <w:t>三、系统需求与建设目标</w:t>
      </w:r>
    </w:p>
    <w:p w14:paraId="4874516D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3.1 功能需求</w:t>
      </w:r>
    </w:p>
    <w:p w14:paraId="31648DD4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根据资料中对同类系统的描述，本系统的功能需求可概括为六类：信息获取、借贷还款、风险评估、通知提醒、系统管理和辅助服务。信息获取负责采集用户主动填写的信息和授权数据；借贷还款负责完成申请、审批、放款、账单查询和还款操作；风险评估负责生成贷前信用评分和贷中风险预警；通知提醒负责面向用户发送还款提醒，面向业务人员发送高风险提醒；系统管理负责贷款产品、用户信息、申请记录、阈值参数和数据看板；辅助服务包括注册登录、权限管理、智能客服、邮件通知和日志审计等。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07"/>
        <w:gridCol w:w="2907"/>
        <w:gridCol w:w="2907"/>
      </w:tblGrid>
      <w:tr w:rsidR="00164CC6" w14:paraId="27EAC8ED" w14:textId="77777777">
        <w:trPr>
          <w:jc w:val="center"/>
        </w:trPr>
        <w:tc>
          <w:tcPr>
            <w:tcW w:w="2910" w:type="dxa"/>
          </w:tcPr>
          <w:p w14:paraId="79A1BF93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2910" w:type="dxa"/>
          </w:tcPr>
          <w:p w14:paraId="4D3F6822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w="2910" w:type="dxa"/>
          </w:tcPr>
          <w:p w14:paraId="148AB267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可行性关注点</w:t>
            </w:r>
          </w:p>
        </w:tc>
      </w:tr>
      <w:tr w:rsidR="00164CC6" w14:paraId="57492219" w14:textId="77777777">
        <w:trPr>
          <w:jc w:val="center"/>
        </w:trPr>
        <w:tc>
          <w:tcPr>
            <w:tcW w:w="2910" w:type="dxa"/>
          </w:tcPr>
          <w:p w14:paraId="752AE5B7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信息获取</w:t>
            </w:r>
          </w:p>
        </w:tc>
        <w:tc>
          <w:tcPr>
            <w:tcW w:w="2910" w:type="dxa"/>
          </w:tcPr>
          <w:p w14:paraId="09BB9179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用户填报、实名认证、授权采集、业务数据导入</w:t>
            </w:r>
          </w:p>
        </w:tc>
        <w:tc>
          <w:tcPr>
            <w:tcW w:w="2910" w:type="dxa"/>
          </w:tcPr>
          <w:p w14:paraId="7BC88953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授权边界、字段质量、数据更新机制</w:t>
            </w:r>
          </w:p>
        </w:tc>
      </w:tr>
      <w:tr w:rsidR="00164CC6" w14:paraId="1790E591" w14:textId="77777777">
        <w:trPr>
          <w:jc w:val="center"/>
        </w:trPr>
        <w:tc>
          <w:tcPr>
            <w:tcW w:w="2910" w:type="dxa"/>
          </w:tcPr>
          <w:p w14:paraId="2BADF71E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借贷还款</w:t>
            </w:r>
          </w:p>
        </w:tc>
        <w:tc>
          <w:tcPr>
            <w:tcW w:w="2910" w:type="dxa"/>
          </w:tcPr>
          <w:p w14:paraId="4BEE122A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贷款申请、审批结果、还款计划、提前还款、逾期记录</w:t>
            </w:r>
          </w:p>
        </w:tc>
        <w:tc>
          <w:tcPr>
            <w:tcW w:w="2910" w:type="dxa"/>
          </w:tcPr>
          <w:p w14:paraId="073BAE0D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流程一致性、交易准确性、异常回滚</w:t>
            </w:r>
          </w:p>
        </w:tc>
      </w:tr>
      <w:tr w:rsidR="00164CC6" w14:paraId="4A99C275" w14:textId="77777777">
        <w:trPr>
          <w:jc w:val="center"/>
        </w:trPr>
        <w:tc>
          <w:tcPr>
            <w:tcW w:w="2910" w:type="dxa"/>
          </w:tcPr>
          <w:p w14:paraId="2CC3B209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风险评估</w:t>
            </w:r>
          </w:p>
        </w:tc>
        <w:tc>
          <w:tcPr>
            <w:tcW w:w="2910" w:type="dxa"/>
          </w:tcPr>
          <w:p w14:paraId="6A91CC3F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评分卡、坏账预测、风险等级、人工复核建议</w:t>
            </w:r>
          </w:p>
        </w:tc>
        <w:tc>
          <w:tcPr>
            <w:tcW w:w="2910" w:type="dxa"/>
          </w:tcPr>
          <w:p w14:paraId="765589F0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模型可解释性、样本质量、阈值配置</w:t>
            </w:r>
          </w:p>
        </w:tc>
      </w:tr>
      <w:tr w:rsidR="00164CC6" w14:paraId="1A077D3B" w14:textId="77777777">
        <w:trPr>
          <w:jc w:val="center"/>
        </w:trPr>
        <w:tc>
          <w:tcPr>
            <w:tcW w:w="2910" w:type="dxa"/>
          </w:tcPr>
          <w:p w14:paraId="07C5EF87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通知提醒</w:t>
            </w:r>
          </w:p>
        </w:tc>
        <w:tc>
          <w:tcPr>
            <w:tcW w:w="2910" w:type="dxa"/>
          </w:tcPr>
          <w:p w14:paraId="4F82CC88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还款提醒、逾期提醒、风险邮件、站内/APP 推送</w:t>
            </w:r>
          </w:p>
        </w:tc>
        <w:tc>
          <w:tcPr>
            <w:tcW w:w="2910" w:type="dxa"/>
          </w:tcPr>
          <w:p w14:paraId="67ED69FA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触达率、频率控制、误触发控制</w:t>
            </w:r>
          </w:p>
        </w:tc>
      </w:tr>
      <w:tr w:rsidR="00164CC6" w14:paraId="5FD754F0" w14:textId="77777777">
        <w:trPr>
          <w:jc w:val="center"/>
        </w:trPr>
        <w:tc>
          <w:tcPr>
            <w:tcW w:w="2910" w:type="dxa"/>
          </w:tcPr>
          <w:p w14:paraId="2C5BF902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系统管理</w:t>
            </w:r>
          </w:p>
        </w:tc>
        <w:tc>
          <w:tcPr>
            <w:tcW w:w="2910" w:type="dxa"/>
          </w:tcPr>
          <w:p w14:paraId="5F6C7A85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产品管理、用户管理、申请审核、数据大屏、参数设置</w:t>
            </w:r>
          </w:p>
        </w:tc>
        <w:tc>
          <w:tcPr>
            <w:tcW w:w="2910" w:type="dxa"/>
          </w:tcPr>
          <w:p w14:paraId="5FA53461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权限隔离、审计追踪、运维便利性</w:t>
            </w:r>
          </w:p>
        </w:tc>
      </w:tr>
      <w:tr w:rsidR="00164CC6" w14:paraId="136A054B" w14:textId="77777777">
        <w:trPr>
          <w:jc w:val="center"/>
        </w:trPr>
        <w:tc>
          <w:tcPr>
            <w:tcW w:w="2910" w:type="dxa"/>
          </w:tcPr>
          <w:p w14:paraId="62E26403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辅助服务</w:t>
            </w:r>
          </w:p>
        </w:tc>
        <w:tc>
          <w:tcPr>
            <w:tcW w:w="2910" w:type="dxa"/>
          </w:tcPr>
          <w:p w14:paraId="2223A55A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登录注册、客服问答、日志、接口监控</w:t>
            </w:r>
          </w:p>
        </w:tc>
        <w:tc>
          <w:tcPr>
            <w:tcW w:w="2910" w:type="dxa"/>
          </w:tcPr>
          <w:p w14:paraId="4C8B3481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安全性、可用性、扩展性</w:t>
            </w:r>
          </w:p>
        </w:tc>
      </w:tr>
    </w:tbl>
    <w:p w14:paraId="6559CC36" w14:textId="77777777" w:rsidR="00164CC6" w:rsidRDefault="00164CC6">
      <w:pPr>
        <w:rPr>
          <w:rFonts w:hint="eastAsia"/>
        </w:rPr>
      </w:pPr>
    </w:p>
    <w:p w14:paraId="40FC15C6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3.2 质量需求</w:t>
      </w:r>
    </w:p>
    <w:p w14:paraId="21DC24D3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系统应满足正确性、兼容性、性能、安全性、可靠性、可扩展性和可操作性要求。参考资料中的质量目标，系统应保证核心业务流程完整可用，移动端和 Web 端交互清晰；正常网络下查询类接口响应应保持在较短时间内，异常网络或服务异常时应返回明确提示；系统应支持多用户并发访问，并通过模块化架构预留对接不同数据源、数据库和模型服务的接口。</w:t>
      </w:r>
    </w:p>
    <w:p w14:paraId="157D689B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在金融场景中，质量需求的优先级应高于一般业务系统。原因在于，贷款审批结果会直接影响用户权益和机构资产安全，任何数据错判、权限泄露、交易错误或日志缺失都可</w:t>
      </w:r>
      <w:r>
        <w:lastRenderedPageBreak/>
        <w:t>能扩大为合规和经营风险。因此，系统建设必须把稳定性、安全性和可追溯性作为基础约束。</w:t>
      </w:r>
    </w:p>
    <w:p w14:paraId="0722AD65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t>四、多数据源融合方案</w:t>
      </w:r>
    </w:p>
    <w:p w14:paraId="5862C02D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多数据源融合是本项目的核心工程问题。系统可接入的数据主要分为用户主动填报数据、移动端授权采集数据、金融机构内部业务数据、第三方或公开信用数据、贷后行为数据五类。不同数据源在真实性、实时性、覆盖范围和合规要求上存在差异，需要通过统一的数据治理流程进行采集、清洗、标准化、融合建模和质量监控。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81"/>
        <w:gridCol w:w="2180"/>
        <w:gridCol w:w="2180"/>
        <w:gridCol w:w="2180"/>
      </w:tblGrid>
      <w:tr w:rsidR="00164CC6" w14:paraId="564307B9" w14:textId="77777777">
        <w:trPr>
          <w:jc w:val="center"/>
        </w:trPr>
        <w:tc>
          <w:tcPr>
            <w:tcW w:w="2183" w:type="dxa"/>
          </w:tcPr>
          <w:p w14:paraId="5F7358EF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数据源类别</w:t>
            </w:r>
          </w:p>
        </w:tc>
        <w:tc>
          <w:tcPr>
            <w:tcW w:w="2183" w:type="dxa"/>
          </w:tcPr>
          <w:p w14:paraId="6727B9D0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示例字段</w:t>
            </w:r>
          </w:p>
        </w:tc>
        <w:tc>
          <w:tcPr>
            <w:tcW w:w="2183" w:type="dxa"/>
          </w:tcPr>
          <w:p w14:paraId="7A105D77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业务价值</w:t>
            </w:r>
          </w:p>
        </w:tc>
        <w:tc>
          <w:tcPr>
            <w:tcW w:w="2183" w:type="dxa"/>
          </w:tcPr>
          <w:p w14:paraId="60DE9690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处理方式</w:t>
            </w:r>
          </w:p>
        </w:tc>
      </w:tr>
      <w:tr w:rsidR="00164CC6" w14:paraId="5B3F66AE" w14:textId="77777777">
        <w:trPr>
          <w:jc w:val="center"/>
        </w:trPr>
        <w:tc>
          <w:tcPr>
            <w:tcW w:w="2183" w:type="dxa"/>
          </w:tcPr>
          <w:p w14:paraId="648C363F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用户主动填报</w:t>
            </w:r>
          </w:p>
        </w:tc>
        <w:tc>
          <w:tcPr>
            <w:tcW w:w="2183" w:type="dxa"/>
          </w:tcPr>
          <w:p w14:paraId="7209FA42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身份信息、学历、职业、收入、住房、联系人</w:t>
            </w:r>
          </w:p>
        </w:tc>
        <w:tc>
          <w:tcPr>
            <w:tcW w:w="2183" w:type="dxa"/>
          </w:tcPr>
          <w:p w14:paraId="03D29AFC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形成贷前基础画像，判断偿债能力</w:t>
            </w:r>
          </w:p>
        </w:tc>
        <w:tc>
          <w:tcPr>
            <w:tcW w:w="2183" w:type="dxa"/>
          </w:tcPr>
          <w:p w14:paraId="41906354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表单校验、实名核验、缺失值处理</w:t>
            </w:r>
          </w:p>
        </w:tc>
      </w:tr>
      <w:tr w:rsidR="00164CC6" w14:paraId="36371E3E" w14:textId="77777777">
        <w:trPr>
          <w:jc w:val="center"/>
        </w:trPr>
        <w:tc>
          <w:tcPr>
            <w:tcW w:w="2183" w:type="dxa"/>
          </w:tcPr>
          <w:p w14:paraId="2A5300E5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移动端授权采集</w:t>
            </w:r>
          </w:p>
        </w:tc>
        <w:tc>
          <w:tcPr>
            <w:tcW w:w="2183" w:type="dxa"/>
          </w:tcPr>
          <w:p w14:paraId="4D56294E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设备信息、IP、定位、APP 使用概况、登录行为</w:t>
            </w:r>
          </w:p>
        </w:tc>
        <w:tc>
          <w:tcPr>
            <w:tcW w:w="2183" w:type="dxa"/>
          </w:tcPr>
          <w:p w14:paraId="7D7B868D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识别设备异常、地域异常和行为稳定性</w:t>
            </w:r>
          </w:p>
        </w:tc>
        <w:tc>
          <w:tcPr>
            <w:tcW w:w="2183" w:type="dxa"/>
          </w:tcPr>
          <w:p w14:paraId="06E5BAAC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用户授权、最小必要采集、脱敏存储</w:t>
            </w:r>
          </w:p>
        </w:tc>
      </w:tr>
      <w:tr w:rsidR="00164CC6" w14:paraId="020CDED0" w14:textId="77777777">
        <w:trPr>
          <w:jc w:val="center"/>
        </w:trPr>
        <w:tc>
          <w:tcPr>
            <w:tcW w:w="2183" w:type="dxa"/>
          </w:tcPr>
          <w:p w14:paraId="7B900E7B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内部业务数据</w:t>
            </w:r>
          </w:p>
        </w:tc>
        <w:tc>
          <w:tcPr>
            <w:tcW w:w="2183" w:type="dxa"/>
          </w:tcPr>
          <w:p w14:paraId="60887C58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历史申请、还款记录、逾期记录、交易流水</w:t>
            </w:r>
          </w:p>
        </w:tc>
        <w:tc>
          <w:tcPr>
            <w:tcW w:w="2183" w:type="dxa"/>
          </w:tcPr>
          <w:p w14:paraId="6F1718F4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刻画还款意愿和履约能力</w:t>
            </w:r>
          </w:p>
        </w:tc>
        <w:tc>
          <w:tcPr>
            <w:tcW w:w="2183" w:type="dxa"/>
          </w:tcPr>
          <w:p w14:paraId="64253270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统一主键、时间窗口特征、异常值清洗</w:t>
            </w:r>
          </w:p>
        </w:tc>
      </w:tr>
      <w:tr w:rsidR="00164CC6" w14:paraId="341333BE" w14:textId="77777777">
        <w:trPr>
          <w:jc w:val="center"/>
        </w:trPr>
        <w:tc>
          <w:tcPr>
            <w:tcW w:w="2183" w:type="dxa"/>
          </w:tcPr>
          <w:p w14:paraId="42CC8929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第三方/公开数据</w:t>
            </w:r>
          </w:p>
        </w:tc>
        <w:tc>
          <w:tcPr>
            <w:tcW w:w="2183" w:type="dxa"/>
          </w:tcPr>
          <w:p w14:paraId="3BB6BB32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征信摘要、司法风险、公开黑名单、行业数据集</w:t>
            </w:r>
          </w:p>
        </w:tc>
        <w:tc>
          <w:tcPr>
            <w:tcW w:w="2183" w:type="dxa"/>
          </w:tcPr>
          <w:p w14:paraId="6C383AB6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弥补冷启动样本不足，提高风险识别覆盖面</w:t>
            </w:r>
          </w:p>
        </w:tc>
        <w:tc>
          <w:tcPr>
            <w:tcW w:w="2183" w:type="dxa"/>
          </w:tcPr>
          <w:p w14:paraId="4431583F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接口对接、可信度评级、来源留痕</w:t>
            </w:r>
          </w:p>
        </w:tc>
      </w:tr>
      <w:tr w:rsidR="00164CC6" w14:paraId="3CB90DEA" w14:textId="77777777">
        <w:trPr>
          <w:jc w:val="center"/>
        </w:trPr>
        <w:tc>
          <w:tcPr>
            <w:tcW w:w="2183" w:type="dxa"/>
          </w:tcPr>
          <w:p w14:paraId="5FB4C51B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贷后行为数据</w:t>
            </w:r>
          </w:p>
        </w:tc>
        <w:tc>
          <w:tcPr>
            <w:tcW w:w="2183" w:type="dxa"/>
          </w:tcPr>
          <w:p w14:paraId="34FA88C8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还款提醒响应、账单查看、联系方式变更、逾期天数</w:t>
            </w:r>
          </w:p>
        </w:tc>
        <w:tc>
          <w:tcPr>
            <w:tcW w:w="2183" w:type="dxa"/>
          </w:tcPr>
          <w:p w14:paraId="0A5E30AF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支撑贷中预警和贷后催收策略</w:t>
            </w:r>
          </w:p>
        </w:tc>
        <w:tc>
          <w:tcPr>
            <w:tcW w:w="2183" w:type="dxa"/>
          </w:tcPr>
          <w:p w14:paraId="5A7E5CC0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流式更新、风险规则触发、分层预警</w:t>
            </w:r>
          </w:p>
        </w:tc>
      </w:tr>
    </w:tbl>
    <w:p w14:paraId="22578D85" w14:textId="77777777" w:rsidR="00164CC6" w:rsidRDefault="00164CC6">
      <w:pPr>
        <w:rPr>
          <w:rFonts w:hint="eastAsia"/>
        </w:rPr>
      </w:pPr>
    </w:p>
    <w:p w14:paraId="13DCF40C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在融合策略上，系统不宜简单堆叠字段，而应建立“统一用户标识、统一字段标准、统一质量评分、统一特征仓库”的数据底座。对于不同来源的同类字段，可按可信度、更新时间和业务场景设置优先级；对于冲突数据，应进入人工复核或二次验证流程；对于敏感信息，应在采集端提示用途、在传输端加密、在存储端脱敏，并在访问端实施权限控制。</w:t>
      </w:r>
    </w:p>
    <w:p w14:paraId="1E8B23D6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lastRenderedPageBreak/>
        <w:t>五、实施方案构想</w:t>
      </w:r>
    </w:p>
    <w:p w14:paraId="5AEA9A6A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5.1 信息采集与数据治理</w:t>
      </w:r>
    </w:p>
    <w:p w14:paraId="7532ADE5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系统初期可能面临数据冷启动、样本不足和数据质量不稳定问题。可采用公开数据集预训练、历史业务数据导入、规则模型先行、迁移学习或专家经验补充等方式建立初始风控能力。随着业务运行，系统逐步积累真实申请、审批、还款和逾期样本，再对模型进行迭代训练。</w:t>
      </w:r>
    </w:p>
    <w:p w14:paraId="34461EC8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数据治理流程包括字段定义、采集授权、数据校验、清洗去重、缺失值处理、异常值识别、特征加工、版本管理和质量监控。对于收入、职业、学历、住房等结构化字段，可通过枚举值和范围校验控制质量；对于定位、设备、登录行为等动态数据，应以时间窗口生成稳定特征，避免单次异常导致误判。</w:t>
      </w:r>
    </w:p>
    <w:p w14:paraId="0117AA6A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5.2 风控建模方案</w:t>
      </w:r>
    </w:p>
    <w:p w14:paraId="03F14A20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贷前风险评估建议以评分卡模型为基础，辅以逻辑回归、决策树或集成模型进行对比验证。评分卡模型具有变量含义清楚、分数解释直观、便于阈值管理和人工复核的优点，适合教学项目和金融业务初期落地。对于风险识别精度要求更高的环节，可在保留评分卡解释能力的前提下，引入 XGBoost、随机森林等模型作为辅助预测模型，并通过特征重要性、分箱分析和模型监控增强可解释性。</w:t>
      </w:r>
    </w:p>
    <w:p w14:paraId="5AB56825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贷中风险预警可采用“模型评分 + 规则引擎”的组合方式。模型负责计算用户风险变化趋势，规则引擎负责处理明确的业务规则，例如连续逾期、联系方式频繁变更、登录地点异常、还款日前长期不活跃、同设备多账号申请等。对于高风险用户，系统自动生成风险提醒；对于中风险用户，系统建议人工复核；对于低风险用户，系统保持常规提醒即可。</w:t>
      </w:r>
    </w:p>
    <w:p w14:paraId="7C693374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5.3 系统架构方案</w:t>
      </w:r>
    </w:p>
    <w:p w14:paraId="6AE7EC30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系统宜采用前后端分离架构。Web 管理端可使用 Vue 及组件库构建；移动端可使用 UniApp 或原生 Android 实现；后端可采用 Spring Boot、Ktor 或同类服务框架提供 RESTful API；数据库可采用 MySQL 存储核心业务数据，Redis 处理缓存和验证码等短生命周期数据，文件或对象存储保存合同、附件和模型文件。模型服务可以作为独立模块部署，便于后续替换算法或扩展模型。</w:t>
      </w:r>
    </w:p>
    <w:p w14:paraId="5E5CE1CD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lastRenderedPageBreak/>
        <w:t>系统主要模块包括用户中心、贷款产品中心、申请审批中心、风控模型中心、数据融合中心、通知中心、后台管理中心、日志审计中心和权限安全中心。模块之间通过清晰接口通信，既便于多人协作开发，也便于后续测试和运维。</w:t>
      </w:r>
    </w:p>
    <w:p w14:paraId="2C4F52C3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5.4 安全与审计方案</w:t>
      </w:r>
    </w:p>
    <w:p w14:paraId="7A26BBC8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系统安全方案应覆盖身份认证、权限控制、数据加密、接口防护、日志审计和数据防篡改。用户登录可采用密码、验证码、Token 和权限校验组合；管理员端应按角色区分产品管理员、审核员、催收人员和系统管理员权限；敏感字段在数据库中应加密或脱敏；关键操作如审批、放款、阈值调整、模型发布、邮件催收应记录操作人、时间、IP、变更前后内容和审批依据。</w:t>
      </w:r>
    </w:p>
    <w:p w14:paraId="3AFEE9A8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对于贷款申请、审批记录和还款记录等核心数据，可参考资料中提到的数据指纹思想，为关键字段生成哈希摘要，用于验证数据是否被篡改。该方案不必在课程项目中实现完整区块链，但可以通过哈希链、签名摘要和审计日志实现轻量级防篡改能力。</w:t>
      </w:r>
    </w:p>
    <w:p w14:paraId="6056B190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t>六、可行性分析</w:t>
      </w:r>
    </w:p>
    <w:p w14:paraId="78E6D1DA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6.1 技术可行性</w:t>
      </w:r>
    </w:p>
    <w:p w14:paraId="4A0D91A7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本项目技术路线成熟，具有较强可实现性。前后端分离、移动端开发、关系型数据库、接口调用、权限认证、邮件/消息提醒、数据看板等能力均属于当前软件工程项目的常规技术范畴，相关框架生态完善，学习资料丰富。Vue、UniApp、Spring Boot 或 Ktor、MySQL 等技术组合能够支撑系统的基本业务流程和多端协同。</w:t>
      </w:r>
    </w:p>
    <w:p w14:paraId="05999E72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风控建模方面，评分卡、逻辑回归、决策树等模型具有成熟理论基础，样本需求相对可控，结果可解释性较强，适合作为系统初期的主模型。对于课程项目而言，即使真实金融数据有限，也可以通过公开信贷数据集、模拟业务数据和专家规则构建原型系统，并完成从数据处理、模型训练、评分输出到审批决策的闭环验证。</w:t>
      </w:r>
    </w:p>
    <w:p w14:paraId="716028AB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多数据源融合方面，虽然数据源差异会增加工程复杂度，但通过统一数据模型、ETL 清洗、字段标准化、特征仓库和数据质量规则可以降低难度。系统初期可以先支持用户填报、业务数据和公开数据集三类数据源，后续再扩展移动端授权采集和第三方接口，从而降低一次性建设风险。</w:t>
      </w:r>
    </w:p>
    <w:p w14:paraId="11051D3D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lastRenderedPageBreak/>
        <w:t>6.2 开发可行性</w:t>
      </w:r>
    </w:p>
    <w:p w14:paraId="0C3F5D0B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从开发组织看，本项目可拆分为移动端、Web 管理端、后端服务、数据库、风控模型、测试文档六个相对独立的任务方向，适合小组并行开发。资料中的同类项目已经给出了较清晰的业务流程：用户提交贷款申请，系统进行贷前评估，审批通过后进入放款和贷中监测，高风险用户触发提醒，用户还款完成后流程结束。该流程边界明确，有利于需求分解和阶段验收。</w:t>
      </w:r>
    </w:p>
    <w:p w14:paraId="75E12517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从工程实现看，系统可先完成最小可用版本：用户注册登录、贷款申请、后台审批、评分卡打分、还款计划、风险提醒。随后再迭代扩展数据大屏、智能客服、自动邮件、模型训练管理、数据指纹和权限审计等功能。采用迭代式开发能够让团队尽早获得可运行系统，及时发现接口、数据和流程问题。</w:t>
      </w:r>
    </w:p>
    <w:p w14:paraId="5958E91A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6.3 经济与市场效益可行性</w:t>
      </w:r>
    </w:p>
    <w:p w14:paraId="42F36D20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该系统具有明确的降本增效价值。通过自动化审批和风险分层，金融机构可以将低风险和高风险申请交由系统快速处理，把人工审核资源集中在临界风险用户和异常案例上，从而降低审核人力成本，提高业务处理吞吐量。对于用户而言，线上申请和智能审批缩短等待时间，提高贷款体验；对于机构而言，贷中预警和贷后提醒有助于降低逾期率和坏账损失。</w:t>
      </w:r>
    </w:p>
    <w:p w14:paraId="0FAE46EF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市场层面，互联网小额信贷、消费分期和普惠金融仍存在持续的风控数字化需求。传统金融机构、消费金融公司、助贷平台和地方性金融服务机构都需要更高效、更可解释、更合规的风控工具。因此，系统若能在数据融合、模型解释、合规审计和业务配置方面形成特色，具备一定推广价值。</w:t>
      </w:r>
    </w:p>
    <w:p w14:paraId="2BE3FE4A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6.4 法律合规与伦理可行性</w:t>
      </w:r>
    </w:p>
    <w:p w14:paraId="649F30F3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个人贷款风控系统涉及大量个人信息和敏感金融数据，合规性是可行性的前提。系统必须遵循合法、正当、必要、诚信原则，明确告知用户数据采集目的、范围、保存期限和使用方式，并取得用户授权。对于联系人、定位、设备信息、行为数据等敏感或可能影响隐私的数据，应坚持最小必要原则，不采集与信贷风险无关的数据，不以过度授权作为使用服务的前置条件。</w:t>
      </w:r>
    </w:p>
    <w:p w14:paraId="4A25D2D6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模型伦理方面，系统应避免因职业、地域、学历、年龄等字段造成不合理歧视。对于</w:t>
      </w:r>
      <w:r>
        <w:lastRenderedPageBreak/>
        <w:t>被拒绝或进入人工复核的用户，系统应能够给出主要影响因素和可解释说明；对于模型阈值调整和规则变更，应保留版本记录，避免无法追溯的自动化决策。只要在设计中落实授权、脱敏、访问控制、解释说明和人工申诉机制，项目在合规与伦理层面具有可实施性。</w:t>
      </w:r>
    </w:p>
    <w:p w14:paraId="28163F8C" w14:textId="77777777" w:rsidR="00164CC6" w:rsidRDefault="00000000">
      <w:pPr>
        <w:pStyle w:val="2"/>
        <w:spacing w:before="120" w:after="120"/>
        <w:rPr>
          <w:rFonts w:hint="eastAsia"/>
        </w:rPr>
      </w:pPr>
      <w:r>
        <w:rPr>
          <w:rFonts w:ascii="宋体" w:eastAsia="宋体" w:hAnsi="宋体"/>
        </w:rPr>
        <w:t>6.5 安全与运维可行性</w:t>
      </w:r>
    </w:p>
    <w:p w14:paraId="7890B599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金融系统对安全和稳定性要求较高，但本项目可通过成熟方案降低风险。身份认证、角色权限、HTTPS 传输、数据库加密、接口限流、日志审计、备份恢复、异常告警等能力都有成熟实现路径。课程项目阶段可优先完成关键链路保护，例如登录鉴权、接口权限、敏感字段脱敏、审批日志和还款记录不可随意修改；正式应用阶段再进一步引入风控网关、密钥管理、容灾备份和安全扫描。</w:t>
      </w:r>
    </w:p>
    <w:p w14:paraId="6293A352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运维方面，系统可以通过模块化部署和监控日志提升可维护性。后端服务、模型服务、数据库和前端页面相互解耦后，任何单一模块的升级不必影响全系统。对于评分模型，应定期监控通过率、逾期率、坏账率、拒绝率、特征分布漂移等指标，确保模型不会因市场环境变化而长期失效。</w:t>
      </w:r>
    </w:p>
    <w:p w14:paraId="54ED5AA1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t>七、主要风险与应对措施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07"/>
        <w:gridCol w:w="2907"/>
        <w:gridCol w:w="2907"/>
      </w:tblGrid>
      <w:tr w:rsidR="00164CC6" w14:paraId="32321325" w14:textId="77777777">
        <w:trPr>
          <w:jc w:val="center"/>
        </w:trPr>
        <w:tc>
          <w:tcPr>
            <w:tcW w:w="2910" w:type="dxa"/>
          </w:tcPr>
          <w:p w14:paraId="30BAA429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风险类型</w:t>
            </w:r>
          </w:p>
        </w:tc>
        <w:tc>
          <w:tcPr>
            <w:tcW w:w="2910" w:type="dxa"/>
          </w:tcPr>
          <w:p w14:paraId="0338924A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具体表现</w:t>
            </w:r>
          </w:p>
        </w:tc>
        <w:tc>
          <w:tcPr>
            <w:tcW w:w="2910" w:type="dxa"/>
          </w:tcPr>
          <w:p w14:paraId="2C50C8BF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应对措施</w:t>
            </w:r>
          </w:p>
        </w:tc>
      </w:tr>
      <w:tr w:rsidR="00164CC6" w14:paraId="1145C9EE" w14:textId="77777777">
        <w:trPr>
          <w:jc w:val="center"/>
        </w:trPr>
        <w:tc>
          <w:tcPr>
            <w:tcW w:w="2910" w:type="dxa"/>
          </w:tcPr>
          <w:p w14:paraId="46152F0F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数据冷启动风险</w:t>
            </w:r>
          </w:p>
        </w:tc>
        <w:tc>
          <w:tcPr>
            <w:tcW w:w="2910" w:type="dxa"/>
          </w:tcPr>
          <w:p w14:paraId="35BB2A44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初期真实样本不足，模型训练效果有限</w:t>
            </w:r>
          </w:p>
        </w:tc>
        <w:tc>
          <w:tcPr>
            <w:tcW w:w="2910" w:type="dxa"/>
          </w:tcPr>
          <w:p w14:paraId="6851480B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采用公开数据集、模拟数据、专家规则和小规模人工复核过渡</w:t>
            </w:r>
          </w:p>
        </w:tc>
      </w:tr>
      <w:tr w:rsidR="00164CC6" w14:paraId="7E58374C" w14:textId="77777777">
        <w:trPr>
          <w:jc w:val="center"/>
        </w:trPr>
        <w:tc>
          <w:tcPr>
            <w:tcW w:w="2910" w:type="dxa"/>
          </w:tcPr>
          <w:p w14:paraId="3D607392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数据质量风险</w:t>
            </w:r>
          </w:p>
        </w:tc>
        <w:tc>
          <w:tcPr>
            <w:tcW w:w="2910" w:type="dxa"/>
          </w:tcPr>
          <w:p w14:paraId="383E8626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字段缺失、虚假填报、来源冲突、更新不及时</w:t>
            </w:r>
          </w:p>
        </w:tc>
        <w:tc>
          <w:tcPr>
            <w:tcW w:w="2910" w:type="dxa"/>
          </w:tcPr>
          <w:p w14:paraId="51AD3F0A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建立校验规则、交叉验证、质量评分和异常数据复核流程</w:t>
            </w:r>
          </w:p>
        </w:tc>
      </w:tr>
      <w:tr w:rsidR="00164CC6" w14:paraId="0F3EB9EB" w14:textId="77777777">
        <w:trPr>
          <w:jc w:val="center"/>
        </w:trPr>
        <w:tc>
          <w:tcPr>
            <w:tcW w:w="2910" w:type="dxa"/>
          </w:tcPr>
          <w:p w14:paraId="194E688E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合规风险</w:t>
            </w:r>
          </w:p>
        </w:tc>
        <w:tc>
          <w:tcPr>
            <w:tcW w:w="2910" w:type="dxa"/>
          </w:tcPr>
          <w:p w14:paraId="700DD27F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过度采集个人信息或授权提示不清晰</w:t>
            </w:r>
          </w:p>
        </w:tc>
        <w:tc>
          <w:tcPr>
            <w:tcW w:w="2910" w:type="dxa"/>
          </w:tcPr>
          <w:p w14:paraId="5D5133D7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落实最小必要采集、明示授权、隐私政策、脱敏和删除机制</w:t>
            </w:r>
          </w:p>
        </w:tc>
      </w:tr>
      <w:tr w:rsidR="00164CC6" w14:paraId="6DAD947F" w14:textId="77777777">
        <w:trPr>
          <w:jc w:val="center"/>
        </w:trPr>
        <w:tc>
          <w:tcPr>
            <w:tcW w:w="2910" w:type="dxa"/>
          </w:tcPr>
          <w:p w14:paraId="746F14AE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模型风险</w:t>
            </w:r>
          </w:p>
        </w:tc>
        <w:tc>
          <w:tcPr>
            <w:tcW w:w="2910" w:type="dxa"/>
          </w:tcPr>
          <w:p w14:paraId="64794CC6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模型黑箱、误判、阈值漂移或歧视性结果</w:t>
            </w:r>
          </w:p>
        </w:tc>
        <w:tc>
          <w:tcPr>
            <w:tcW w:w="2910" w:type="dxa"/>
          </w:tcPr>
          <w:p w14:paraId="1C83219F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优先采用可解释模型，保留人工复核、监控模型指标和版本</w:t>
            </w:r>
          </w:p>
        </w:tc>
      </w:tr>
      <w:tr w:rsidR="00164CC6" w14:paraId="65EEC876" w14:textId="77777777">
        <w:trPr>
          <w:jc w:val="center"/>
        </w:trPr>
        <w:tc>
          <w:tcPr>
            <w:tcW w:w="2910" w:type="dxa"/>
          </w:tcPr>
          <w:p w14:paraId="3726ADC5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安全风险</w:t>
            </w:r>
          </w:p>
        </w:tc>
        <w:tc>
          <w:tcPr>
            <w:tcW w:w="2910" w:type="dxa"/>
          </w:tcPr>
          <w:p w14:paraId="61E52C1E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账号越权、数据泄露、审批记录被篡改</w:t>
            </w:r>
          </w:p>
        </w:tc>
        <w:tc>
          <w:tcPr>
            <w:tcW w:w="2910" w:type="dxa"/>
          </w:tcPr>
          <w:p w14:paraId="2FDA54AA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实施角色权限、加密传输、审计日志、哈希摘要和备份恢复</w:t>
            </w:r>
          </w:p>
        </w:tc>
      </w:tr>
      <w:tr w:rsidR="00164CC6" w14:paraId="4DC6F112" w14:textId="77777777">
        <w:trPr>
          <w:jc w:val="center"/>
        </w:trPr>
        <w:tc>
          <w:tcPr>
            <w:tcW w:w="2910" w:type="dxa"/>
          </w:tcPr>
          <w:p w14:paraId="148D3461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项目进度风险</w:t>
            </w:r>
          </w:p>
        </w:tc>
        <w:tc>
          <w:tcPr>
            <w:tcW w:w="2910" w:type="dxa"/>
          </w:tcPr>
          <w:p w14:paraId="081F3B18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前后端接口不一致、模型与</w:t>
            </w:r>
            <w:r>
              <w:rPr>
                <w:sz w:val="21"/>
              </w:rPr>
              <w:lastRenderedPageBreak/>
              <w:t>业务流程脱节</w:t>
            </w:r>
          </w:p>
        </w:tc>
        <w:tc>
          <w:tcPr>
            <w:tcW w:w="2910" w:type="dxa"/>
          </w:tcPr>
          <w:p w14:paraId="312AB0A1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lastRenderedPageBreak/>
              <w:t>制定接口文档，分阶段验</w:t>
            </w:r>
            <w:r>
              <w:rPr>
                <w:sz w:val="21"/>
              </w:rPr>
              <w:lastRenderedPageBreak/>
              <w:t>收，优先实现最小可用闭环</w:t>
            </w:r>
          </w:p>
        </w:tc>
      </w:tr>
    </w:tbl>
    <w:p w14:paraId="641B1E8C" w14:textId="77777777" w:rsidR="00164CC6" w:rsidRDefault="00164CC6">
      <w:pPr>
        <w:rPr>
          <w:rFonts w:hint="eastAsia"/>
        </w:rPr>
      </w:pPr>
    </w:p>
    <w:p w14:paraId="7F6FC6FC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总体来看，项目风险主要集中在数据、合规、模型和安全四个方面。这些风险并非不可控，但需要在需求阶段就被纳入系统设计，而不能等到实现后再补救。尤其是个人信息采集和自动化审批解释，应作为核心需求处理。</w:t>
      </w:r>
    </w:p>
    <w:p w14:paraId="7E31A17C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t>八、实施计划与资源估算</w:t>
      </w:r>
    </w:p>
    <w:p w14:paraId="510D20A2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项目可按四个阶段推进。第一阶段为需求分析与原型设计，完成业务流程梳理、角色权限划分、数据字典、接口草案和页面原型；第二阶段为核心功能开发，完成用户端申请、后台审批、数据库设计、评分卡打分和基础还款流程；第三阶段为多数据源与风控能力增强，完成数据清洗、模型训练、风险预警、通知提醒、数据看板和日志审计；第四阶段为测试优化与文档整理，完成单元测试、接口测试、功能测试、性能测试、安全检查和报告归档。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07"/>
        <w:gridCol w:w="2907"/>
        <w:gridCol w:w="2907"/>
      </w:tblGrid>
      <w:tr w:rsidR="00164CC6" w14:paraId="724B8BBD" w14:textId="77777777">
        <w:trPr>
          <w:jc w:val="center"/>
        </w:trPr>
        <w:tc>
          <w:tcPr>
            <w:tcW w:w="2910" w:type="dxa"/>
          </w:tcPr>
          <w:p w14:paraId="7FA9DA2A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2910" w:type="dxa"/>
          </w:tcPr>
          <w:p w14:paraId="32236C01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主要任务</w:t>
            </w:r>
          </w:p>
        </w:tc>
        <w:tc>
          <w:tcPr>
            <w:tcW w:w="2910" w:type="dxa"/>
          </w:tcPr>
          <w:p w14:paraId="13F327D3" w14:textId="77777777" w:rsidR="00164C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预期成果</w:t>
            </w:r>
          </w:p>
        </w:tc>
      </w:tr>
      <w:tr w:rsidR="00164CC6" w14:paraId="16B8347D" w14:textId="77777777">
        <w:trPr>
          <w:jc w:val="center"/>
        </w:trPr>
        <w:tc>
          <w:tcPr>
            <w:tcW w:w="2910" w:type="dxa"/>
          </w:tcPr>
          <w:p w14:paraId="573CB371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第1阶段</w:t>
            </w:r>
          </w:p>
        </w:tc>
        <w:tc>
          <w:tcPr>
            <w:tcW w:w="2910" w:type="dxa"/>
          </w:tcPr>
          <w:p w14:paraId="4EBCD18A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需求分析、可行性分析、流程图、原型图、数据字典</w:t>
            </w:r>
          </w:p>
        </w:tc>
        <w:tc>
          <w:tcPr>
            <w:tcW w:w="2910" w:type="dxa"/>
          </w:tcPr>
          <w:p w14:paraId="3CBF6CA8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需求规格与可行性报告</w:t>
            </w:r>
          </w:p>
        </w:tc>
      </w:tr>
      <w:tr w:rsidR="00164CC6" w14:paraId="0A6918EA" w14:textId="77777777">
        <w:trPr>
          <w:jc w:val="center"/>
        </w:trPr>
        <w:tc>
          <w:tcPr>
            <w:tcW w:w="2910" w:type="dxa"/>
          </w:tcPr>
          <w:p w14:paraId="33C24F84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第2阶段</w:t>
            </w:r>
          </w:p>
        </w:tc>
        <w:tc>
          <w:tcPr>
            <w:tcW w:w="2910" w:type="dxa"/>
          </w:tcPr>
          <w:p w14:paraId="407145F5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用户端、管理端、后端接口、数据库、基础审批流程</w:t>
            </w:r>
          </w:p>
        </w:tc>
        <w:tc>
          <w:tcPr>
            <w:tcW w:w="2910" w:type="dxa"/>
          </w:tcPr>
          <w:p w14:paraId="54959B06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可运行的最小版本</w:t>
            </w:r>
          </w:p>
        </w:tc>
      </w:tr>
      <w:tr w:rsidR="00164CC6" w14:paraId="2B36815C" w14:textId="77777777">
        <w:trPr>
          <w:jc w:val="center"/>
        </w:trPr>
        <w:tc>
          <w:tcPr>
            <w:tcW w:w="2910" w:type="dxa"/>
          </w:tcPr>
          <w:p w14:paraId="7CED736A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第3阶段</w:t>
            </w:r>
          </w:p>
        </w:tc>
        <w:tc>
          <w:tcPr>
            <w:tcW w:w="2910" w:type="dxa"/>
          </w:tcPr>
          <w:p w14:paraId="3C71A25E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评分卡模型、数据融合、风险提醒、通知服务、审计日志</w:t>
            </w:r>
          </w:p>
        </w:tc>
        <w:tc>
          <w:tcPr>
            <w:tcW w:w="2910" w:type="dxa"/>
          </w:tcPr>
          <w:p w14:paraId="6E6EC989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完整风控闭环原型</w:t>
            </w:r>
          </w:p>
        </w:tc>
      </w:tr>
      <w:tr w:rsidR="00164CC6" w14:paraId="4AD32ECA" w14:textId="77777777">
        <w:trPr>
          <w:jc w:val="center"/>
        </w:trPr>
        <w:tc>
          <w:tcPr>
            <w:tcW w:w="2910" w:type="dxa"/>
          </w:tcPr>
          <w:p w14:paraId="650D722C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第4阶段</w:t>
            </w:r>
          </w:p>
        </w:tc>
        <w:tc>
          <w:tcPr>
            <w:tcW w:w="2910" w:type="dxa"/>
          </w:tcPr>
          <w:p w14:paraId="4FE1F453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测试、性能优化、安全检查、文档和答辩材料整理</w:t>
            </w:r>
          </w:p>
        </w:tc>
        <w:tc>
          <w:tcPr>
            <w:tcW w:w="2910" w:type="dxa"/>
          </w:tcPr>
          <w:p w14:paraId="2A66F509" w14:textId="77777777" w:rsidR="00164CC6" w:rsidRDefault="00000000">
            <w:pPr>
              <w:spacing w:line="288" w:lineRule="auto"/>
              <w:rPr>
                <w:rFonts w:hint="eastAsia"/>
              </w:rPr>
            </w:pPr>
            <w:r>
              <w:rPr>
                <w:sz w:val="21"/>
              </w:rPr>
              <w:t>测试报告与最终项目文档</w:t>
            </w:r>
          </w:p>
        </w:tc>
      </w:tr>
    </w:tbl>
    <w:p w14:paraId="22B6D107" w14:textId="77777777" w:rsidR="00164CC6" w:rsidRDefault="00164CC6">
      <w:pPr>
        <w:rPr>
          <w:rFonts w:hint="eastAsia"/>
        </w:rPr>
      </w:pPr>
    </w:p>
    <w:p w14:paraId="5A7DC49F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资源方面，项目主要依赖普通开发电脑、数据库服务、后端运行环境、移动端调试环境、公开或模拟数据集以及团队成员的协同开发时间。课程项目阶段不需要高成本硬件投入，模型训练规模也可控制在常规计算资源范围内，因此资源投入可接受。</w:t>
      </w:r>
    </w:p>
    <w:p w14:paraId="25ECE1C1" w14:textId="77777777" w:rsidR="00164CC6" w:rsidRDefault="00000000">
      <w:pPr>
        <w:pStyle w:val="1"/>
        <w:spacing w:before="200" w:after="120"/>
        <w:rPr>
          <w:rFonts w:hint="eastAsia"/>
        </w:rPr>
      </w:pPr>
      <w:r>
        <w:rPr>
          <w:rFonts w:ascii="宋体" w:eastAsia="宋体" w:hAnsi="宋体"/>
        </w:rPr>
        <w:t>九、结论</w:t>
      </w:r>
    </w:p>
    <w:p w14:paraId="0B9D625D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综合技术、开发、经济、市场、合规和安全因素分析，多数据源融合的互联网个人贷款风控系统具备较高可行性。项目所需的前后端开发、数据库设计、移动端授权采集、风</w:t>
      </w:r>
      <w:r>
        <w:lastRenderedPageBreak/>
        <w:t>险评分、通知提醒和后台管理均有成熟技术支撑；业务流程清晰，便于团队分工与迭代实现；系统能够提高贷款审批效率、降低人工审核成本，并通过贷中预警减少潜在坏账损失，具有明确的应用价值。</w:t>
      </w:r>
    </w:p>
    <w:p w14:paraId="2FD33492" w14:textId="77777777" w:rsidR="00164CC6" w:rsidRDefault="00000000">
      <w:pPr>
        <w:spacing w:after="0" w:line="360" w:lineRule="auto"/>
        <w:ind w:firstLine="440"/>
        <w:rPr>
          <w:rFonts w:hint="eastAsia"/>
        </w:rPr>
      </w:pPr>
      <w:r>
        <w:t>同时，项目的可行性建立在若干关键前提之上：必须坚持合法合规的数据采集原则，建立稳定的数据治理机制，优先选择可解释、可审计的风控模型，完善权限控制和日志追踪，并保留人工复核渠道。若能够在系统设计和开发过程中落实上述要求，本项目不仅能够满足课程综合设计目标，也具备向真实金融科技应用场景扩展的潜力。</w:t>
      </w:r>
    </w:p>
    <w:sectPr w:rsidR="00164CC6">
      <w:footerReference w:type="default" r:id="rId6"/>
      <w:pgSz w:w="11906" w:h="16838"/>
      <w:pgMar w:top="1440" w:right="1474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0934B" w14:textId="77777777" w:rsidR="009C361E" w:rsidRDefault="009C36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E3B93F" w14:textId="77777777" w:rsidR="009C361E" w:rsidRDefault="009C36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roma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BAE97" w14:textId="77777777" w:rsidR="00164CC6" w:rsidRDefault="00000000">
    <w:pPr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5F4C5C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90BF1" w14:textId="77777777" w:rsidR="009C361E" w:rsidRDefault="009C36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6B92A8" w14:textId="77777777" w:rsidR="009C361E" w:rsidRDefault="009C36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90"/>
    <w:rsid w:val="00134390"/>
    <w:rsid w:val="00164CC6"/>
    <w:rsid w:val="0042372B"/>
    <w:rsid w:val="005F4C5C"/>
    <w:rsid w:val="0070466E"/>
    <w:rsid w:val="00895A1B"/>
    <w:rsid w:val="00895EDD"/>
    <w:rsid w:val="009C361E"/>
    <w:rsid w:val="00C55C77"/>
    <w:rsid w:val="00DB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DDF86F"/>
  <w15:chartTrackingRefBased/>
  <w15:docId w15:val="{8071AD38-6348-4FFB-ABBE-A03C13AF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宋体" w:eastAsia="宋体" w:hAnsi="宋体"/>
    </w:rPr>
  </w:style>
  <w:style w:type="paragraph" w:styleId="1">
    <w:name w:val="heading 1"/>
    <w:basedOn w:val="a"/>
    <w:next w:val="a"/>
    <w:link w:val="10"/>
    <w:uiPriority w:val="9"/>
    <w:qFormat/>
    <w:rsid w:val="00134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3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3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3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3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3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3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3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3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3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43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3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3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3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13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3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3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439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qFormat/>
    <w:rsid w:val="00134390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6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3647</Words>
  <Characters>3685</Characters>
  <Application>Microsoft Office Word</Application>
  <DocSecurity>0</DocSecurity>
  <Lines>216</Lines>
  <Paragraphs>166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伟中 钱</dc:creator>
  <cp:keywords/>
  <dc:description/>
  <cp:lastModifiedBy>郭丽红</cp:lastModifiedBy>
  <cp:revision>4</cp:revision>
  <dcterms:created xsi:type="dcterms:W3CDTF">2025-08-26T03:07:00Z</dcterms:created>
  <dcterms:modified xsi:type="dcterms:W3CDTF">2026-09-14T11:08:00Z</dcterms:modified>
</cp:coreProperties>
</file>