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15. Siapa yang Berfatwa, Siapa yang Mengawasi: Peta Kelembagaan Syariah di Indonesia</w:t>
      </w:r>
    </w:p>
    <w:p>
      <w:pPr>
        <w:jc w:val="both"/>
      </w:pPr>
      <w:r>
        <w:rPr>
          <w:b/>
          <w:i w:val="0"/>
          <w:sz w:val="24"/>
        </w:rPr>
        <w:t>Kepala Bab</w:t>
      </w:r>
    </w:p>
    <w:p>
      <w:pPr>
        <w:jc w:val="both"/>
      </w:pPr>
      <w:r>
        <w:rPr>
          <w:b w:val="0"/>
          <w:i w:val="0"/>
        </w:rPr>
        <w:t>Rujukan: fatwa DSN-MUI, peraturan OJK, dan undang-undang terkait. Periksa sumber resmi dan daftar Lampiran L.</w:t>
      </w:r>
    </w:p>
    <w:p>
      <w:pPr>
        <w:jc w:val="both"/>
      </w:pPr>
      <w:r>
        <w:rPr>
          <w:b/>
          <w:i w:val="0"/>
          <w:sz w:val="24"/>
        </w:rPr>
        <w:t>Pembuka Masalah</w:t>
      </w:r>
    </w:p>
    <w:p>
      <w:pPr>
        <w:jc w:val="both"/>
      </w:pPr>
      <w:r>
        <w:rPr>
          <w:b w:val="0"/>
          <w:i w:val="0"/>
        </w:rPr>
        <w:t>Di sebuah kantor koperasi di Semarang, Bu Ratri menerima dua lembar informasi tentang pembiayaan usaha kecil. Satu lembar menyebut rekomendasi dewan pengawas syariah, sementara petugas menjelaskan bahwa izin operasional berasal dari otoritas negara. Di rumah, saudaranya mengirim potongan pendapat sebuah majelis fatwa yang berbeda dalam rincian tertentu. Bu Ratri lalu bertanya siapa yang berwenang menetapkan hukum, siapa yang mengawasi lembaga, dan dokumen mana yang perlu dibaca sebelum menandatangani. Kebingungan itu tidak selesai dengan menganggap semua nama lembaga memiliki tugas sama. Fatwa, undang-undang, pengawasan, sertifikasi, dan pelaksanaan produk berada pada lapisan berbeda. Sebagian keputusan juga berubah ketika aturan diperbarui. Pembaca perlu mengetahui batas fungsi lembaga, mencari naskah primer, serta memisahkan penilaian syariah dari status izin dan mutu layanan. Bab ini memberi peta awal agar Anda dapat bertanya dengan tepat, memeriksa keterangan yang dapat diverifikasi, dan meminta bantuan berwenang tanpa mengubah perbedaan pendapat menjadi tuduhan.</w:t>
      </w:r>
    </w:p>
    <w:p>
      <w:pPr>
        <w:jc w:val="both"/>
      </w:pPr>
      <w:r>
        <w:rPr>
          <w:b/>
          <w:i w:val="0"/>
          <w:sz w:val="24"/>
        </w:rPr>
        <w:t>Pertanyaan Utama</w:t>
      </w:r>
    </w:p>
    <w:p>
      <w:pPr>
        <w:jc w:val="both"/>
      </w:pPr>
      <w:r>
        <w:rPr>
          <w:b w:val="0"/>
          <w:i w:val="0"/>
        </w:rPr>
        <w:t>Siapa yang memberi panduan syariah, siapa yang menetapkan aturan negara, dan bagaimana Anda memeriksa apakah praktik lembaga sesuai dengan keduanya? Jawabannya memerlukan pemisahan fungsi dan pembacaan dokumen.</w:t>
      </w:r>
    </w:p>
    <w:p>
      <w:pPr>
        <w:jc w:val="both"/>
      </w:pPr>
      <w:r>
        <w:rPr>
          <w:b/>
          <w:i w:val="0"/>
          <w:sz w:val="24"/>
        </w:rPr>
        <w:t>Ringkasan</w:t>
      </w:r>
    </w:p>
    <w:p>
      <w:pPr>
        <w:jc w:val="both"/>
      </w:pPr>
      <w:r>
        <w:rPr>
          <w:b w:val="0"/>
          <w:i w:val="0"/>
        </w:rPr>
        <w:t>MUI dan DSN-MUI berperan dalam pemberian panduan keagamaan melalui fatwa; otoritas negara mengatur dan mengawasi sesuai mandat. BAZNAS, BWI, dan BPJPH memiliki bidang tugas tersendiri. Organisasi kemasyarakatan dan majelis fatwa menyampaikan pandangan menurut tata kerja masing-masing. Izin lembaga, kepatuhan syariah, dan pengalaman layanan adalah pertanyaan berlainan. Cocokkan klaim dengan dokumen terbaru dan kasus yang Anda hadapi.</w:t>
      </w:r>
    </w:p>
    <w:p>
      <w:pPr>
        <w:jc w:val="both"/>
      </w:pPr>
      <w:r>
        <w:rPr>
          <w:b/>
          <w:i w:val="0"/>
          <w:sz w:val="24"/>
        </w:rPr>
        <w:t>Istilah Akad</w:t>
      </w:r>
    </w:p>
    <w:p>
      <w:pPr>
        <w:jc w:val="both"/>
      </w:pPr>
      <w:r>
        <w:rPr>
          <w:b w:val="0"/>
          <w:i w:val="0"/>
        </w:rPr>
        <w:t>- Fatwa: pandangan hukum keagamaan atas pertanyaan tertentu, dengan ruang lingkup dan metode yang perlu dibaca.</w:t>
      </w:r>
    </w:p>
    <w:p>
      <w:pPr>
        <w:jc w:val="both"/>
      </w:pPr>
      <w:r>
        <w:rPr>
          <w:b w:val="0"/>
          <w:i w:val="0"/>
        </w:rPr>
        <w:t>- Regulasi: ketentuan hukum negara yang diterbitkan lembaga berwenang berdasarkan mandatnya.</w:t>
      </w:r>
    </w:p>
    <w:p>
      <w:pPr>
        <w:jc w:val="both"/>
      </w:pPr>
      <w:r>
        <w:rPr>
          <w:b w:val="0"/>
          <w:i w:val="0"/>
        </w:rPr>
        <w:t>- Pengawasan syariah: pemantauan kepatuhan dalam batas tugas yang ditetapkan.</w:t>
      </w:r>
    </w:p>
    <w:p>
      <w:pPr>
        <w:jc w:val="both"/>
      </w:pPr>
      <w:r>
        <w:rPr>
          <w:b/>
          <w:i w:val="0"/>
          <w:sz w:val="24"/>
        </w:rPr>
        <w:t>Struktur Akad</w:t>
      </w:r>
    </w:p>
    <w:p>
      <w:pPr>
        <w:jc w:val="both"/>
      </w:pPr>
      <w:r>
        <w:rPr>
          <w:b w:val="0"/>
          <w:i w:val="0"/>
        </w:rPr>
        <w:t>Tentukan persoalan: hukum keagamaan, legalitas lembaga, sengketa konsumen, zakat, wakaf, atau jaminan halal. Cari lembaga yang mempunyai mandat, dokumen primer, dan tanggal berlakunya. Untuk produk keuangan, minta rangkaian akad, biaya, pihak yang bertanggung jawab, serta keterangan pengawasan. Catat mana fakta, tafsir, dan klaim pemasaran. Jika bidangnya tumpang tindih, periksa setiap jalur secara terpisah.</w:t>
      </w:r>
    </w:p>
    <w:p>
      <w:pPr>
        <w:jc w:val="right"/>
        <w:rtl/>
      </w:pPr>
      <w:r>
        <w:rPr>
          <w:rFonts w:ascii="Scheherazade New" w:hAnsi="Scheherazade New"/>
          <w:sz w:val="30"/>
          <w:rtl/>
          <w:cs w:val="1"/>
        </w:rPr>
        <w:t>۞ إِنَّ ٱللَّهَ يَأْمُرُكُمْ أَن تُؤَدُّوا۟ ٱلْأَمَٰنَٰتِ إِلَىٰٓ أَهْلِهَا وَإِذَا حَكَمْتُم بَيْنَ ٱلنَّاسِ أَن تَحْكُمُوا۟ بِٱلْعَدْلِ ۚ إِنَّ ٱللَّهَ نِعِمَّا يَعِظُكُم بِهِۦٓ ۗ إِنَّ ٱللَّهَ كَانَ سَمِيعًۢا بَصِيرًۭا</w:t>
      </w:r>
    </w:p>
    <w:p>
      <w:pPr>
        <w:jc w:val="both"/>
      </w:pPr>
      <w:r>
        <w:rPr>
          <w:b w:val="0"/>
          <w:i w:val="0"/>
          <w:sz w:val="18"/>
        </w:rPr>
        <w:t>LATIN: n.a. (transliterasi tidak dipakai; teks Arab dibaca langsung)</w:t>
      </w:r>
    </w:p>
    <w:p>
      <w:pPr>
        <w:jc w:val="both"/>
      </w:pPr>
      <w:r>
        <w:rPr>
          <w:b w:val="0"/>
          <w:i/>
        </w:rPr>
        <w:t>Artinya: Sesungguhnya Allah menyuruh kamu menyampaikan amanat kepada yang berhak menerimanya dan menetapkan hukum di antara manusia dengan adil.</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58</w:t>
      </w:r>
    </w:p>
    <w:p>
      <w:pPr>
        <w:jc w:val="both"/>
      </w:pPr>
      <w:r>
        <w:rPr>
          <w:b w:val="0"/>
          <w:i w:val="0"/>
          <w:sz w:val="18"/>
        </w:rPr>
        <w:t>STATUS: [V-AYAT]</w:t>
      </w:r>
    </w:p>
    <w:p>
      <w:pPr>
        <w:jc w:val="right"/>
        <w:rtl/>
      </w:pPr>
      <w:r>
        <w:rPr>
          <w:rFonts w:ascii="Scheherazade New" w:hAnsi="Scheherazade New"/>
          <w:sz w:val="30"/>
          <w:rtl/>
          <w:cs w:val="1"/>
        </w:rPr>
        <w:t>وَلَا تَقْفُ مَا لَيْسَ لَكَ بِهِۦ عِلْمٌ ۚ إِنَّ ٱلسَّمْعَ وَٱلْبَصَرَ وَٱلْفُؤَادَ كُلُّ أُو۟لَٰٓئِكَ كَانَ عَنْهُ مَسْـُٔولًۭا</w:t>
      </w:r>
    </w:p>
    <w:p>
      <w:pPr>
        <w:jc w:val="both"/>
      </w:pPr>
      <w:r>
        <w:rPr>
          <w:b w:val="0"/>
          <w:i w:val="0"/>
          <w:sz w:val="18"/>
        </w:rPr>
        <w:t>LATIN: n.a. (transliterasi tidak dipakai; teks Arab dibaca langsung)</w:t>
      </w:r>
    </w:p>
    <w:p>
      <w:pPr>
        <w:jc w:val="both"/>
      </w:pPr>
      <w:r>
        <w:rPr>
          <w:b w:val="0"/>
          <w:i/>
        </w:rPr>
        <w:t>Artinya: Janganlah kamu mengikuti sesuatu yang tidak kamu ketahui. Pendengaran, penglihatan, dan hati akan diminta pertanggungjawabannya.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Al-Isra: 36</w:t>
      </w:r>
    </w:p>
    <w:p>
      <w:pPr>
        <w:jc w:val="both"/>
      </w:pPr>
      <w:r>
        <w:rPr>
          <w:b w:val="0"/>
          <w:i w:val="0"/>
          <w:sz w:val="18"/>
        </w:rPr>
        <w:t>STATUS: [V-AYAT]</w:t>
      </w:r>
    </w:p>
    <w:p>
      <w:pPr>
        <w:jc w:val="both"/>
      </w:pPr>
      <w:r>
        <w:rPr>
          <w:b/>
          <w:i w:val="0"/>
          <w:sz w:val="24"/>
        </w:rPr>
        <w:t>Pendapat Ulama</w:t>
      </w:r>
    </w:p>
    <w:p>
      <w:pPr>
        <w:jc w:val="both"/>
      </w:pPr>
      <w:r>
        <w:rPr>
          <w:b w:val="0"/>
          <w:i w:val="0"/>
        </w:rPr>
        <w:t>Para ulama menyusun pendapat melalui dalil, metode istinbath, dan pemahaman fakta. Lembaga fatwa dapat menghimpun kajian kolektif, tetapi kutipan populer belum tentu naskah resmi. Perbedaan hasil dapat bersumber dari dalil, konteks, atau penerapan prinsip pada akad baru. Baca pertimbangan dan ruang lingkup, bukan hanya kesimpulan satu baris. Untuk keputusan pribadi, mintalah bimbingan ahli yang memahami keadaan Anda.</w:t>
      </w:r>
    </w:p>
    <w:p>
      <w:pPr>
        <w:jc w:val="both"/>
      </w:pPr>
      <w:r>
        <w:rPr>
          <w:b/>
          <w:i w:val="0"/>
          <w:sz w:val="24"/>
        </w:rPr>
        <w:t>Fatwa Regulasi</w:t>
      </w:r>
    </w:p>
    <w:p>
      <w:pPr>
        <w:jc w:val="both"/>
      </w:pPr>
      <w:r>
        <w:rPr>
          <w:b w:val="0"/>
          <w:i w:val="0"/>
        </w:rPr>
        <w:t>Fatwa DSN-MUI dan regulasi negara bukan dokumen yang sama. Fatwa menjadi rujukan syariah dalam ruang penerapannya, sedangkan kekuatan hukum pada lembaga bergantung pada aturan. Peraturan menetapkan kewajiban bagi pihak dalam cakupannya. Pencantuman fatwa tidak membuktikan seluruh pelaksanaan produk telah diperiksa. Nomor, pasal, dan status terbaru harus dicocokkan dengan sumber resmi: [FATWA-CEK].</w:t>
      </w:r>
    </w:p>
    <w:p>
      <w:pPr>
        <w:jc w:val="both"/>
      </w:pPr>
      <w:r>
        <w:rPr>
          <w:b/>
          <w:i w:val="0"/>
          <w:sz w:val="24"/>
        </w:rPr>
        <w:t>Contoh Transaksi</w:t>
      </w:r>
    </w:p>
    <w:p>
      <w:pPr>
        <w:jc w:val="both"/>
      </w:pPr>
      <w:r>
        <w:rPr>
          <w:b w:val="0"/>
          <w:i w:val="0"/>
        </w:rPr>
        <w:t>Bu Ratri meminta petugas menunjukkan nama akad, alur dana, jumlah kewajiban, biaya, dan dokumen pengawasan. Ia juga meminta salinan izin serta cara mengajukan keluhan. Setelah itu, ia membandingkan keterangan dengan dokumen resmi, bukan hanya brosur. Pertanyaan ini belum menetapkan hukum produk, tetapi mengungkap bagian yang perlu dijelaskan sebelum persetujuan.</w:t>
      </w:r>
    </w:p>
    <w:p>
      <w:pPr>
        <w:jc w:val="both"/>
      </w:pPr>
      <w:r>
        <w:rPr>
          <w:b/>
          <w:i w:val="0"/>
          <w:sz w:val="24"/>
        </w:rPr>
        <w:t>Titik Risiko</w:t>
      </w:r>
    </w:p>
    <w:p>
      <w:pPr>
        <w:jc w:val="both"/>
      </w:pPr>
      <w:r>
        <w:rPr>
          <w:b w:val="0"/>
          <w:i w:val="0"/>
        </w:rPr>
        <w:t>Logo atau istilah keagamaan bukan pengganti izin, pemeriksaan akad, dan perlindungan konsumen. Tanyakan bukti untuk setiap klaim.</w:t>
      </w:r>
    </w:p>
    <w:p>
      <w:pPr>
        <w:jc w:val="both"/>
      </w:pPr>
      <w:r>
        <w:rPr>
          <w:b/>
          <w:i w:val="0"/>
          <w:sz w:val="24"/>
        </w:rPr>
        <w:t>Produk Contoh</w:t>
      </w:r>
    </w:p>
    <w:p>
      <w:pPr>
        <w:jc w:val="both"/>
      </w:pPr>
      <w:r>
        <w:rPr>
          <w:b w:val="0"/>
          <w:i w:val="0"/>
        </w:rPr>
        <w:t>Pada pembiayaan, telusuri siapa menjual aset, siapa menerima pembayaran, dan siapa menanggung risiko. Pengesahan dokumen pengawas tidak menjelaskan pelaksanaan setiap transaksi. Sebaliknya, satu pengalaman buruk juga tidak membuktikan seluruh jenis produk bermasalah. Minta kontrak dan konsultasikan struktur kepada ahli independen.</w:t>
      </w:r>
    </w:p>
    <w:p>
      <w:pPr>
        <w:jc w:val="both"/>
      </w:pPr>
      <w:r>
        <w:rPr>
          <w:b/>
          <w:i w:val="0"/>
          <w:sz w:val="24"/>
        </w:rPr>
        <w:t>Penerapan Keluarga</w:t>
      </w:r>
    </w:p>
    <w:p>
      <w:pPr>
        <w:jc w:val="both"/>
      </w:pPr>
      <w:r>
        <w:rPr>
          <w:b w:val="0"/>
          <w:i w:val="0"/>
        </w:rPr>
        <w:t>Saat keluarga mempertimbangkan tabungan atau pembiayaan, tetapkan kebutuhan, kemampuan membayar, dan hal yang belum dipahami. Baca dokumen bersama tanpa tekanan. Tandai biaya, denda, hak pembatalan, dan jalur pengaduan. Jika penjelasan lisan berbeda dari tulisan, minta koreksi tertulis.</w:t>
      </w:r>
    </w:p>
    <w:p>
      <w:pPr>
        <w:jc w:val="both"/>
      </w:pPr>
      <w:r>
        <w:rPr>
          <w:b/>
          <w:i w:val="0"/>
          <w:sz w:val="24"/>
        </w:rPr>
        <w:t>Penerapan Kerja</w:t>
      </w:r>
    </w:p>
    <w:p>
      <w:pPr>
        <w:jc w:val="both"/>
      </w:pPr>
      <w:r>
        <w:rPr>
          <w:b w:val="0"/>
          <w:i w:val="0"/>
        </w:rPr>
        <w:t>Dalam pekerjaan keuangan, pisahkan catatan kepatuhan syariah dari pemeriksaan legal dan operasional. Simpan versi dokumen, tanggal persetujuan, perubahan proses, dan otorisasi. Bila praktik menyimpang dari prosedur, eskalasikan melalui jalur internal dan dokumentasikan fakta.</w:t>
      </w:r>
    </w:p>
    <w:p>
      <w:pPr>
        <w:jc w:val="both"/>
      </w:pPr>
      <w:r>
        <w:rPr>
          <w:b/>
          <w:i w:val="0"/>
          <w:sz w:val="24"/>
        </w:rPr>
        <w:t>Simulasi</w:t>
      </w:r>
    </w:p>
    <w:p>
      <w:pPr>
        <w:jc w:val="both"/>
      </w:pPr>
      <w:r>
        <w:rPr>
          <w:b w:val="0"/>
          <w:i w:val="0"/>
        </w:rPr>
        <w:t>Ilustrasi: keluarga membandingkan dua pembiayaan dengan kebutuhan sama. Mereka meminta jadwal angsuran, biaya awal, akibat keterlambatan, dan dokumen akad. Gunakan angka dari penawaran tertulis aktual. Setelah menghitung total kewajiban, cocokkan izin melalui sumber regulator dan bawa struktur akad kepada penasihat independen.</w:t>
      </w:r>
    </w:p>
    <w:p>
      <w:pPr>
        <w:jc w:val="both"/>
      </w:pPr>
      <w:r>
        <w:rPr>
          <w:b/>
          <w:i w:val="0"/>
          <w:sz w:val="24"/>
        </w:rPr>
        <w:t>Checklist</w:t>
      </w:r>
    </w:p>
    <w:p>
      <w:pPr>
        <w:jc w:val="both"/>
      </w:pPr>
      <w:r>
        <w:rPr>
          <w:b w:val="0"/>
          <w:i w:val="0"/>
        </w:rPr>
        <w:t>- [ ] Saya membedakan fatwa, regulasi, pengawasan, dan praktik.</w:t>
      </w:r>
    </w:p>
    <w:p>
      <w:pPr>
        <w:jc w:val="both"/>
      </w:pPr>
      <w:r>
        <w:rPr>
          <w:b w:val="0"/>
          <w:i w:val="0"/>
        </w:rPr>
        <w:t>- [ ] Saya memeriksa status dari sumber resmi.</w:t>
      </w:r>
    </w:p>
    <w:p>
      <w:pPr>
        <w:jc w:val="both"/>
      </w:pPr>
      <w:r>
        <w:rPr>
          <w:b w:val="0"/>
          <w:i w:val="0"/>
        </w:rPr>
        <w:t>- [ ] Saya memegang dokumen akad dan rincian biaya.</w:t>
      </w:r>
    </w:p>
    <w:p>
      <w:pPr>
        <w:jc w:val="both"/>
      </w:pPr>
      <w:r>
        <w:rPr>
          <w:b w:val="0"/>
          <w:i w:val="0"/>
        </w:rPr>
        <w:t>- [ ] Saya mengetahui saluran pengaduan yang tepat.</w:t>
      </w:r>
    </w:p>
    <w:p>
      <w:pPr>
        <w:jc w:val="both"/>
      </w:pPr>
      <w:r>
        <w:rPr>
          <w:b/>
          <w:i w:val="0"/>
          <w:sz w:val="24"/>
        </w:rPr>
        <w:t>Jangkar Abadi</w:t>
      </w:r>
    </w:p>
    <w:p>
      <w:pPr>
        <w:jc w:val="both"/>
      </w:pPr>
      <w:r>
        <w:rPr>
          <w:b w:val="0"/>
          <w:i w:val="0"/>
        </w:rPr>
        <w:t>Amanah menuntut kita membedakan siapa yang memberi panduan, siapa yang mengatur, dan siapa yang menjalankan transaksi. Tempatkan setiap klaim pada bukti dan kewenangan yang sesuai.</w:t>
      </w:r>
    </w:p>
    <w:p>
      <w:pPr>
        <w:jc w:val="both"/>
      </w:pPr>
      <w:r>
        <w:rPr>
          <w:b/>
          <w:i w:val="0"/>
          <w:sz w:val="28"/>
        </w:rPr>
        <w:t>15.1 Peta Kelembagaan: MUI, DSN-MUI, OJK, Bank Indonesia, BAZNAS, BWI, dan BPJPH</w:t>
      </w:r>
    </w:p>
    <w:p>
      <w:pPr>
        <w:jc w:val="both"/>
      </w:pPr>
      <w:r>
        <w:rPr>
          <w:b w:val="0"/>
          <w:i w:val="0"/>
        </w:rPr>
        <w:t>Di Pasar Peterongan, Semarang, pedagang dapat berurusan dengan pembiayaan, zakat, wakaf, atau sertifikasi halal dalam minggu yang sama. Nama lembaga pada formulir tidak berarti tugasnya sama. MUI menaungi kegiatan ulama dan cendekiawan Muslim; DSN-MUI menyusun fatwa bidang ekonomi dan keuangan syariah. OJK mengatur dan mengawasi sektor jasa keuangan dalam cakupannya, sementara Bank Indonesia (BI) memiliki mandat terkait kebijakan dan sistem pembayaran. BAZNAS mengelola urusan zakat nasional, BWI mengembangkan serta mengawasi pengelolaan wakaf, dan BPJPH menyelenggarakan jaminan produk halal menurut peraturan. Kewenangan tersebut tidak saling menggantikan. Jika Anda memeriksa lembaga keuangan, bertanya tentang zakat, atau menilai status halal, tentukan pertanyaan dan cari kanal resmi lembaga yang berwenang.</w:t>
      </w:r>
    </w:p>
    <w:p>
      <w:pPr>
        <w:jc w:val="both"/>
      </w:pPr>
      <w:r>
        <w:rPr>
          <w:b w:val="0"/>
          <w:i w:val="0"/>
        </w:rPr>
        <w:t>Pada bidang keuangan, tanyakan apakah lembaga mengawasi jenis kegiatan yang ditawarkan. Untuk zakat, bedakan pengelola, pembayar, dan penerima manfaat. Untuk wakaf, telusuri peran nadzir dan status harta. Pertanyaan terarah mencegah Anda meminta satu instansi memutus perkara di luar mandatnya. Informasi publik memberi titik awal, tetapi dokumen pembentukan dan aturan terbaru tetap perlu diperiksa. Bila layanan memakai pihak ketiga, cari hubungan hukum dan pihak yang bertanggung jawab atas kesalahan.</w:t>
      </w:r>
    </w:p>
    <w:p>
      <w:pPr>
        <w:jc w:val="both"/>
      </w:pPr>
      <w:r>
        <w:rPr>
          <w:b w:val="0"/>
          <w:i w:val="0"/>
        </w:rPr>
        <w:t>Peta kelembagaan juga membantu menempatkan aduan. Masalah akad dapat diarahkan kepada penyedia dan pengawas syariah; status izin kepada regulator; penyaluran zakat kepada pengelola; sertifikasi kepada otoritas halal. Sebagian perkara memerlukan lebih dari satu jalur. Simpan jawaban dan nomor laporan, susun kronologi, lalu tanyakan lembaga yang berwenang tanpa membuka data berlebihan.</w:t>
      </w:r>
    </w:p>
    <w:p>
      <w:pPr>
        <w:jc w:val="both"/>
      </w:pPr>
      <w:r>
        <w:rPr>
          <w:b/>
          <w:i w:val="0"/>
          <w:sz w:val="24"/>
        </w:rPr>
        <w:t>Istilah Akad</w:t>
      </w:r>
    </w:p>
    <w:p>
      <w:pPr>
        <w:jc w:val="both"/>
      </w:pPr>
      <w:r>
        <w:rPr>
          <w:b w:val="0"/>
          <w:i w:val="0"/>
        </w:rPr>
        <w:t>MUI: Majelis Ulama Indonesia, organisasi yang menaungi kegiatan ulama dan cendekiawan Muslim.</w:t>
      </w:r>
    </w:p>
    <w:p>
      <w:pPr>
        <w:jc w:val="both"/>
      </w:pPr>
      <w:r>
        <w:rPr>
          <w:b w:val="0"/>
          <w:i w:val="0"/>
        </w:rPr>
        <w:t>OJK: otoritas negara untuk pengaturan dan pengawasan sektor jasa keuangan sesuai undang-undang.</w:t>
      </w:r>
    </w:p>
    <w:p>
      <w:pPr>
        <w:jc w:val="both"/>
      </w:pPr>
      <w:r>
        <w:rPr>
          <w:b w:val="0"/>
          <w:i w:val="0"/>
        </w:rPr>
        <w:t>BAZNAS: Badan Amil Zakat Nasional, lembaga pemerintah nonstruktural dalam pengelolaan zakat.</w:t>
      </w:r>
    </w:p>
    <w:p>
      <w:pPr>
        <w:jc w:val="both"/>
      </w:pPr>
      <w:r>
        <w:rPr>
          <w:b w:val="0"/>
          <w:i w:val="0"/>
        </w:rPr>
        <w:t>Seseorang menemukan pernyataan bahwa pembiayaan merujuk fatwa DSN-MUI. Ia meminta teks fatwa, memeriksa apakah penyedia diawasi regulator yang relevan, lalu menelaah akad. Pertanyaan tentang zakat atau wakaf diarahkan kepada lembaga dengan mandat sesuai. Langkah ini memisahkan otoritas fatwa, izin, dan tata kelola dana.</w:t>
      </w:r>
    </w:p>
    <w:p>
      <w:pPr>
        <w:jc w:val="both"/>
      </w:pPr>
      <w:r>
        <w:rPr>
          <w:b/>
          <w:i w:val="0"/>
          <w:sz w:val="24"/>
        </w:rPr>
        <w:t>Titik Risiko</w:t>
      </w:r>
    </w:p>
    <w:p>
      <w:pPr>
        <w:jc w:val="both"/>
      </w:pPr>
      <w:r>
        <w:rPr>
          <w:b w:val="0"/>
          <w:i w:val="0"/>
        </w:rPr>
        <w:t>Jangan menyamakan fatwa dengan izin usaha atau menganggap izin menjawab seluruh persoalan syariah. Catat penerbit, mandat, dokumen, dan tanggalnya.</w:t>
      </w:r>
    </w:p>
    <w:p>
      <w:pPr>
        <w:jc w:val="both"/>
      </w:pPr>
      <w:r>
        <w:rPr>
          <w:b w:val="0"/>
          <w:i w:val="0"/>
        </w:rPr>
        <w:t>MUI, DSN-MUI, OJK, BI, BAZNAS, BWI, dan BPJPH menjawab kebutuhan publik berlainan. Lembaga penyusun panduan syariah tidak otomatis mengeluarkan izin usaha, sementara regulator bukan pemberi fatwa untuk setiap perkara pribadi.</w:t>
      </w:r>
    </w:p>
    <w:p>
      <w:pPr>
        <w:jc w:val="both"/>
      </w:pPr>
      <w:r>
        <w:rPr>
          <w:b w:val="0"/>
          <w:i w:val="0"/>
        </w:rPr>
        <w:t>Untuk perkara lintas bidang, misalnya layanan keuangan yang memotong zakat otomatis, periksa pihak yang mengelola pembayaran dan pihak penerima zakat. Tanyakan dasar pemotongan, kuasa, penerima dana, bukti penyaluran, dan cara mengoreksi kesalahan. Rincian tersebut memungkinkan petugas yang tepat menjawab tanggung jawabnya.</w:t>
      </w:r>
    </w:p>
    <w:p>
      <w:pPr>
        <w:jc w:val="both"/>
      </w:pPr>
      <w:r>
        <w:rPr>
          <w:b w:val="0"/>
          <w:i w:val="0"/>
        </w:rPr>
        <w:t>Pertanyaan praktis sebaiknya menyebut objek, tindakan, dan dokumen. “Apakah lembaga ini syariah?” terlalu luas untuk pemeriksaan berguna. Tanyakan apakah penyedia berizin untuk kegiatan tertentu, apakah akad menyebut mekanisme tertentu, dan di mana naskah fatwa atau aturan dapat dibaca.</w:t>
      </w:r>
    </w:p>
    <w:p>
      <w:pPr>
        <w:jc w:val="both"/>
      </w:pPr>
      <w:r>
        <w:rPr>
          <w:b w:val="0"/>
          <w:i w:val="0"/>
        </w:rPr>
        <w:t>Status kelembagaan dapat berubah setelah pembaruan aturan. Periksa tanggal publikasi, tautan dokumen, dan status berlakunya. Bila halaman hanya merangkum tugas, cari dasar hukum yang dirujuk. Jangan menyalin kontak dari unggahan yang tidak dapat diverifikasi.</w:t>
      </w:r>
    </w:p>
    <w:p>
      <w:pPr>
        <w:jc w:val="both"/>
      </w:pPr>
      <w:r>
        <w:rPr>
          <w:b w:val="0"/>
          <w:i w:val="0"/>
        </w:rPr>
        <w:t>Ilustrasi: pengurus masjid menerima tawaran layanan penghimpunan zakat yang menyebut perlindungan dana. Ia memeriksa identitas pengelola, kewenangan pengumpulan, rekening penerima, bukti penyaluran, dan jalur pengaduan. Setiap poin diperiksa pada lembaga yang mandatnya tepat.</w:t>
      </w:r>
    </w:p>
    <w:p>
      <w:pPr>
        <w:jc w:val="both"/>
      </w:pPr>
      <w:r>
        <w:rPr>
          <w:b/>
          <w:i w:val="0"/>
          <w:sz w:val="24"/>
        </w:rPr>
        <w:t>Checklist</w:t>
      </w:r>
    </w:p>
    <w:p>
      <w:pPr>
        <w:jc w:val="both"/>
      </w:pPr>
      <w:r>
        <w:rPr>
          <w:b w:val="0"/>
          <w:i w:val="0"/>
        </w:rPr>
        <w:t>- [ ] Saya mengelompokkan urusan: fatwa, izin keuangan, zakat, wakaf, atau halal.</w:t>
      </w:r>
    </w:p>
    <w:p>
      <w:pPr>
        <w:jc w:val="both"/>
      </w:pPr>
      <w:r>
        <w:rPr>
          <w:b w:val="0"/>
          <w:i w:val="0"/>
        </w:rPr>
        <w:t>- [ ] Saya menemukan dokumen dan kanal resmi.</w:t>
      </w:r>
    </w:p>
    <w:p>
      <w:pPr>
        <w:jc w:val="both"/>
      </w:pPr>
      <w:r>
        <w:rPr>
          <w:b/>
          <w:i w:val="0"/>
          <w:sz w:val="24"/>
        </w:rPr>
        <w:t>Muhasabah</w:t>
      </w:r>
    </w:p>
    <w:p>
      <w:pPr>
        <w:jc w:val="both"/>
      </w:pPr>
      <w:r>
        <w:rPr>
          <w:b w:val="0"/>
          <w:i w:val="0"/>
        </w:rPr>
        <w:t>Pernahkah Anda menganggap satu logo sebagai jaminan semua aspek layanan? Klaim apa yang perlu diperiksa sebelum menyerahkan uang atau data?</w:t>
      </w:r>
    </w:p>
    <w:p>
      <w:pPr>
        <w:jc w:val="both"/>
      </w:pPr>
      <w:r>
        <w:rPr>
          <w:b/>
          <w:i w:val="0"/>
          <w:sz w:val="24"/>
        </w:rPr>
        <w:t>Satu Kalimat</w:t>
      </w:r>
    </w:p>
    <w:p>
      <w:pPr>
        <w:jc w:val="both"/>
      </w:pPr>
      <w:r>
        <w:rPr>
          <w:b w:val="0"/>
          <w:i w:val="0"/>
        </w:rPr>
        <w:t>Kenali mandat lembaga sebelum menilai klaimnya, lalu cocokkan keterangan dengan dokumen resmi dan praktik.</w:t>
      </w:r>
    </w:p>
    <w:p>
      <w:pPr>
        <w:jc w:val="both"/>
      </w:pPr>
      <w:r>
        <w:rPr>
          <w:b/>
          <w:i w:val="0"/>
          <w:sz w:val="24"/>
        </w:rPr>
        <w:t>Lihat Juga</w:t>
      </w:r>
    </w:p>
    <w:p>
      <w:pPr>
        <w:jc w:val="both"/>
      </w:pPr>
      <w:r>
        <w:rPr>
          <w:b w:val="0"/>
          <w:i w:val="0"/>
        </w:rPr>
        <w:t>- Bab 66 (Lembar Pembedah Akad)</w:t>
      </w:r>
    </w:p>
    <w:p>
      <w:pPr>
        <w:jc w:val="both"/>
      </w:pPr>
      <w:r>
        <w:rPr>
          <w:b w:val="0"/>
          <w:i w:val="0"/>
        </w:rPr>
        <w:t>- Bab 85 (Perbankan Syariah)</w:t>
      </w:r>
    </w:p>
    <w:p>
      <w:pPr>
        <w:jc w:val="both"/>
      </w:pPr>
      <w:r>
        <w:rPr>
          <w:b w:val="0"/>
          <w:i w:val="0"/>
        </w:rPr>
        <w:t>- Bab 16 (Ekosistem Rezeki)</w:t>
      </w:r>
    </w:p>
    <w:p>
      <w:pPr>
        <w:jc w:val="both"/>
      </w:pPr>
      <w:r>
        <w:rPr>
          <w:b w:val="0"/>
          <w:i w:val="0"/>
        </w:rPr>
        <w:t>- [QR: /bab-15]</w:t>
      </w:r>
    </w:p>
    <w:p>
      <w:pPr>
        <w:jc w:val="both"/>
      </w:pPr>
      <w:r>
        <w:rPr>
          <w:b w:val="0"/>
          <w:i w:val="0"/>
        </w:rPr>
        <w:t>Saat memeriksa mandat, mulailah dari pertanyaan yang paling sempit. Untuk izin, identifikasi nama badan hukum dan kegiatan yang dijalankan; untuk zakat, periksa siapa menghimpun dan menyalurkan; untuk wakaf, pastikan pihak yang bertindak sebagai nadzir; untuk halal, bedakan sertifikasi produk dari penilaian bahan secara informal. Jangan menganggap satu lembaga memberi jawaban atas semua lapisan. Simpan dokumen asal, tanggal akses, dan nama unit yang memberi penjelasan. Jika ada jawaban berbeda, kirim pertanyaan yang sama dengan fakta dan lampiran yang sama, lalu bandingkan dasar kewenangan serta rujukan yang dipakai.</w:t>
      </w:r>
    </w:p>
    <w:p>
      <w:pPr>
        <w:jc w:val="both"/>
      </w:pPr>
      <w:r>
        <w:rPr>
          <w:b w:val="0"/>
          <w:i w:val="0"/>
        </w:rPr>
        <w:t>Di tingkat daerah, layanan dapat dijalankan oleh unit atau mitra yang berbeda dari lembaga nasional. Periksa apakah mitra memiliki penunjukan tertulis, wilayah kerja, dan cara menyampaikan keberatan. Jangan menyerahkan uang hanya karena petugas menyebut nama lembaga besar. Pastikan tanda terima menyebut penerima dan tujuan dana. Bila dokumen tidak cukup menjelaskan tanggung jawab, tunda keputusan dan minta klarifikasi tertulis.</w:t>
      </w:r>
    </w:p>
    <w:p>
      <w:pPr>
        <w:jc w:val="both"/>
      </w:pPr>
      <w:r>
        <w:rPr>
          <w:b/>
          <w:i w:val="0"/>
          <w:sz w:val="28"/>
        </w:rPr>
        <w:t>15.2 Peta Ormas dan Majelis Fatwa: MUI, NU, Muhammadiyah, Persis, dan Cara Menghormati Perbedaan</w:t>
      </w:r>
    </w:p>
    <w:p>
      <w:pPr>
        <w:jc w:val="both"/>
      </w:pPr>
      <w:r>
        <w:rPr>
          <w:b w:val="0"/>
          <w:i w:val="0"/>
        </w:rPr>
        <w:t>Di sebuah keluarga di Yogyakarta, dua orang menerima penjelasan berbeda tentang transaksi yang sama. Perbedaan dapat bersumber dari metode istinbath, penilaian dalil, atau fakta yang dipakai. MUI, Nahdlatul Ulama (NU), Muhammadiyah, Persatuan Islam (Persis), serta majelis fatwa lain memiliki struktur dan prosedur masing-masing. Tidak setiap pendapat seorang tokoh merupakan keputusan resmi organisasi. Telusuri siapa yang berbicara, apakah ia menyampaikan pandangan pribadi atau keputusan kolektif, dan masalah apa yang dijawab. Menghormati perbedaan bukan berarti mengabaikan dalil. Artinya, mengutip secara tepat dan meminta penjelasan ahli ketika keputusan menyentuh hak orang lain.</w:t>
      </w:r>
    </w:p>
    <w:p>
      <w:pPr>
        <w:jc w:val="both"/>
      </w:pPr>
      <w:r>
        <w:rPr>
          <w:b w:val="0"/>
          <w:i w:val="0"/>
        </w:rPr>
        <w:t>Saat warga bertanya kepada majelis, sebut fakta dan kebutuhan, bukan meminta dukungan menyerang kelompok lain. Pendapat untuk konteks tertentu mungkin tidak mencakup keadaan berbeda. Tanyakan apakah sumber merupakan keputusan tertulis, kajian, atau penjelasan lisan. Jika tidak jelas, nyatakan ketidakpastian terbuka.</w:t>
      </w:r>
    </w:p>
    <w:p>
      <w:pPr>
        <w:jc w:val="both"/>
      </w:pPr>
      <w:r>
        <w:rPr>
          <w:b w:val="0"/>
          <w:i w:val="0"/>
        </w:rPr>
        <w:t>Ketika pendapat berbeda berpengaruh pada keputusan keluarga, susun fakta bersama. Tanyakan bagian yang disepakati, hal yang diperselisihkan, serta akibat praktis pilihan. Jangan memaksa persetujuan hanya demi mengakhiri percakapan. Bila keputusan menyangkut harta bersama, dengarkan pihak yang menanggung akibat. Dalam penyebaran kutipan, sertakan sumber primer. Jangan menyebut kajian lisan sebagai fatwa organisasi.</w:t>
      </w:r>
    </w:p>
    <w:p>
      <w:pPr>
        <w:jc w:val="both"/>
      </w:pPr>
      <w:r>
        <w:rPr>
          <w:b w:val="0"/>
          <w:i w:val="0"/>
        </w:rPr>
        <w:t>Pengurus koperasi membandingkan dua ringkasan pandangan tentang klausul. Ia mencari naskah asli, tanggal, dan ruang lingkupnya. Jika sumber tidak jelas, ia meminta rujukan sebelum menyebarkannya.</w:t>
      </w:r>
    </w:p>
    <w:p>
      <w:pPr>
        <w:jc w:val="both"/>
      </w:pPr>
      <w:r>
        <w:rPr>
          <w:b/>
          <w:i w:val="0"/>
          <w:sz w:val="24"/>
        </w:rPr>
        <w:t>Titik Risiko</w:t>
      </w:r>
    </w:p>
    <w:p>
      <w:pPr>
        <w:jc w:val="both"/>
      </w:pPr>
      <w:r>
        <w:rPr>
          <w:b w:val="0"/>
          <w:i w:val="0"/>
        </w:rPr>
        <w:t>Kutipan tanpa dokumen dapat menisbatkan pendapat keliru kepada organisasi. Periksa penerbit, tanggal, dan konteks.</w:t>
      </w:r>
    </w:p>
    <w:p>
      <w:pPr>
        <w:jc w:val="both"/>
      </w:pPr>
      <w:r>
        <w:rPr>
          <w:b w:val="0"/>
          <w:i w:val="0"/>
        </w:rPr>
        <w:t>Atribusikan pendapat: siapa berpendapat, pada masalah apa, dan apa batas penerapannya. Jangan menganggap pandangan satu ulama sebagai keputusan seluruh organisasi. Dalam keputusan bersama, dokumentasikan alasan dan beri ruang bertanya.</w:t>
      </w:r>
    </w:p>
    <w:p>
      <w:pPr>
        <w:jc w:val="both"/>
      </w:pPr>
      <w:r>
        <w:rPr>
          <w:b w:val="0"/>
          <w:i w:val="0"/>
        </w:rPr>
        <w:t>Saat warga bertanya kepada majelis, sebut fakta dan kebutuhan, bukan meminta dukungan untuk menyerang kelompok lain. Pendapat yang ditulis untuk konteks tertentu mungkin tidak mencakup keadaan berbeda. Tanyakan apakah sumber merupakan keputusan tertulis, kajian, atau penjelasan lisan. Jika tidak jelas, nyatakan ketidakpastian secara terbuka.</w:t>
      </w:r>
    </w:p>
    <w:p>
      <w:pPr>
        <w:jc w:val="both"/>
      </w:pPr>
      <w:r>
        <w:rPr>
          <w:b w:val="0"/>
          <w:i w:val="0"/>
        </w:rPr>
        <w:t>Saat keluarga berbeda pandangan tentang dana bersama, tuliskan sumber yang dipakai dan tujuan keputusan. Hindari mengubah diskusi hukum menjadi penilaian iman seseorang.</w:t>
      </w:r>
    </w:p>
    <w:p>
      <w:pPr>
        <w:jc w:val="both"/>
      </w:pPr>
      <w:r>
        <w:rPr>
          <w:b w:val="0"/>
          <w:i w:val="0"/>
        </w:rPr>
        <w:t>Di tempat kerja, simpan naskah sumber dan koreksi kutipan bila konteksnya terpotong. Jika keputusan resmi belum ditemukan, nyatakan bahwa rujukan belum terverifikasi.</w:t>
      </w:r>
    </w:p>
    <w:p>
      <w:pPr>
        <w:jc w:val="both"/>
      </w:pPr>
      <w:r>
        <w:rPr>
          <w:b w:val="0"/>
          <w:i w:val="0"/>
        </w:rPr>
        <w:t>- [ ] Sumber primer dan pembuat keputusan teridentifikasi. Perbedaan metodologis tidak diubah menjadi tuduhan niat.</w:t>
      </w:r>
    </w:p>
    <w:p>
      <w:pPr>
        <w:jc w:val="both"/>
      </w:pPr>
      <w:r>
        <w:rPr>
          <w:b w:val="0"/>
          <w:i w:val="0"/>
        </w:rPr>
        <w:t>Ketika mendengar pendapat berbeda, apakah Anda pernah menyebarkannya sebelum membaca konteks?</w:t>
      </w:r>
    </w:p>
    <w:p>
      <w:pPr>
        <w:jc w:val="both"/>
      </w:pPr>
      <w:r>
        <w:rPr>
          <w:b w:val="0"/>
          <w:i w:val="0"/>
        </w:rPr>
        <w:t>Jaga adab ikhtilaf dengan menyebut pendapat akurat dan menyerahkan persoalan rumit kepada ahli.</w:t>
      </w:r>
    </w:p>
    <w:p>
      <w:pPr>
        <w:jc w:val="both"/>
      </w:pPr>
      <w:r>
        <w:rPr>
          <w:b w:val="0"/>
          <w:i w:val="0"/>
        </w:rPr>
        <w:t>Sebelum menerima pendapat, siapkan uraian fakta tanpa menyamarkan unsur yang mungkin mengubah hukum. Jelaskan siapa para pihak, apa objeknya, kapan kewajiban muncul, dan apakah ada biaya atau syarat tambahan. Pertanyaan yang terlalu umum mudah menghasilkan jawaban yang tidak cocok dengan kasus Anda. Mintalah penjelasan istilah yang belum dipahami dan tanyakan batas penerapan pendapat tersebut.</w:t>
      </w:r>
    </w:p>
    <w:p>
      <w:pPr>
        <w:jc w:val="both"/>
      </w:pPr>
      <w:r>
        <w:rPr>
          <w:b w:val="0"/>
          <w:i w:val="0"/>
        </w:rPr>
        <w:t>Jika Anda mengutip jawaban dalam rapat, catat tanggal, forum, pembicara, serta apakah ada keputusan tertulis. Beri kesempatan organisasi mengoreksi atribusi yang keliru. Dalam keluarga, orang dapat mengikuti bimbingan berbeda sepanjang tidak menghilangkan hak pihak lain atau memalsukan dokumen. Untuk urusan bersama, carilah kesepakatan prosedural: siapa menelaah, kapan keputusan dibuat, dan bagaimana keberatan dicatat.</w:t>
      </w:r>
    </w:p>
    <w:p>
      <w:pPr>
        <w:jc w:val="both"/>
      </w:pPr>
      <w:r>
        <w:rPr>
          <w:b/>
          <w:i w:val="0"/>
          <w:sz w:val="28"/>
        </w:rPr>
        <w:t>15.3 Kerangka Hukum: UU Perbankan Syariah, UU Zakat, UU Wakaf, dan UU Jaminan Produk Halal</w:t>
      </w:r>
    </w:p>
    <w:p>
      <w:pPr>
        <w:jc w:val="both"/>
      </w:pPr>
      <w:r>
        <w:rPr>
          <w:b w:val="0"/>
          <w:i w:val="0"/>
        </w:rPr>
        <w:t>Di sebuah lembaga sosial, staf menerima pertanyaan tentang dana zakat, wakaf tunai, dan pembayaran melalui layanan keuangan. Ketiganya memiliki kerangka hukum berlainan. Undang-Undang Perbankan Syariah, undang-undang zakat, undang-undang wakaf, dan ketentuan jaminan produk halal mengatur bidang masing-masing. Judul undang-undang belum menentukan apakah transaksi tertentu sesuai atau apakah aturan masih berlaku. Periksa lingkup, perubahan, peraturan pelaksana, dan pihak yang diatur. Jika perkara menyentuh beberapa bidang, jangan memakai satu pasal sebagai jawaban tunggal. Siapkan dokumen dan minta keterangan ahli atau instansi terkait.</w:t>
      </w:r>
    </w:p>
    <w:p>
      <w:pPr>
        <w:jc w:val="both"/>
      </w:pPr>
      <w:r>
        <w:rPr>
          <w:b w:val="0"/>
          <w:i w:val="0"/>
        </w:rPr>
        <w:t>Peraturan pelaksana menjelaskan prosedur yang tidak tampak pada judul undang-undang. Catat nomor hanya setelah memeriksa sumber primer. Bila norma bersinggungan, petakan pihak, kegiatan, dokumen, dan masa berlaku. Konsultasikan kepada unit hukum atau instansi terkait, tetapi tanggung jawab membaca kontrak tetap ada. Hindari mengirim data penerima zakat atau nasabah ke forum terbuka.</w:t>
      </w:r>
    </w:p>
    <w:p>
      <w:pPr>
        <w:jc w:val="both"/>
      </w:pPr>
      <w:r>
        <w:rPr>
          <w:b w:val="0"/>
          <w:i w:val="0"/>
        </w:rPr>
        <w:t>Orang awam dapat menyimpan dokumen, menandai pasal yang disebut petugas, dan menulis pertanyaan yang belum terjawab. Jangan menyimpulkan tindakan legal hanya karena satu syarat administratif terpenuhi. Jangan pula menuduh pelanggaran dari cuplikan aturan. Konteks dan perubahan hukum perlu ditelaah pihak kompeten.</w:t>
      </w:r>
    </w:p>
    <w:p>
      <w:pPr>
        <w:jc w:val="both"/>
      </w:pPr>
      <w:r>
        <w:rPr>
          <w:b w:val="0"/>
          <w:i w:val="0"/>
        </w:rPr>
        <w:t>Tentukan apakah persoalannya jasa keuangan, zakat, wakaf, atau sertifikasi halal. Catat pihak, kewenangan, serta dokumen yang mengatur. Cari versi yang berlaku dan cocokkan aturan pelaksana.</w:t>
      </w:r>
    </w:p>
    <w:p>
      <w:pPr>
        <w:jc w:val="both"/>
      </w:pPr>
      <w:r>
        <w:rPr>
          <w:b/>
          <w:i w:val="0"/>
          <w:sz w:val="24"/>
        </w:rPr>
        <w:t>Titik Risiko</w:t>
      </w:r>
    </w:p>
    <w:p>
      <w:pPr>
        <w:jc w:val="both"/>
      </w:pPr>
      <w:r>
        <w:rPr>
          <w:b w:val="0"/>
          <w:i w:val="0"/>
        </w:rPr>
        <w:t>Mengutip judul undang-undang tanpa pasal, perubahan, dan konteks dapat menyesatkan. Status berlaku perlu dicek pada sumber resmi.</w:t>
      </w:r>
    </w:p>
    <w:p>
      <w:pPr>
        <w:jc w:val="both"/>
      </w:pPr>
      <w:r>
        <w:rPr>
          <w:b w:val="0"/>
          <w:i w:val="0"/>
        </w:rPr>
        <w:t>Tuliskan pertanyaan konkret: siapa wajib melakukan apa, terhadap siapa, dan sejak kapan. Simpan tautan dan tanggal akses. Peraturan pelaksana sering menjelaskan prosedur yang tidak tampak pada judul undang-undang. Catat nomor dokumen hanya setelah memeriksa sumber primer. Jika rujukan belum tersedia, mintalah bantuan ahli.</w:t>
      </w:r>
    </w:p>
    <w:p>
      <w:pPr>
        <w:jc w:val="both"/>
      </w:pPr>
      <w:r>
        <w:rPr>
          <w:b w:val="0"/>
          <w:i w:val="0"/>
        </w:rPr>
        <w:t>Pengelola wakaf hendak menempatkan dana pada lembaga keuangan. Ia meninjau aturan wakaf, mandat nadzir, dokumen penempatan, dan risiko harta wakaf. Satu izin tidak otomatis menjawab seluruh kewajiban.</w:t>
      </w:r>
    </w:p>
    <w:p>
      <w:pPr>
        <w:jc w:val="both"/>
      </w:pPr>
      <w:r>
        <w:rPr>
          <w:b w:val="0"/>
          <w:i w:val="0"/>
        </w:rPr>
        <w:t>Simpan surat penunjukan, bukti penerimaan, dan tujuan dana saat mengurus zakat atau wakaf. Untuk sengketa hak, mintalah nasihat hukum sebelum mengubah pengelolaan.</w:t>
      </w:r>
    </w:p>
    <w:p>
      <w:pPr>
        <w:jc w:val="both"/>
      </w:pPr>
      <w:r>
        <w:rPr>
          <w:b w:val="0"/>
          <w:i w:val="0"/>
        </w:rPr>
        <w:t>Buat daftar peraturan primer beserta tanggal pembaruan dan pemilik peninjauan. Arsipkan aturan yang dicabut agar riwayat keputusan dapat ditelusuri.</w:t>
      </w:r>
    </w:p>
    <w:p>
      <w:pPr>
        <w:jc w:val="both"/>
      </w:pPr>
      <w:r>
        <w:rPr>
          <w:b w:val="0"/>
          <w:i w:val="0"/>
        </w:rPr>
        <w:t>Sudahkah Anda memeriksa perubahan terakhir dan ruang lingkup pasal yang dikutip?</w:t>
      </w:r>
    </w:p>
    <w:p>
      <w:pPr>
        <w:jc w:val="both"/>
      </w:pPr>
      <w:r>
        <w:rPr>
          <w:b w:val="0"/>
          <w:i w:val="0"/>
        </w:rPr>
        <w:t>Baca aturan berdasarkan bidang, pihak, dan status berlakunya sebelum menerapkannya.</w:t>
      </w:r>
    </w:p>
    <w:p>
      <w:pPr>
        <w:jc w:val="both"/>
      </w:pPr>
      <w:r>
        <w:rPr>
          <w:b w:val="0"/>
          <w:i w:val="0"/>
        </w:rPr>
        <w:t>Pemeriksaan aturan dapat dimulai dari portal peraturan resmi dan laman instansi penerbit. Cari naskah, bukan hanya ringkasan berita. Cocokkan judul, nomor, tanggal pengundangan, perubahan, dan status. Bila suatu aturan merujuk aturan lain, ikuti rujukan itu sampai prosedur yang langsung mengatur kegiatan ditemukan. Untuk dokumen panjang, tandai pasal yang mengatur kewajiban, pengecualian, dan sanksi, lalu baca definisi pada bagian awal.</w:t>
      </w:r>
    </w:p>
    <w:p>
      <w:pPr>
        <w:jc w:val="both"/>
      </w:pPr>
      <w:r>
        <w:rPr>
          <w:b w:val="0"/>
          <w:i w:val="0"/>
        </w:rPr>
        <w:t>Dalam praktik, petugas mungkin menyebut kebijakan internal sebagai hukum. Tanyakan apakah dokumen itu peraturan publik, keputusan lembaga, atau prosedur perusahaan. Perbedaan label penting karena jalur keberatan dan pihak yang terikat tidak sama. Hindari mengirim simpulan hukum kepada orang lain sebelum ahli menelaah konteks dan versi aturan yang berlaku.</w:t>
      </w:r>
    </w:p>
    <w:p>
      <w:pPr>
        <w:jc w:val="both"/>
      </w:pPr>
      <w:r>
        <w:rPr>
          <w:b/>
          <w:i w:val="0"/>
          <w:sz w:val="28"/>
        </w:rPr>
        <w:t>15.4 Memahami Fatwa DSN-MUI: Kedudukan, Kekuatan, dan Pemakaiannya</w:t>
      </w:r>
    </w:p>
    <w:p>
      <w:pPr>
        <w:jc w:val="both"/>
      </w:pPr>
      <w:r>
        <w:rPr>
          <w:b w:val="0"/>
          <w:i w:val="0"/>
        </w:rPr>
        <w:t>Seorang bendahara usaha menemukan rujukan fatwa DSN-MUI pada rancangan kontrak, tetapi tidak tahu apakah kalimat itu pedoman atau bagian aturan yang mengikat. Fatwa menjelaskan pandangan keagamaan atas isu yang dirumuskan. Penerapan pada lembaga dapat bergantung pada regulasi, dokumen, dan cara para pihak mengadopsinya. Kata “fatwa” bukan stempel yang menyelesaikan semua pemeriksaan. Baca pertanyaan yang dijawab, ketentuan, syarat, serta pihak sasaran. Periksa apakah keputusan diperbarui atau dirujuk peraturan. Untuk transaksi aktual, cocokkan prinsip dengan rangkaian akad. Jika teks tidak tersedia, minta salinan resmi daripada mengandalkan promosi.</w:t>
      </w:r>
    </w:p>
    <w:p>
      <w:pPr>
        <w:jc w:val="both"/>
      </w:pPr>
      <w:r>
        <w:rPr>
          <w:b w:val="0"/>
          <w:i w:val="0"/>
        </w:rPr>
        <w:t>Pembaca awam tidak dituntut memutus seluruh persoalan sendiri. Kumpulkan fakta dan kenali saat pertanyaan melampaui pengetahuan pribadi. Catat kegiatan para pihak, urutan pembayaran, perpindahan kepemilikan, dan janji yang dibuat. Informasi itu membantu ahli menilai relevansi fatwa. Jika fatwa memuat syarat atau pengecualian, jangan menghapusnya saat menjelaskan kepada orang lain.</w:t>
      </w:r>
    </w:p>
    <w:p>
      <w:pPr>
        <w:jc w:val="both"/>
      </w:pPr>
      <w:r>
        <w:rPr>
          <w:b w:val="0"/>
          <w:i w:val="0"/>
        </w:rPr>
        <w:t>Pemakaian fatwa dapat menjadi bagian tata kelola tanpa menjadikannya identik dengan undang-undang. Periksa apakah regulasi menyebutnya sebagai rujukan, apakah kontrak memasukkan ketentuannya, dan siapa yang wajib mematuhinya. Dalam konsultasi, minta penjelasan atas bagian yang berhubungan dengan transaksi. Jawaban bertanggung jawab dapat mengakui fakta belum lengkap.</w:t>
      </w:r>
    </w:p>
    <w:p>
      <w:pPr>
        <w:jc w:val="both"/>
      </w:pPr>
      <w:r>
        <w:rPr>
          <w:b w:val="0"/>
          <w:i w:val="0"/>
        </w:rPr>
        <w:t>Bendahara meminta teks fatwa dan klausul kontrak yang menerapkannya. Ia membandingkan objek, urutan jual beli, kepemilikan, dan pembagian risiko. Bagian yang kabur dicatat sebagai pertanyaan.</w:t>
      </w:r>
    </w:p>
    <w:p>
      <w:pPr>
        <w:jc w:val="both"/>
      </w:pPr>
      <w:r>
        <w:rPr>
          <w:b w:val="0"/>
          <w:i w:val="0"/>
        </w:rPr>
        <w:t>Nomor fatwa tanpa teks dan penjelasan penerapan tidak cukup memastikan struktur transaksi. Minta dokumen primer.</w:t>
      </w:r>
    </w:p>
    <w:p>
      <w:pPr>
        <w:jc w:val="both"/>
      </w:pPr>
      <w:r>
        <w:rPr>
          <w:b w:val="0"/>
          <w:i w:val="0"/>
        </w:rPr>
        <w:t>Dalam kutipan, cantumkan penerbit dan nomor yang telah diverifikasi. Jangan menisbatkan keputusan pada DSN-MUI berdasarkan unggahan tanpa sumber. [FATWA-CEK] Kekuatan fatwa dalam praktik lembaga perlu dibaca melalui aturan yang mengadopsinya, hubungan kontrak, dan subjek yang wajib mengikuti. Jangan menggeneralisasi kedudukan satu fatwa untuk seluruh masyarakat atau semua akad.</w:t>
      </w:r>
    </w:p>
    <w:p>
      <w:pPr>
        <w:jc w:val="both"/>
      </w:pPr>
      <w:r>
        <w:rPr>
          <w:b w:val="0"/>
          <w:i w:val="0"/>
        </w:rPr>
        <w:t>Cari versi lengkap fatwa dan tandai bagian yang menjawab masalah keluarga. Jangan menyampaikan konsultasi pribadi sebagai aturan semua anggota.</w:t>
      </w:r>
    </w:p>
    <w:p>
      <w:pPr>
        <w:jc w:val="both"/>
      </w:pPr>
      <w:r>
        <w:rPr>
          <w:b w:val="0"/>
          <w:i w:val="0"/>
        </w:rPr>
        <w:t>Hubungkan klausul akad dengan butir fatwa dan ketentuan regulator. Uji pelaksanaan, bukan hanya kesamaan istilah. Minta kajian ulang bila produk berubah.</w:t>
      </w:r>
    </w:p>
    <w:p>
      <w:pPr>
        <w:jc w:val="both"/>
      </w:pPr>
      <w:r>
        <w:rPr>
          <w:b w:val="0"/>
          <w:i w:val="0"/>
        </w:rPr>
        <w:t>- [ ] Saya membaca ruang lingkup dan ketentuan fatwa. Saya mencocokkan kontrak serta aturan yang berlaku.</w:t>
      </w:r>
    </w:p>
    <w:p>
      <w:pPr>
        <w:jc w:val="both"/>
      </w:pPr>
      <w:r>
        <w:rPr>
          <w:b w:val="0"/>
          <w:i w:val="0"/>
        </w:rPr>
        <w:t>Pernahkah Anda menerima klaim “sudah ada fatwa” tanpa bertanya fatwa tentang apa?</w:t>
      </w:r>
    </w:p>
    <w:p>
      <w:pPr>
        <w:jc w:val="both"/>
      </w:pPr>
      <w:r>
        <w:rPr>
          <w:b w:val="0"/>
          <w:i w:val="0"/>
        </w:rPr>
        <w:t>Fatwa memberi arah pada masalah yang dibahasnya; penerapan tetap memerlukan pemeriksaan dokumen.</w:t>
      </w:r>
    </w:p>
    <w:p>
      <w:pPr>
        <w:jc w:val="both"/>
      </w:pPr>
      <w:r>
        <w:rPr>
          <w:b w:val="0"/>
          <w:i w:val="0"/>
        </w:rPr>
        <w:t>Ketika membaca fatwa, telusuri latar persoalan dan istilah yang didefinisikan. Periksa apakah keputusan membahas prinsip umum, susunan akad tertentu, atau tata cara operasional. Perhatikan syarat yang harus dipenuhi dan keadaan yang dikecualikan. Jika produk menggabungkan beberapa akad, satu kutipan belum tentu menjawab urutan keseluruhannya. Minta pihak penyedia menunjukkan bagaimana ketentuan diterapkan pada setiap tahap.</w:t>
      </w:r>
    </w:p>
    <w:p>
      <w:pPr>
        <w:jc w:val="both"/>
      </w:pPr>
      <w:r>
        <w:rPr>
          <w:b w:val="0"/>
          <w:i w:val="0"/>
        </w:rPr>
        <w:t>Anda dapat menulis tabel kerja pribadi berisi kutipan, fakta transaksi, dan pertanyaan yang belum terjawab. Tabel itu bukan putusan, melainkan alat agar konsultasi tidak melompat dari slogan ke vonis. Jika naskah yang beredar berbeda dari salinan resmi, utamakan sumber penerbit dan catat perbedaan tanpa mengubah teks.</w:t>
      </w:r>
    </w:p>
    <w:p>
      <w:pPr>
        <w:jc w:val="both"/>
      </w:pPr>
      <w:r>
        <w:rPr>
          <w:b/>
          <w:i w:val="0"/>
          <w:sz w:val="28"/>
        </w:rPr>
        <w:t>15.5 Perbedaan antara Fatwa, Regulasi, dan Praktik Industri</w:t>
      </w:r>
    </w:p>
    <w:p>
      <w:pPr>
        <w:jc w:val="both"/>
      </w:pPr>
      <w:r>
        <w:rPr>
          <w:b w:val="0"/>
          <w:i w:val="0"/>
        </w:rPr>
        <w:t>Seorang pelanggan membaca brosur yang menyebut produk sesuai fatwa, sementara situs regulator memuat aturan izin dan perlindungan. Ia perlu memisahkan fatwa sebagai pandangan syariah, regulasi sebagai ketentuan negara, dan praktik sebagai tindakan yang dilakukan. Ketiganya berkaitan, tetapi satu tidak membuktikan dua lainnya. Fatwa tidak membuktikan setiap petugas menjalankan akad dengan benar; izin pun tidak menjawab semua pertanyaan fiqh. Pengalaman pelanggan perlu bukti sebelum digeneralisasi. Kumpulkan kontrak, bukti transaksi, keterangan izin, dan kronologi. Arahkan tiap pertanyaan kepada pihak yang tepat tanpa memvonis dari judul atau satu keluhan.</w:t>
      </w:r>
    </w:p>
    <w:p>
      <w:pPr>
        <w:jc w:val="both"/>
      </w:pPr>
      <w:r>
        <w:rPr>
          <w:b w:val="0"/>
          <w:i w:val="0"/>
        </w:rPr>
        <w:t>Pencatatan terpisah memudahkan konsultasi dan pengaduan. Berikan kontrak lengkap kepada pihak yang menilai, bukan cuplikan yang menghilangkan ketentuan lain. Simpan materi pemasaran yang membuat klaim kepatuhan. Jangan menyimpulkan seluruh industri bertindak sama dari satu sengketa. Pengalaman konsumen tetap perlu diperiksa meski penyedia memiliki prosedur resmi.</w:t>
      </w:r>
    </w:p>
    <w:p>
      <w:pPr>
        <w:jc w:val="both"/>
      </w:pPr>
      <w:r>
        <w:rPr>
          <w:b w:val="0"/>
          <w:i w:val="0"/>
        </w:rPr>
        <w:t>Bagi keluarga, buat tiga kolom: rujukan syariah, kewajiban hukum, dan tindakan nyata. Sertakan kuitansi dan klausul untuk pertanyaan biaya; identitas badan hukum untuk status izin; teks dan cakupan untuk rujukan fatwa. Cara ini menjadikan pembicaraan lebih terarah dan menghindari silang paham.</w:t>
      </w:r>
    </w:p>
    <w:p>
      <w:pPr>
        <w:jc w:val="both"/>
      </w:pPr>
      <w:r>
        <w:rPr>
          <w:b w:val="0"/>
          <w:i w:val="0"/>
        </w:rPr>
        <w:t>Saat menilai sebuah tawaran, pisahkan tiga bukti. Untuk fatwa, cari naskah dan ruang lingkupnya. Untuk regulasi, cari izin serta kewajiban yang berlaku. Untuk praktik, periksa kontrak, kuitansi, dan komunikasi yang benar-benar terjadi. Jika satu bukti belum tersedia, tulis sebagai hal yang belum diketahui, bukan sebagai dugaan pelanggaran.</w:t>
      </w:r>
    </w:p>
    <w:p>
      <w:pPr>
        <w:jc w:val="both"/>
      </w:pPr>
      <w:r>
        <w:rPr>
          <w:b/>
          <w:i w:val="0"/>
          <w:sz w:val="28"/>
        </w:rPr>
        <w:t>15.6 Prinsip Universal dan Penerapan di Indonesia: Cara Memisahkannya Saat Regulasi Berubah</w:t>
      </w:r>
    </w:p>
    <w:p>
      <w:pPr>
        <w:jc w:val="both"/>
      </w:pPr>
      <w:r>
        <w:rPr>
          <w:b w:val="0"/>
          <w:i w:val="0"/>
        </w:rPr>
        <w:t>Prinsip keadilan, amanah, pemenuhan janji, dan larangan mengambil harta secara batil melampaui satu yurisdiksi. Namun, penerapannya pada kontrak dibentuk melalui fiqh, fatwa, hukum negara, serta fakta lokal. Perubahan peraturan Indonesia dapat mengubah tata cara izin atau perlindungan tanpa menghapus nilai dasar. Bedakan prinsip umum dari bentuk administratif yang berlaku pada waktu tertentu. Standar internasional tidak otomatis memiliki daya hukum di Indonesia, sedangkan perbedaan standar luar tidak membenarkan pengabaian aturan nasional. Untuk kegiatan lintas negara, periksa hukum di tiap tempat, pilihan hukum kontrak, dan otoritas penyelesaian sengketa. Prinsip memberi orientasi; keputusan operasional bertumpu pada dokumen dan aturan aktual.</w:t>
      </w:r>
    </w:p>
    <w:p>
      <w:pPr>
        <w:jc w:val="both"/>
      </w:pPr>
      <w:r>
        <w:rPr>
          <w:b w:val="0"/>
          <w:i w:val="0"/>
        </w:rPr>
        <w:t>Prinsip umum diterjemahkan dengan cermat ke kondisi Indonesia. Ketentuan perlindungan konsumen dan perizinan dapat berbeda antarnegara karena objek, sistem hukum, atau pembagian kewenangan berlainan. Sebelum membawa standar luar ke kontrak lokal, periksa apakah ia diadopsi dan bagaimana konflik aturan ditangani. Untuk kontrak multinegara, jangan menganggap hukum tempat penyedia saja berlaku.</w:t>
      </w:r>
    </w:p>
    <w:p>
      <w:pPr>
        <w:jc w:val="both"/>
      </w:pPr>
      <w:r>
        <w:rPr>
          <w:b w:val="0"/>
          <w:i w:val="0"/>
        </w:rPr>
        <w:t>Simpan tanggal keputusan dan sumber yang dipakai. Tanggal membantu ahli memahami keadaan saat perjanjian dibuat, tetapi arsip lama tidak membuat aturan lama berlaku bagi transaksi baru. Tinjau ulang formulir sebelum pemakaian berikutnya. Jelaskan perubahan kepada pihak terkait, terutama bila memengaruhi biaya, pembatalan, atau tanggung jawab.</w:t>
      </w:r>
    </w:p>
    <w:p>
      <w:pPr>
        <w:jc w:val="right"/>
        <w:rtl/>
      </w:pPr>
      <w:r>
        <w:rPr>
          <w:rFonts w:ascii="Scheherazade New" w:hAnsi="Scheherazade New"/>
          <w:sz w:val="30"/>
          <w:rtl/>
          <w:cs w:val="1"/>
        </w:rPr>
        <w:t>بِسْمِ ٱللَّهِ ٱلرَّحْمَٰنِ ٱلرَّحِيمِ يَٰٓأَيُّهَا ٱلَّذِينَ ءَامَنُوٓا۟ أَوْفُوا۟ بِٱلْعُقُودِ ۚ أُحِلَّتْ لَكُم بَهِيمَةُ ٱلْأَنْعَٰمِ إِلَّا مَا يُتْلَىٰ عَلَيْكُمْ غَيْرَ مُحِلِّى ٱلصَّيْدِ وَأَنتُمْ حُرُمٌ ۗ إِنَّ ٱللَّهَ يَحْكُمُ مَا يُرِيدُ</w:t>
      </w:r>
    </w:p>
    <w:p>
      <w:pPr>
        <w:jc w:val="both"/>
      </w:pPr>
      <w:r>
        <w:rPr>
          <w:b w:val="0"/>
          <w:i w:val="0"/>
          <w:sz w:val="18"/>
        </w:rPr>
        <w:t>LATIN: n.a. (transliterasi tidak dipakai; teks Arab dibaca langsung)</w:t>
      </w:r>
    </w:p>
    <w:p>
      <w:pPr>
        <w:jc w:val="both"/>
      </w:pPr>
      <w:r>
        <w:rPr>
          <w:b w:val="0"/>
          <w:i/>
        </w:rPr>
        <w:t>Artinya: Wahai orang-orang yang beriman, penuhilah akad-akad itu.</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1</w:t>
      </w:r>
    </w:p>
    <w:p>
      <w:pPr>
        <w:jc w:val="both"/>
      </w:pPr>
      <w:r>
        <w:rPr>
          <w:b w:val="0"/>
          <w:i w:val="0"/>
          <w:sz w:val="18"/>
        </w:rPr>
        <w:t>STATUS: [V-AYAT]</w:t>
      </w:r>
    </w:p>
    <w:p>
      <w:pPr>
        <w:jc w:val="both"/>
      </w:pPr>
      <w:r>
        <w:rPr>
          <w:b w:val="0"/>
          <w:i w:val="0"/>
        </w:rPr>
        <w:t>Pemasok lintas negara meminta perubahan waktu penyerahan setelah aturan impor berubah. Pembeli memeriksa klausul, pemberitahuan, hukum kontrak, dan dampaknya pada pembayaran. Prinsip memenuhi akad menjadi pertimbangan, tetapi penyelesaian mengikuti fakta dan aturan.</w:t>
      </w:r>
    </w:p>
    <w:p>
      <w:pPr>
        <w:jc w:val="both"/>
      </w:pPr>
      <w:r>
        <w:rPr>
          <w:b w:val="0"/>
          <w:i w:val="0"/>
        </w:rPr>
        <w:t>Memakai aturan lama setelah perubahan atau menganggap standar asing otomatis mengikat dapat merugikan. Periksa yurisdiksi dan tanggal efektif.</w:t>
      </w:r>
    </w:p>
    <w:p>
      <w:pPr>
        <w:jc w:val="both"/>
      </w:pPr>
      <w:r>
        <w:rPr>
          <w:b w:val="0"/>
          <w:i w:val="0"/>
        </w:rPr>
        <w:t>Simpan versi ketentuan saat keputusan dibuat. Jika sengketa muncul, tanggal membantu menentukan aturan relevan. Jangan mengubah dokumen sepihak. Pembedaan ini berguna saat istilah yang sama dipakai berbeda oleh pembuat aturan dan penulis fiqh. Tanyakan apakah perubahan memengaruhi hak atau hanya prosedur. Kepatuhan administratif tidak otomatis membuktikan seluruh praktik sesuai etika, sedangkan nilai umum tidak memberi alasan mengabaikan tenggat sah.</w:t>
      </w:r>
    </w:p>
    <w:p>
      <w:pPr>
        <w:jc w:val="both"/>
      </w:pPr>
      <w:r>
        <w:rPr>
          <w:b w:val="0"/>
          <w:i w:val="0"/>
        </w:rPr>
        <w:t>Saat pindah domisili atau membeli layanan lintas negara, catat prinsip yang dijaga dan aturan lokal yang perlu dipatuhi.</w:t>
      </w:r>
    </w:p>
    <w:p>
      <w:pPr>
        <w:jc w:val="both"/>
      </w:pPr>
      <w:r>
        <w:rPr>
          <w:b w:val="0"/>
          <w:i w:val="0"/>
        </w:rPr>
        <w:t>Tetapkan penanggung jawab pemantauan perubahan dan jadwal peninjauan kontrak. Catat sumber, tanggal efektif, serta perubahan proses.</w:t>
      </w:r>
    </w:p>
    <w:p>
      <w:pPr>
        <w:jc w:val="both"/>
      </w:pPr>
      <w:r>
        <w:rPr>
          <w:b w:val="0"/>
          <w:i w:val="0"/>
        </w:rPr>
        <w:t>- [ ] Saya membedakan nilai dasar dari prosedur yang dapat berubah. Saya memeriksa yurisdiksi, sumber, dan tanggal aturan.</w:t>
      </w:r>
    </w:p>
    <w:p>
      <w:pPr>
        <w:jc w:val="both"/>
      </w:pPr>
      <w:r>
        <w:rPr>
          <w:b w:val="0"/>
          <w:i w:val="0"/>
        </w:rPr>
        <w:t>Apakah Anda membedakan prinsip syariah dari prosedur menurut hukum dan waktu?</w:t>
      </w:r>
    </w:p>
    <w:p>
      <w:pPr>
        <w:jc w:val="both"/>
      </w:pPr>
      <w:r>
        <w:rPr>
          <w:b w:val="0"/>
          <w:i w:val="0"/>
        </w:rPr>
        <w:t>Pegang prinsip yang kokoh, lalu terapkan melalui aturan dan fakta yang sah pada tempat serta waktu transaksi.</w:t>
      </w:r>
    </w:p>
    <w:p>
      <w:pPr>
        <w:jc w:val="both"/>
      </w:pPr>
      <w:r>
        <w:rPr>
          <w:b w:val="0"/>
          <w:i w:val="0"/>
        </w:rPr>
        <w:t>Untuk menguji perubahan, buat urutan waktu yang sederhana: kapan aturan lama berlaku, kapan perubahan diterbitkan, kapan efektif, dan kapan para pihak bertindak. Pisahkan perubahan substansi dari perubahan pelaporan atau administrasi. Periksa ketentuan peralihan dan klausul kontrak sebelum menyimpulkan dampak pada kewajiban yang sudah berjalan. Jika dokumen tidak menjawab keadaan khusus, ajukan pertanyaan tertulis kepada penerbit atau penasihat yang memahami bidangnya.</w:t>
      </w:r>
    </w:p>
    <w:p>
      <w:pPr>
        <w:jc w:val="both"/>
      </w:pPr>
      <w:r>
        <w:rPr>
          <w:b w:val="0"/>
          <w:i w:val="0"/>
        </w:rPr>
        <w:t>Perubahan juga perlu dikomunikasikan dengan bahasa yang dapat dipakai petugas dan pengguna. Jelaskan bagian yang berubah, bagian yang tetap, tanggal mulai, serta tindakan yang harus dilakukan. Jangan menyebut penyesuaian prosedur sebagai perubahan hukum bila sumbernya hanya kebijakan internal. Simpan bukti pemberitahuan agar perselisihan tentang informasi dapat ditelusuri.</w:t>
      </w:r>
    </w:p>
    <w:p>
      <w:pPr>
        <w:jc w:val="both"/>
      </w:pPr>
      <w:r>
        <w:rPr>
          <w:b w:val="0"/>
          <w:i w:val="0"/>
        </w:rPr>
        <w:t>Pada tingkat prinsip, amanah menuntut keterbukaan tentang keterbatasan informasi. Keadilan meminta agar hak pihak terdampak tidak dihapus lewat perubahan sepihak. Pemenuhan janji perlu dibaca bersama klausul perubahan yang disepakati dan aturan wajib. Nilai tersebut membantu menyusun pertanyaan, tetapi tidak menggantikan penelaahan hukum atas dokumen konkret. Minta penjelasan tentang pilihan yang tersedia, biaya penyesuaian, dan cara menyampaikan keberatan secara tertulis sebelum mengambil keputusan bersama.</w:t>
      </w:r>
    </w:p>
    <w:p>
      <w:pPr>
        <w:jc w:val="both"/>
      </w:pPr>
      <w:r>
        <w:rPr>
          <w:b/>
          <w:i w:val="0"/>
          <w:sz w:val="28"/>
        </w:rPr>
        <w:t>15.7 Cara Memeriksa Izin dan Status Lembaga Keuangan yang Diawasi, pada Saat Buku Dibaca</w:t>
      </w:r>
    </w:p>
    <w:p>
      <w:pPr>
        <w:jc w:val="both"/>
      </w:pPr>
      <w:r>
        <w:rPr>
          <w:b w:val="0"/>
          <w:i w:val="0"/>
        </w:rPr>
        <w:t>Di ruang layanan, calon nasabah melihat nama penyedia pada daftar daring yang dicetak beberapa bulan lalu. Daftar lama tidak memastikan izin dan status kini. Nama badan hukum, kegiatan, status pengawasan, dan batas izin perlu dicocokkan dengan sumber regulator. Perhatikan apakah nama pemasaran berbeda dari entitas kontrak; perantara dan anak usaha dapat memiliki kedudukan berlainan. Jangan mengirim identitas ke tautan yang belum diverifikasi. Jika pencarian tidak cocok, hubungi regulator melalui kanal yang ditemukan mandiri. Pemeriksaan izin menjawab status administratif tertentu, bukan seluruh kesesuaian akad atau mutu layanan.</w:t>
      </w:r>
    </w:p>
    <w:p>
      <w:pPr>
        <w:jc w:val="both"/>
      </w:pPr>
      <w:r>
        <w:rPr>
          <w:b w:val="0"/>
          <w:i w:val="0"/>
        </w:rPr>
        <w:t>Nama dagang dapat berbeda dari badan hukum. Periksa kontrak dan rekening, bukan hanya hasil pencarian. Pastikan kegiatan yang ditawarkan termasuk cakupan izin; izin satu jenis jasa tidak otomatis meliputi layanan lain. Jika penyedia mengaku mitra, minta bukti hubungan dan identitas pihak yang memegang kewajiban. Tunda proses bila penerima dana tidak jelas.</w:t>
      </w:r>
    </w:p>
    <w:p>
      <w:pPr>
        <w:jc w:val="both"/>
      </w:pPr>
      <w:r>
        <w:rPr>
          <w:b w:val="0"/>
          <w:i w:val="0"/>
        </w:rPr>
        <w:t>Arsipkan tanggal, sumber, nama entitas, dan hasil pemeriksaan. Jangan menyimpan identitas lebih lama daripada kebutuhan yang sah. Periksa ulang sebelum transaksi baru karena status dapat berubah. Bila direktori tidak jelas, gunakan kontak pada situs resmi regulator, bukan nomor dari pihak yang sedang menawarkan produk.</w:t>
      </w:r>
    </w:p>
    <w:p>
      <w:pPr>
        <w:jc w:val="both"/>
      </w:pPr>
      <w:r>
        <w:rPr>
          <w:b w:val="0"/>
          <w:i w:val="0"/>
        </w:rPr>
        <w:t>Catat nama badan hukum, jenis layanan, dan tanggal pemeriksaan. Cari entitas pada direktori resmi OJK atau BI sesuai kegiatannya. Simpan tautan, cocokkan penerima pembayaran dengan pihak kontrak, dan minta dasar hubungan jika berbeda.</w:t>
      </w:r>
    </w:p>
    <w:p>
      <w:pPr>
        <w:jc w:val="both"/>
      </w:pPr>
      <w:r>
        <w:rPr>
          <w:b w:val="0"/>
          <w:i w:val="0"/>
        </w:rPr>
        <w:t>Seseorang hendak mengirim dana kepada perantara yang mengaku mewakili lembaga berizin. Ia mencocokkan nama kontrak, rekening penerima, dan keterangan lembaga melalui kontak resmi yang ditemukan sendiri. Ketidakcocokan menjadi alasan menunda sampai terjelaskan, bukan bukti final penipuan.</w:t>
      </w:r>
    </w:p>
    <w:p>
      <w:pPr>
        <w:jc w:val="both"/>
      </w:pPr>
      <w:r>
        <w:rPr>
          <w:b w:val="0"/>
          <w:i w:val="0"/>
        </w:rPr>
        <w:t>Nama mirip dan status izin yang berubah dapat menghasilkan pencarian keliru. Cocokkan badan hukum dan kegiatan yang diizinkan.</w:t>
      </w:r>
    </w:p>
    <w:p>
      <w:pPr>
        <w:jc w:val="both"/>
      </w:pPr>
      <w:r>
        <w:rPr>
          <w:b w:val="0"/>
          <w:i w:val="0"/>
        </w:rPr>
        <w:t>Catat tanggal pemeriksaan karena direktori dapat diperbarui. Untuk layanan di luar kewenangan regulator yang dicari, tanyakan lembaga mana yang menangani bidang tersebut. Simpan hasil pencarian bertanggal agar Anda tahu kapan informasi diperoleh. Jika status berubah setelah transaksi, tunjukkan kronologi dan kontrak kepada regulator atau penasihat hukum.</w:t>
      </w:r>
    </w:p>
    <w:p>
      <w:pPr>
        <w:jc w:val="both"/>
      </w:pPr>
      <w:r>
        <w:rPr>
          <w:b w:val="0"/>
          <w:i w:val="0"/>
        </w:rPr>
        <w:t>Sebelum transfer, periksa nama badan hukum dan penerima rekening bersama. Hubungi penyedia melalui kanal resmi jika ada desakan atau permintaan kode.</w:t>
      </w:r>
    </w:p>
    <w:p>
      <w:pPr>
        <w:jc w:val="both"/>
      </w:pPr>
      <w:r>
        <w:rPr>
          <w:b w:val="0"/>
          <w:i w:val="0"/>
        </w:rPr>
        <w:t>Tentukan petugas pemeriksa dan jadwal pemeriksaan ulang. Simpan hasil pencarian bertanggal dengan akses terbatas.</w:t>
      </w:r>
    </w:p>
    <w:p>
      <w:pPr>
        <w:jc w:val="both"/>
      </w:pPr>
      <w:r>
        <w:rPr>
          <w:b w:val="0"/>
          <w:i w:val="0"/>
        </w:rPr>
        <w:t>- [ ] Nama badan hukum sesuai kontrak dan rekening penerima. Cakupan izin diperiksa melalui kanal resmi pada tanggal transaksi.</w:t>
      </w:r>
    </w:p>
    <w:p>
      <w:pPr>
        <w:jc w:val="both"/>
      </w:pPr>
      <w:r>
        <w:rPr>
          <w:b w:val="0"/>
          <w:i w:val="0"/>
        </w:rPr>
        <w:t>Apakah Anda memeriksa badan hukum dan kegiatan, atau hanya nama pada iklan?</w:t>
      </w:r>
    </w:p>
    <w:p>
      <w:pPr>
        <w:jc w:val="both"/>
      </w:pPr>
      <w:r>
        <w:rPr>
          <w:b w:val="0"/>
          <w:i w:val="0"/>
        </w:rPr>
        <w:t>Periksa status melalui regulator yang tepat dan cocokkan dengan entitas yang berkontrak.</w:t>
      </w:r>
    </w:p>
    <w:p>
      <w:pPr>
        <w:jc w:val="both"/>
      </w:pPr>
      <w:r>
        <w:rPr>
          <w:b w:val="0"/>
          <w:i w:val="0"/>
        </w:rPr>
        <w:t>Pemeriksaan yang baik dimulai dengan memastikan alamat situs dan identitas kanal. Hindari tautan yang dikirim dalam pesan penawaran; ketik alamat resmi atau temukan melalui direktori pemerintah. Gunakan fitur pencarian nama badan hukum, bukan sekadar nama produk. Baca keterangan status dan jenis kegiatan, lalu cocokkan dengan kontrak serta rekening tujuan. Jika data tidak jelas, tanyakan melalui kontak resmi.</w:t>
      </w:r>
    </w:p>
    <w:p>
      <w:pPr>
        <w:jc w:val="both"/>
      </w:pPr>
      <w:r>
        <w:rPr>
          <w:b w:val="0"/>
          <w:i w:val="0"/>
        </w:rPr>
        <w:t>Namun, ketidakcocokan menjadi alasan berhenti sementara. Jangan memberi kode verifikasi atau membayar biaya pemeriksaan kepada pihak yang menghubungi Anda.</w:t>
      </w:r>
    </w:p>
    <w:p>
      <w:pPr>
        <w:jc w:val="both"/>
      </w:pPr>
      <w:r>
        <w:rPr>
          <w:b/>
          <w:i w:val="0"/>
          <w:sz w:val="28"/>
        </w:rPr>
        <w:t>15.8 Memilih Lembaga dan Produk Syariah: Panduan Awal bagi Orang Awam (rincian produk di Bab 85)</w:t>
      </w:r>
    </w:p>
    <w:p>
      <w:pPr>
        <w:jc w:val="both"/>
      </w:pPr>
      <w:r>
        <w:rPr>
          <w:b w:val="0"/>
          <w:i w:val="0"/>
        </w:rPr>
        <w:t>Seseorang yang menimbang produk keuangan sering menerima istilah teknis, padahal ia perlu memahami kewajiban dan risikonya. Mulailah dengan tujuan: menyimpan dana, memperoleh pembiayaan, membayar barang, atau berinvestasi. Minta nama badan hukum, akad, biaya, jadwal, akibat keterlambatan, dan prosedur penghentian. Bandingkan arus uang dan hak, bukan hanya label atau angsuran. Periksa izin melalui sumber resmi dan cakupan pengawasan. Bab ini hanya panduan awal; rincian perbankan syariah dibahas pada Bab 85. Bila penjelasan tidak konsisten atau waktu membaca ditolak, tunda persetujuan dan minta pendamping menelaah dokumen.</w:t>
      </w:r>
    </w:p>
    <w:p>
      <w:pPr>
        <w:jc w:val="both"/>
      </w:pPr>
      <w:r>
        <w:rPr>
          <w:b w:val="0"/>
          <w:i w:val="0"/>
        </w:rPr>
        <w:t>Status diawasi tidak berarti biaya paling rendah atau layanan cocok bagi setiap orang. Kecocokan ditentukan tujuan, kemampuan, dan syarat. Tanyakan apakah dana dapat ditarik, bagaimana perubahan jadwal diproses, serta akibat kehilangan penghasilan. Untuk investasi, pahami kemungkinan rugi dan likuiditas. Jawaban harus sesuai dokumen, bukan janji lisan.</w:t>
      </w:r>
    </w:p>
    <w:p>
      <w:pPr>
        <w:jc w:val="both"/>
      </w:pPr>
      <w:r>
        <w:rPr>
          <w:b w:val="0"/>
          <w:i w:val="0"/>
        </w:rPr>
        <w:t>Minta ringkasan tertulis dan bandingkan penawaran dengan kebutuhan. Periksa siapa menerima biaya dan apakah ada perantara. Jangan menyerahkan dokumen asli atau kode akun. Bila ditekan untuk segera setuju, berhenti dan cari pendapat kedua. Bab 85 membahas rincian produk perbankan; bab ini tidak menggantikan telaah tersebut.</w:t>
      </w:r>
    </w:p>
    <w:p>
      <w:pPr>
        <w:jc w:val="both"/>
      </w:pPr>
      <w:r>
        <w:rPr>
          <w:b w:val="0"/>
          <w:i w:val="0"/>
        </w:rPr>
        <w:t>Pasangan membandingkan dua pembiayaan kendaraan dengan mencatat harga, biaya, kepemilikan, dan akibat keterlambatan. Mereka meminta perhitungan berdasarkan kontrak, bukan angka promosi dengan asumsi berbeda.</w:t>
      </w:r>
    </w:p>
    <w:p>
      <w:pPr>
        <w:jc w:val="both"/>
      </w:pPr>
      <w:r>
        <w:rPr>
          <w:b w:val="0"/>
          <w:i w:val="0"/>
        </w:rPr>
        <w:t>Angsuran ringan dapat menyembunyikan tenor panjang, biaya lain, atau kewajiban sulit dihentikan. Periksa total dan syarat perubahan.</w:t>
      </w:r>
    </w:p>
    <w:p>
      <w:pPr>
        <w:jc w:val="both"/>
      </w:pPr>
      <w:r>
        <w:rPr>
          <w:b w:val="0"/>
          <w:i w:val="0"/>
        </w:rPr>
        <w:t>Jangan meminjam melebihi kebutuhan hanya karena batas tersedia. Hitung kemampuan dengan penghasilan berubah dan kebutuhan pokok. Bicarakan siapa menanggung kewajiban bila keadaan rumah tangga berubah. Sebelum memilih, pastikan kebutuhan tidak dapat dipenuhi secara lebih sederhana. Mintalah waktu membaca dokumen. Jika petugas hanya memberi janji lisan, tunggu konfirmasi tertulis.</w:t>
      </w:r>
    </w:p>
    <w:p>
      <w:pPr>
        <w:jc w:val="both"/>
      </w:pPr>
      <w:r>
        <w:rPr>
          <w:b w:val="0"/>
          <w:i w:val="0"/>
        </w:rPr>
        <w:t>Ilustrasi: gunakan angka penawaran tertulis untuk membandingkan total pembayaran, pelunasan awal, dan keterlambatan. Hitungan contoh bukan rekomendasi.</w:t>
      </w:r>
    </w:p>
    <w:p>
      <w:pPr>
        <w:jc w:val="both"/>
      </w:pPr>
      <w:r>
        <w:rPr>
          <w:b w:val="0"/>
          <w:i w:val="0"/>
        </w:rPr>
        <w:t>Buat daftar pertanyaan tentang biaya total, akibat gagal bayar, dan cara mengakhiri perjanjian. Baca kontrak bersama dan jangan tanda tangan di ruang kosong.</w:t>
      </w:r>
    </w:p>
    <w:p>
      <w:pPr>
        <w:jc w:val="both"/>
      </w:pPr>
      <w:r>
        <w:rPr>
          <w:b w:val="0"/>
          <w:i w:val="0"/>
        </w:rPr>
        <w:t>Jelaskan biaya dan akad dengan bahasa sederhana, lalu pastikan calon pengguna dapat mengulang pemahamannya. Sediakan waktu membawa dokumen pulang.</w:t>
      </w:r>
    </w:p>
    <w:p>
      <w:pPr>
        <w:jc w:val="both"/>
      </w:pPr>
      <w:r>
        <w:rPr>
          <w:b w:val="0"/>
          <w:i w:val="0"/>
        </w:rPr>
        <w:t>- [ ] Tujuan dan kemampuan membayar sudah dihitung. Saya memahami biaya, akad, dan cara mengakhiri layanan.</w:t>
      </w:r>
    </w:p>
    <w:p>
      <w:pPr>
        <w:jc w:val="both"/>
      </w:pPr>
      <w:r>
        <w:rPr>
          <w:b w:val="0"/>
          <w:i w:val="0"/>
        </w:rPr>
        <w:t>Apakah Anda memahami kewajiban jika keadaan berubah, bukan hanya angsuran pertama?</w:t>
      </w:r>
    </w:p>
    <w:p>
      <w:pPr>
        <w:jc w:val="both"/>
      </w:pPr>
      <w:r>
        <w:rPr>
          <w:b w:val="0"/>
          <w:i w:val="0"/>
        </w:rPr>
        <w:t>Pilih setelah tujuan, akad, biaya, izin, dan kemampuan membayar dapat dijelaskan dengan kata sendiri.</w:t>
      </w:r>
    </w:p>
    <w:p>
      <w:pPr>
        <w:jc w:val="both"/>
      </w:pPr>
      <w:r>
        <w:rPr>
          <w:b w:val="0"/>
          <w:i w:val="0"/>
        </w:rPr>
        <w:t>Buat perbandingan pada dasar yang sama. Pastikan kedua penawaran memakai nilai pembiayaan, lama pembayaran, biaya awal, dan ketentuan pelunasan yang setara. Tanyakan konsekuensi jika penghasilan turun atau barang perlu dijual. Untuk simpanan, pahami akses penarikan dan perlakuan saat layanan terganggu. Untuk investasi, tanyakan siapa menanggung kerugian dan apakah nilai dapat berubah.</w:t>
      </w:r>
    </w:p>
    <w:p>
      <w:pPr>
        <w:jc w:val="both"/>
      </w:pPr>
      <w:r>
        <w:rPr>
          <w:b w:val="0"/>
          <w:i w:val="0"/>
        </w:rPr>
        <w:t>Minta waktu membawa dokumen kepada anggota keluarga atau penasihat. Jangan menyerahkan dokumen identitas yang tidak dibutuhkan sebelum mengetahui tujuan pengumpulan dan pihak penerima. Pilihan yang tepat bagi orang lain belum tentu cocok bagi rumah tangga Anda. Pertimbangkan kebutuhan pokok, kewajiban yang sudah ada, dan ruang untuk keadaan darurat sebelum menyetujui komitmen baru.</w:t>
      </w:r>
    </w:p>
    <w:p>
      <w:pPr>
        <w:jc w:val="both"/>
      </w:pPr>
      <w:r>
        <w:rPr>
          <w:b/>
          <w:i w:val="0"/>
          <w:sz w:val="28"/>
        </w:rPr>
        <w:t>15.9 Ke Mana Mengadu: Jalur Pengaduan Konsumen Keuangan dan Perdagangan</w:t>
      </w:r>
    </w:p>
    <w:p>
      <w:pPr>
        <w:jc w:val="both"/>
      </w:pPr>
      <w:r>
        <w:rPr>
          <w:b w:val="0"/>
          <w:i w:val="0"/>
        </w:rPr>
        <w:t>Pelanggan yang melihat biaya berbeda dari janji dapat bingung apakah mengadu ke penyedia, regulator, atau lembaga perdagangan. Jalur bergantung pada produk, pihak kontrak, dan bentuk kerugian. Untuk jasa keuangan, mulai dari pengaduan internal dan simpan nomor laporan. Jika belum selesai, periksa kanal regulator atau penyelesaian sengketa. Untuk barang dan jasa perdagangan, kumpulkan bukti dan gunakan saluran perlindungan konsumen yang sesuai. Jangan mengirim identitas lengkap melalui akun yang belum diverifikasi. Pengaduan yang baik menyebut kronologi, permintaan wajar, dan bukti, bukan sekadar menyebut pihak curang. Periksa batas waktu serta tata cara resmi.</w:t>
      </w:r>
    </w:p>
    <w:p>
      <w:pPr>
        <w:jc w:val="both"/>
      </w:pPr>
      <w:r>
        <w:rPr>
          <w:b w:val="0"/>
          <w:i w:val="0"/>
        </w:rPr>
        <w:t>Tenang membantu menjaga bukti dan komunikasi. Hindari ancaman, unggahan data orang lain, atau pembayaran kepada pihak yang menjanjikan penyelesaian dengan biaya awal. Minta tanda terima dan catat tanggal respons. Jika penyedia meminta dokumen tambahan, tanyakan alasan serta kanal aman. Jika sengketa berlanjut, cari prosedur penyelesaian resmi.</w:t>
      </w:r>
    </w:p>
    <w:p>
      <w:pPr>
        <w:jc w:val="both"/>
      </w:pPr>
      <w:r>
        <w:rPr>
          <w:b w:val="0"/>
          <w:i w:val="0"/>
        </w:rPr>
        <w:t>Perwakilan perlu menyiapkan kuasa bila dipersyaratkan dan membatasi tindakannya pada yang disetujui. Untuk perdagangan, bukti pesanan dan kondisi barang relevan. Untuk jasa keuangan, nomor kontrak serta catatan pembayaran membantu. Syarat berbeda menurut jalur, sehingga daftar ini bukan jaminan permohonan diterima.</w:t>
      </w:r>
    </w:p>
    <w:p>
      <w:pPr>
        <w:jc w:val="both"/>
      </w:pPr>
      <w:r>
        <w:rPr>
          <w:b w:val="0"/>
          <w:i w:val="0"/>
        </w:rPr>
        <w:t>- [ ] Saya menyimpan kontrak, bukti bayar, iklan, dan komunikasi. Saya mencatat nomor laporan internal. Saya memilih jalur sesuai bidang sengketa.</w:t>
      </w:r>
    </w:p>
    <w:p>
      <w:pPr>
        <w:jc w:val="both"/>
      </w:pPr>
      <w:r>
        <w:rPr>
          <w:b w:val="0"/>
          <w:i w:val="0"/>
        </w:rPr>
        <w:t>Pelanggan mengirim keluhan tertulis mengenai potongan tak dikenal, dengan tanggal, nilai, dan permintaan rincian. Ia menutup data yang tidak perlu dan menyimpan salinan. Jika belum selesai, ia memeriksa prosedur eskalasi resmi.</w:t>
      </w:r>
    </w:p>
    <w:p>
      <w:pPr>
        <w:jc w:val="both"/>
      </w:pPr>
      <w:r>
        <w:rPr>
          <w:b w:val="0"/>
          <w:i w:val="0"/>
        </w:rPr>
        <w:t>Perantara pengaduan tidak resmi dapat membuka data dan menambah kerugian. Verifikasi kanal dan persyaratan dokumen.</w:t>
      </w:r>
    </w:p>
    <w:p>
      <w:pPr>
        <w:jc w:val="both"/>
      </w:pPr>
      <w:r>
        <w:rPr>
          <w:b w:val="0"/>
          <w:i w:val="0"/>
        </w:rPr>
        <w:t>Sebut hasil yang diminta, misalnya koreksi catatan atau penjelasan tertulis. Jangan meminta data pelanggan lain. Bila ada ancaman, simpan bukti dan hubungi jalur berwenang. Batas pengaduan berbeda menurut jalur. Baca panduan sebelum mengirim berkas dan minta tanda terima. Urutkan tuntutan serta pisahkan fakta dari perkiraan.</w:t>
      </w:r>
    </w:p>
    <w:p>
      <w:pPr>
        <w:jc w:val="both"/>
      </w:pPr>
      <w:r>
        <w:rPr>
          <w:b w:val="0"/>
          <w:i w:val="0"/>
        </w:rPr>
        <w:t>Satu anggota dapat mencatat komunikasi, tetapi hanya membagikan berkas kepada pihak yang terkait.</w:t>
      </w:r>
    </w:p>
    <w:p>
      <w:pPr>
        <w:jc w:val="both"/>
      </w:pPr>
      <w:r>
        <w:rPr>
          <w:b w:val="0"/>
          <w:i w:val="0"/>
        </w:rPr>
        <w:t>Sudahkah Anda menyimpan bukti dan nomor pengaduan sebelum bercerita di ruang publik?</w:t>
      </w:r>
    </w:p>
    <w:p>
      <w:pPr>
        <w:jc w:val="both"/>
      </w:pPr>
      <w:r>
        <w:rPr>
          <w:b w:val="0"/>
          <w:i w:val="0"/>
        </w:rPr>
        <w:t>Susun kronologi dan bukti, lalu gunakan jalur resmi sesuai jenis sengketa.</w:t>
      </w:r>
    </w:p>
    <w:p>
      <w:pPr>
        <w:jc w:val="both"/>
      </w:pPr>
      <w:r>
        <w:rPr>
          <w:b w:val="0"/>
          <w:i w:val="0"/>
        </w:rPr>
        <w:t>Susun berkas pengaduan dalam urutan yang mudah diperiksa: identitas pihak yang berkontrak, ringkasan kejadian, tanggal, nilai, bukti komunikasi, dan hasil yang diminta. Beri nomor lampiran dan tutup informasi yang tidak relevan. Simpan salinan persis seperti yang dikirim serta bukti penerimaan. Bila ada batas waktu, tandai tanggalnya dan jangan menunggu hanya karena percakapan layanan masih berlangsung.</w:t>
      </w:r>
    </w:p>
    <w:p>
      <w:pPr>
        <w:jc w:val="both"/>
      </w:pPr>
      <w:r>
        <w:rPr>
          <w:b w:val="0"/>
          <w:i w:val="0"/>
        </w:rPr>
        <w:t>Jika keluhan berkaitan dengan data atau dugaan penyalahgunaan, pisahkan langkah pengamanan akun dari permintaan penyelesaian transaksi. Ganti kredensial melalui kanal yang diketik sendiri dan hubungi penyedia. Jangan membayar pihak yang menjanjikan pemulihan dana tanpa dasar tertulis. Prosedur resmi dapat berubah, jadi periksa persyaratan terbaru pada kanal instansi terkait.</w:t>
      </w:r>
    </w:p>
    <w:p>
      <w:pPr>
        <w:jc w:val="both"/>
      </w:pPr>
      <w:r>
        <w:rPr>
          <w:b/>
          <w:i w:val="0"/>
          <w:sz w:val="28"/>
        </w:rPr>
        <w:t>15.10 Ketika Fatwa dan Regulasi Berubah: Cara Menyikapinya</w:t>
      </w:r>
    </w:p>
    <w:p>
      <w:pPr>
        <w:jc w:val="both"/>
      </w:pPr>
      <w:r>
        <w:rPr>
          <w:b w:val="0"/>
          <w:i w:val="0"/>
        </w:rPr>
        <w:t>Seorang pelaku usaha memakai panduan kepatuhan yang dibuat sebelum aturan diperbarui. Kebiasaan itu dapat membuat keputusan kini bertumpu pada rujukan lama. Perubahan fatwa atau regulasi tidak selalu membatalkan transaksi terdahulu; akibat bergantung pada isi, masa berlaku, klausul peralihan, dan fakta. Catat versi, tanggal efektif, serta penanggung jawab peninjauan. Untuk kontrak berjalan, jangan mengubah kewajiban sepihak. Minta pendapat ahli atau instansi penerbit bila dampaknya belum jelas, kemudian jelaskan perubahan kepada pihak terkait. Sikap tertib mencegah kepanikan sekaligus menghentikan penggunaan aturan lama tanpa pemeriksaan.</w:t>
      </w:r>
    </w:p>
    <w:p>
      <w:pPr>
        <w:jc w:val="both"/>
      </w:pPr>
      <w:r>
        <w:rPr>
          <w:b w:val="0"/>
          <w:i w:val="0"/>
        </w:rPr>
        <w:t>Jika aturan belum jelas, minta jawaban tertulis dari penerbit atau regulator. Jangan menyebarkan tafsir sebagai kepastian sebelum konfirmasi. Perubahan dapat memerlukan pembaruan pelatihan, formulir, dan saluran informasi. Pengguna perlu mendapat penjelasan mudah dipahami, bukan hanya tautan dokumen teknis. Pastikan perubahan tidak menghapus hak tanpa dasar.</w:t>
      </w:r>
    </w:p>
    <w:p>
      <w:pPr>
        <w:jc w:val="both"/>
      </w:pPr>
      <w:r>
        <w:rPr>
          <w:b w:val="0"/>
          <w:i w:val="0"/>
        </w:rPr>
        <w:t>Dalam keluarga, minta rincian tertulis tentang dampak kebijakan baru pada kontrak. Cocokkan dengan klausul dan jangan menghentikan pembayaran sebelum memahami akibatnya. Jika berselisih, mintalah pendamping profesional membaca ketentuan peralihan. Catatan versi mencegah pertengkaran tentang siapa menyampaikan informasi lama.</w:t>
      </w:r>
    </w:p>
    <w:p>
      <w:pPr>
        <w:jc w:val="both"/>
      </w:pPr>
      <w:r>
        <w:rPr>
          <w:b w:val="0"/>
          <w:i w:val="0"/>
        </w:rPr>
        <w:t>Pengelola layanan menerima pemberitahuan resmi perubahan pelaporan. Ia memeriksa tanggal berlaku, transaksi yang masuk masa peralihan, dan kebutuhan pembaruan dokumen. Keputusan internal dicatat beserta dasar dan otorisasinya.</w:t>
      </w:r>
    </w:p>
    <w:p>
      <w:pPr>
        <w:jc w:val="both"/>
      </w:pPr>
      <w:r>
        <w:rPr>
          <w:b w:val="0"/>
          <w:i w:val="0"/>
        </w:rPr>
        <w:t>Memakai naskah lama dapat menyesatkan. Namun menerapkan perubahan retroaktif tanpa dasar juga dapat merugikan hak.</w:t>
      </w:r>
    </w:p>
    <w:p>
      <w:pPr>
        <w:jc w:val="both"/>
      </w:pPr>
      <w:r>
        <w:rPr>
          <w:b w:val="0"/>
          <w:i w:val="0"/>
        </w:rPr>
        <w:t>Buat jadwal peninjauan sumber sebelum memperbarui kontrak atau prosedur. Simpan versi terdahulu untuk menelusuri alasan perubahan. Perubahan resmi perlu diterjemahkan ke prosedur dan diberitahukan kepada pihak terdampak. Tinjau kontrak lama untuk mengetahui klausul perubahan yang berlaku.</w:t>
      </w:r>
    </w:p>
    <w:p>
      <w:pPr>
        <w:jc w:val="both"/>
      </w:pPr>
      <w:r>
        <w:rPr>
          <w:b w:val="0"/>
          <w:i w:val="0"/>
        </w:rPr>
        <w:t>Minta penyedia menjelaskan dampak perubahan pada kontrak yang sudah ditandatangani. Simpan jawaban dan cocokkan dengan klausul.</w:t>
      </w:r>
    </w:p>
    <w:p>
      <w:pPr>
        <w:jc w:val="both"/>
      </w:pPr>
      <w:r>
        <w:rPr>
          <w:b w:val="0"/>
          <w:i w:val="0"/>
        </w:rPr>
        <w:t>Tunjuk pemilik dokumen untuk memantau aturan dan memberi tahu bagian operasional. Catat sumber, tanggal, dan persetujuan.</w:t>
      </w:r>
    </w:p>
    <w:p>
      <w:pPr>
        <w:jc w:val="both"/>
      </w:pPr>
      <w:r>
        <w:rPr>
          <w:b w:val="0"/>
          <w:i w:val="0"/>
        </w:rPr>
        <w:t>- [ ] Saya memeriksa tanggal efektif dan aturan peralihan. Saya tidak mengubah hak kontraktual tanpa dasar.</w:t>
      </w:r>
    </w:p>
    <w:p>
      <w:pPr>
        <w:jc w:val="both"/>
      </w:pPr>
      <w:r>
        <w:rPr>
          <w:b w:val="0"/>
          <w:i w:val="0"/>
        </w:rPr>
        <w:t>Panduan yang Anda gunakan berasal dari versi kapan, dan siapa meninjau pembaruannya?</w:t>
      </w:r>
    </w:p>
    <w:p>
      <w:pPr>
        <w:jc w:val="both"/>
      </w:pPr>
      <w:r>
        <w:rPr>
          <w:b w:val="0"/>
          <w:i w:val="0"/>
        </w:rPr>
        <w:t>Periksa versi, tanggal berlaku, dan dampak perubahan pada hak yang sudah disepakati.</w:t>
      </w:r>
    </w:p>
    <w:p>
      <w:pPr>
        <w:jc w:val="both"/>
      </w:pPr>
      <w:r>
        <w:rPr>
          <w:b w:val="0"/>
          <w:i w:val="0"/>
        </w:rPr>
        <w:t>Peninjauan tidak perlu menunggu sengketa. Tetapkan siapa yang membaca pemberitahuan regulator, siapa yang menilai dampak pada kontrak, dan siapa yang mengubah petunjuk operasional. Simpan versi lama dengan status tidak berlaku agar staf tidak memakainya kembali. Catatan perubahan sebaiknya menjelaskan alasan, sumber, tanggal persetujuan, dan kelompok yang terdampak.</w:t>
      </w:r>
    </w:p>
    <w:p>
      <w:pPr>
        <w:jc w:val="both"/>
      </w:pPr>
      <w:r>
        <w:rPr>
          <w:b w:val="0"/>
          <w:i w:val="0"/>
        </w:rPr>
        <w:t>Untuk pengguna, minta perbandingan sebelum dan sesudah perubahan. Tanyakan apakah biaya, hak pembatalan, atau tanggung jawab berubah. Jika jawaban hanya berupa istilah teknis, minta contoh penerapan pada transaksi Anda. Jangan menyetujui perubahan hanya melalui percakapan lisan bila kontrak mensyaratkan pemberitahuan atau persetujuan tertentu.</w:t>
      </w:r>
    </w:p>
    <w:p>
      <w:pPr>
        <w:jc w:val="both"/>
      </w:pPr>
      <w:r>
        <w:rPr>
          <w:b/>
          <w:i w:val="0"/>
          <w:sz w:val="28"/>
        </w:rPr>
        <w:t>15.11 Standar Internasional dan Lima Lapis Hukum: Syariat, Fiqh, Fatwa, Regulasi, dan Produk</w:t>
      </w:r>
    </w:p>
    <w:p>
      <w:pPr>
        <w:jc w:val="both"/>
      </w:pPr>
      <w:r>
        <w:rPr>
          <w:b w:val="0"/>
          <w:i w:val="0"/>
        </w:rPr>
        <w:t>Dalam transaksi lintas negara, “standar internasional” kerap dianggap setara hukum Indonesia. Bedakan lima lapis: syariat sebagai sumber nilai, fiqh sebagai pemahaman hukum, fatwa sebagai jawaban lembaga atau ahli, regulasi sebagai hukum negara, dan produk sebagai praktik kontrak serta layanan. Tiap lapis mempunyai sumber dan cakupan berbeda. Standar internasional dapat menjadi rujukan teknis, tetapi akibat hukumnya bergantung pada adopsi aturan atau kontrak. Sebut badan penerbit dan edisi. Untuk transaksi lokal, periksa aturan Indonesia; lintas yurisdiksi, kaji pilihan hukum, forum sengketa, dan aturan wajib.</w:t>
      </w:r>
    </w:p>
    <w:p>
      <w:pPr>
        <w:jc w:val="both"/>
      </w:pPr>
      <w:r>
        <w:rPr>
          <w:b w:val="0"/>
          <w:i w:val="0"/>
        </w:rPr>
        <w:t>Kontrak mungkin mengadopsi sebagian standar saja. Baca klausul yang menjelaskan bagian diterapkan dan cara menangani konflik. Istilah internasional tidak menunjukkan mutu atau daya ikat dengan sendirinya. Periksa penerbit, tujuan, edisi, pembaruan, dan bahasa yang mengendalikan penafsiran.</w:t>
      </w:r>
    </w:p>
    <w:p>
      <w:pPr>
        <w:jc w:val="both"/>
      </w:pPr>
      <w:r>
        <w:rPr>
          <w:b w:val="0"/>
          <w:i w:val="0"/>
        </w:rPr>
        <w:t>Lima lapis menyusun pertanyaan, bukan menggantikan kajian. Syariat memberi orientasi normatif; fiqh menjelaskan penalaran; fatwa menjawab isu dalam lingkupnya; regulasi menetapkan hukum negara; produk menunjukkan praktik. Saat ada ketegangan, tuliskan sumber berbeda dan minta ahli menjelaskan akibat. Satu istilah tidak membuktikan seluruh akad telah dinilai.</w:t>
      </w:r>
    </w:p>
    <w:p>
      <w:pPr>
        <w:jc w:val="both"/>
      </w:pPr>
      <w:r>
        <w:rPr>
          <w:b/>
          <w:i w:val="0"/>
          <w:sz w:val="24"/>
        </w:rPr>
        <w:t>Istilah Akad</w:t>
      </w:r>
    </w:p>
    <w:p>
      <w:pPr>
        <w:jc w:val="both"/>
      </w:pPr>
      <w:r>
        <w:rPr>
          <w:b w:val="0"/>
          <w:i w:val="0"/>
        </w:rPr>
        <w:t>- Syariat: prinsip dan ketentuan agama sebagai rujukan normatif umat Islam.</w:t>
      </w:r>
    </w:p>
    <w:p>
      <w:pPr>
        <w:jc w:val="both"/>
      </w:pPr>
      <w:r>
        <w:rPr>
          <w:b w:val="0"/>
          <w:i w:val="0"/>
        </w:rPr>
        <w:t>- Fiqh: hasil pemahaman ulama terhadap dalil dalam persoalan hukum.</w:t>
      </w:r>
    </w:p>
    <w:p>
      <w:pPr>
        <w:jc w:val="both"/>
      </w:pPr>
      <w:r>
        <w:rPr>
          <w:b w:val="0"/>
          <w:i w:val="0"/>
        </w:rPr>
        <w:t>- Produk: susunan akad, layanan, biaya, dan pelaksanaan yang ditawarkan.</w:t>
      </w:r>
    </w:p>
    <w:p>
      <w:pPr>
        <w:jc w:val="both"/>
      </w:pPr>
      <w:r>
        <w:rPr>
          <w:b w:val="0"/>
          <w:i w:val="0"/>
        </w:rPr>
        <w:t>Perusahaan memakai standar pelaporan asing, tetapi sengketa terjadi di Indonesia. Periksa adopsi standar dalam kontrak, kesesuaiannya dengan aturan wajib nasional, dan edisi yang dirujuk.</w:t>
      </w:r>
    </w:p>
    <w:p>
      <w:pPr>
        <w:jc w:val="both"/>
      </w:pPr>
      <w:r>
        <w:rPr>
          <w:b w:val="0"/>
          <w:i w:val="0"/>
        </w:rPr>
        <w:t>Tanpa penerbit, edisi, dan cara adopsi, standar sulit diverifikasi. Bedakan panduan sukarela dari aturan mengikat.</w:t>
      </w:r>
    </w:p>
    <w:p>
      <w:pPr>
        <w:jc w:val="both"/>
      </w:pPr>
      <w:r>
        <w:rPr>
          <w:b w:val="0"/>
          <w:i w:val="0"/>
        </w:rPr>
        <w:t>Peta lima lapis menyusun pertanyaan, bukan skala kebenaran. Dokumen produk menunjukkan praktik nyata; ahli membantu menilainya. Jika lapisan bertentangan, jangan simpulkan sendiri akibat hukum. Perbedaan lima lapis mencegah standar teknis diperlakukan seperti fatwa atau fatwa dianggap undang-undang. Pilihan forum dan bahasa kontrak dapat berpengaruh dalam sengketa lintas negara.</w:t>
      </w:r>
    </w:p>
    <w:p>
      <w:pPr>
        <w:jc w:val="both"/>
      </w:pPr>
      <w:r>
        <w:rPr>
          <w:b w:val="0"/>
          <w:i w:val="0"/>
        </w:rPr>
        <w:t>Tanyakan apakah standar yang disebut mengikat kontrak dan bagaimana sengketa diselesaikan. Minta terjemahan yang dipahami semua penanggung kewajiban.</w:t>
      </w:r>
    </w:p>
    <w:p>
      <w:pPr>
        <w:jc w:val="both"/>
      </w:pPr>
      <w:r>
        <w:rPr>
          <w:b w:val="0"/>
          <w:i w:val="0"/>
        </w:rPr>
        <w:t>Catat badan penerbit standar, edisi, bahasa, dan klausul adopsi. Pastikan pelaksana memegang versi yang sama.</w:t>
      </w:r>
    </w:p>
    <w:p>
      <w:pPr>
        <w:jc w:val="both"/>
      </w:pPr>
      <w:r>
        <w:rPr>
          <w:b w:val="0"/>
          <w:i w:val="0"/>
        </w:rPr>
        <w:t>Apakah standar yang disebut merupakan panduan, klausul kontrak, atau hukum wajib?</w:t>
      </w:r>
    </w:p>
    <w:p>
      <w:pPr>
        <w:jc w:val="both"/>
      </w:pPr>
      <w:r>
        <w:rPr>
          <w:b w:val="0"/>
          <w:i w:val="0"/>
        </w:rPr>
        <w:t>Kenali sumber dan daya berlaku setiap lapis sebelum menilai produk atau kontrak.</w:t>
      </w:r>
    </w:p>
    <w:p>
      <w:pPr>
        <w:jc w:val="both"/>
      </w:pPr>
      <w:r>
        <w:rPr>
          <w:b w:val="0"/>
          <w:i w:val="0"/>
        </w:rPr>
        <w:t>Saat istilah standar disebut dalam penawaran, tanyakan apakah penyedia hanya mengikuti panduan teknis atau memasukkannya ke dalam kontrak. Periksa bahasa otentik, terjemahan, edisi, dan aturan mengenai konflik antarversi. Jika standar disusun badan luar negeri, jangan menganggap ia menggantikan kewajiban lokal. Mintalah bagian kontrak yang menunjukkan cara standar tersebut digunakan dan siapa menilai penerapannya.</w:t>
      </w:r>
    </w:p>
    <w:p>
      <w:pPr>
        <w:jc w:val="both"/>
      </w:pPr>
      <w:r>
        <w:rPr>
          <w:b w:val="0"/>
          <w:i w:val="0"/>
        </w:rPr>
        <w:t>Dalam sengketa, ahli dapat membantu menjelaskan perbedaan konsep, sedangkan forum yang berwenang menilai akibat hukum. Pisahkan kedua tugas itu saat meminta bantuan. Catat pula apakah standar wajib, sukarela, atau berlaku karena para pihak menyepakatinya. Dengan demikian, kata “internasional” tidak menjadi pengganti bukti tentang sumber maupun daya ikat.</w:t>
      </w:r>
    </w:p>
    <w:p>
      <w:pPr>
        <w:jc w:val="both"/>
      </w:pPr>
      <w:r>
        <w:rPr>
          <w:b/>
          <w:i w:val="0"/>
          <w:sz w:val="28"/>
        </w:rPr>
        <w:t>15.12 Dewan Pengawas Syariah di Lembaga Keuangan: Apa Peran dan Wewenangnya</w:t>
      </w:r>
    </w:p>
    <w:p>
      <w:pPr>
        <w:jc w:val="both"/>
      </w:pPr>
      <w:r>
        <w:rPr>
          <w:b w:val="0"/>
          <w:i w:val="0"/>
        </w:rPr>
        <w:t>Dewan Pengawas Syariah (DPS) menjalankan fungsi pengawasan dalam lembaga yang diatur, menurut dasar hukum dan tata kelola yang berlaku. Tugas rinci, jalur pelaporan, dan objek pengawasan tidak selalu seragam. DPS dapat memberi pertimbangan atau memantau kepatuhan dalam mandatnya, tetapi bukan pengganti regulator, auditor semua risiko, atau penasihat pribadi nasabah. Cari anggota yang ditetapkan, mandat, jalur pelaporan, dan dokumen pemeriksaan yang dapat dibagikan. Untuk keluhan transaksi, gunakan mekanisme pengaduan lembaga dan regulator sesuai bidang. Jangan menyimpulkan seluruh praktik hanya dari keberadaan jabatan tanpa meninjau aturan lembaga.</w:t>
      </w:r>
    </w:p>
    <w:p>
      <w:pPr>
        <w:jc w:val="both"/>
      </w:pPr>
      <w:r>
        <w:rPr>
          <w:b w:val="0"/>
          <w:i w:val="0"/>
        </w:rPr>
        <w:t>Jangan meminta DPS membuka data nasabah lain. Kepercayaan pada pengawasan memerlukan kerahasiaan. Nasabah dapat bertanya tentang kebijakan umum, proses pengajuan pertanyaan, dan tindak lanjut. Untuk dugaan pelanggaran, gunakan kanal yang menjaga bukti dan hak semua pihak. Pengawas mungkin tidak berwenang memerintahkan kompensasi.</w:t>
      </w:r>
    </w:p>
    <w:p>
      <w:pPr>
        <w:jc w:val="both"/>
      </w:pPr>
      <w:r>
        <w:rPr>
          <w:b w:val="0"/>
          <w:i w:val="0"/>
        </w:rPr>
        <w:t>Bagi pengelola, pemisahan tugas membantu menjaga mutu pengawasan. Catat rekomendasi, keputusan manajemen, dan tindak lanjut. Jangan menjadikan pernyataan pengawas sebagai promosi di luar konteks. Laporan perlu menyebut periode serta objek pemeriksaan. Fungsi layanan tetap harus menjawab nasabah dengan jelas, bukan mengalihkan pertanyaan tanpa penjelasan.</w:t>
      </w:r>
    </w:p>
    <w:p>
      <w:pPr>
        <w:jc w:val="both"/>
      </w:pPr>
      <w:r>
        <w:rPr>
          <w:b w:val="0"/>
          <w:i w:val="0"/>
        </w:rPr>
        <w:t>Nasabah bertanya apakah perubahan biaya telah ditinjau DPS. Ia meminta jawaban tertulis tentang lingkup tinjauan, lalu mengajukan kesalahan tagihan melalui layanan pengaduan. Kedua proses menjawab masalah berbeda.</w:t>
      </w:r>
    </w:p>
    <w:p>
      <w:pPr>
        <w:jc w:val="both"/>
      </w:pPr>
      <w:r>
        <w:rPr>
          <w:b w:val="0"/>
          <w:i w:val="0"/>
        </w:rPr>
        <w:t>Penyebutan DPS dalam promosi tidak menjelaskan ruang lingkup atau hasil pengawasan. Minta dokumen yang dapat dibagikan secara sah.</w:t>
      </w:r>
    </w:p>
    <w:p>
      <w:pPr>
        <w:jc w:val="both"/>
      </w:pPr>
      <w:r>
        <w:rPr>
          <w:b w:val="0"/>
          <w:i w:val="0"/>
        </w:rPr>
        <w:t>Lembaga perlu memisahkan fungsi pengawasan dari penjualan dan menyediakan jalur eskalasi. Nasabah dapat menanyakan mekanisme tanpa meminta pengawas memutus sengketa tanpa dokumen. Pertanyaan yang baik meminta mandat, proses peninjauan, dan tindak lanjut. Kerahasiaan dapat membatasi informasi yang dibagikan.</w:t>
      </w:r>
    </w:p>
    <w:p>
      <w:pPr>
        <w:jc w:val="both"/>
      </w:pPr>
      <w:r>
        <w:rPr>
          <w:b w:val="0"/>
          <w:i w:val="0"/>
        </w:rPr>
        <w:t>Rumuskan pertanyaan kepada pengawas dan lampirkan klausul terkait tanpa membuka data nasabah lain. Untuk koreksi tagihan, gunakan pengaduan resmi.</w:t>
      </w:r>
    </w:p>
    <w:p>
      <w:pPr>
        <w:jc w:val="both"/>
      </w:pPr>
      <w:r>
        <w:rPr>
          <w:b w:val="0"/>
          <w:i w:val="0"/>
        </w:rPr>
        <w:t>Berikan pengawas akses sesuai mandat, jaga independensi, dan catat tindak lanjut. Nasabah dapat menanyakan kebijakan umum yang boleh dibagikan.</w:t>
      </w:r>
    </w:p>
    <w:p>
      <w:pPr>
        <w:jc w:val="both"/>
      </w:pPr>
      <w:r>
        <w:rPr>
          <w:b w:val="0"/>
          <w:i w:val="0"/>
        </w:rPr>
        <w:t>Apakah Anda memahami batas tugas DPS dan jalur lain untuk sengketa layanan?</w:t>
      </w:r>
    </w:p>
    <w:p>
      <w:pPr>
        <w:jc w:val="both"/>
      </w:pPr>
      <w:r>
        <w:rPr>
          <w:b w:val="0"/>
          <w:i w:val="0"/>
        </w:rPr>
        <w:t>Nilai DPS dari mandat dan bukti pengawasan, bukan gelar atau promosi saja.</w:t>
      </w:r>
    </w:p>
    <w:p>
      <w:pPr>
        <w:jc w:val="both"/>
      </w:pPr>
      <w:r>
        <w:rPr>
          <w:b w:val="0"/>
          <w:i w:val="0"/>
        </w:rPr>
        <w:t>Nasabah dapat mengajukan pertanyaan umum tentang tata cara menyampaikan isu kepada DPS, siapa menerima laporan, dan bagaimana tindak lanjut dicatat. Hindari meminta pendapat atas transaksi orang lain atau laporan internal yang dilindungi. Jika pertanyaan menyangkut tagihan tertentu, cantumkan tanggal dan klausul yang relevan kepada unit pengaduan. Minta nomor kasus agar kedua jalur tidak tercampur.</w:t>
      </w:r>
    </w:p>
    <w:p>
      <w:pPr>
        <w:jc w:val="both"/>
      </w:pPr>
      <w:r>
        <w:rPr>
          <w:b w:val="0"/>
          <w:i w:val="0"/>
        </w:rPr>
        <w:t>Bagi lembaga, pengawasan berguna bila temuan ditangani sampai selesai. Catat rekomendasi, pemilik tindakan, tenggat internal, dan bukti penutupan. Bila manajemen tidak mengikuti rekomendasi, dokumentasikan alasan dan mekanisme eskalasi. Informasi publik tentang tata kelola harus menjelaskan batas kerahasiaan, bukan menyiratkan bahwa semua transaksi telah diperiksa satu per satu.</w:t>
      </w:r>
    </w:p>
    <w:p>
      <w:pPr>
        <w:jc w:val="both"/>
      </w:pPr>
      <w:r>
        <w:rPr>
          <w:b/>
          <w:i w:val="0"/>
          <w:sz w:val="28"/>
        </w:rPr>
        <w:t>15.13 Perlindungan Konsumen, Persaingan Usaha, dan Perlindungan Data</w:t>
      </w:r>
    </w:p>
    <w:p>
      <w:pPr>
        <w:jc w:val="both"/>
      </w:pPr>
      <w:r>
        <w:rPr>
          <w:b w:val="0"/>
          <w:i w:val="0"/>
        </w:rPr>
        <w:t>Seorang pelanggan mengunggah tangkapan layar untuk mencari bantuan, tanpa menyadari nomor identitas dan saldo rekening terlihat. Perlindungan konsumen menyangkut informasi jujur, perlakuan adil, kerahasiaan, dan akses pengaduan sesuai aturan. Persaingan sehat memberi ruang membandingkan tawaran tanpa tekanan atau informasi palsu. Bukti perlu dijaga, tetapi data yang tidak diperlukan ditutup. Jangan menyerahkan kata sandi, kode sekali pakai, atau akses akun kepada pihak yang mengaku membantu. Untuk laporan resmi, bagikan informasi minimum yang diminta melalui kanal sah.</w:t>
      </w:r>
    </w:p>
    <w:p>
      <w:pPr>
        <w:jc w:val="both"/>
      </w:pPr>
      <w:r>
        <w:rPr>
          <w:b w:val="0"/>
          <w:i w:val="0"/>
        </w:rPr>
        <w:t>Periksa penggunaan data setelah dikumpulkan: tujuan, penerima, masa simpan, dan cara meminta koreksi. Bagikan informasi minimum melalui kanal resmi. Kata sandi dan kode verifikasi tidak diperlukan untuk mengadu. Jika informasi rahasia terunggah, hubungi penyedia melalui kanal yang dicari sendiri dan ikuti langkah pengamanan.</w:t>
      </w:r>
    </w:p>
    <w:p>
      <w:pPr>
        <w:jc w:val="both"/>
      </w:pPr>
      <w:r>
        <w:rPr>
          <w:b w:val="0"/>
          <w:i w:val="0"/>
        </w:rPr>
        <w:t>Persaingan sehat bergantung pada informasi yang dapat dibandingkan. Iklan semestinya menjelaskan syarat penting dan tidak menutupi biaya material. Simpan bukti promosi beserta tanggal, tetapi jangan menyebarkan tuduhan sebelum pemeriksaan. Dalam organisasi, batasi akses data berdasarkan tugas dan jelaskan prosedur penghapusan kepada pemilik data.</w:t>
      </w:r>
    </w:p>
    <w:p>
      <w:pPr>
        <w:jc w:val="both"/>
      </w:pPr>
      <w:r>
        <w:rPr>
          <w:b w:val="0"/>
          <w:i w:val="0"/>
        </w:rPr>
        <w:t>Iklan perbandingan yang menyesatkan dapat mengganggu pilihan konsumen. Uji klaim terhadap syarat tertulis dan bukti.</w:t>
      </w:r>
    </w:p>
    <w:p>
      <w:pPr>
        <w:jc w:val="both"/>
      </w:pPr>
      <w:r>
        <w:rPr>
          <w:b w:val="0"/>
          <w:i w:val="0"/>
        </w:rPr>
        <w:t>Simpan kontrak dan kuitansi, tetapi tutup nomor identitas sebelum mengirim salinan. Dampingi anak atau lansia tanpa meminta kode rahasia.</w:t>
      </w:r>
    </w:p>
    <w:p>
      <w:pPr>
        <w:jc w:val="both"/>
      </w:pPr>
      <w:r>
        <w:rPr>
          <w:b w:val="0"/>
          <w:i w:val="0"/>
        </w:rPr>
        <w:t>Petugas meminta data seperlunya, menjelaskan tujuan, dan membatasi akses. Catat bukti iklan yang dipersoalkan tanpa menyebarkan data pihak lain.</w:t>
      </w:r>
    </w:p>
    <w:p>
      <w:pPr>
        <w:jc w:val="both"/>
      </w:pPr>
      <w:r>
        <w:rPr>
          <w:b w:val="0"/>
          <w:i w:val="0"/>
        </w:rPr>
        <w:t>Persaingan dan privasi juga menyangkut penggunaan data setelah dikumpulkan. Baca tujuan penggunaan, pihak penerima, masa penyimpanan, dan cara meminta koreksi. Pelaporan yang bertanggung jawab berfokus pada perbuatan dan bukti, bukan membuka identitas orang lain.</w:t>
      </w:r>
    </w:p>
    <w:p>
      <w:pPr>
        <w:jc w:val="both"/>
      </w:pPr>
      <w:r>
        <w:rPr>
          <w:b w:val="0"/>
          <w:i w:val="0"/>
        </w:rPr>
        <w:t>- [ ] Saya menutup data yang tidak perlu sebelum membagikan bukti. Saya memeriksa syarat layanan dan kanal pengaduan resmi.</w:t>
      </w:r>
    </w:p>
    <w:p>
      <w:pPr>
        <w:jc w:val="both"/>
      </w:pPr>
      <w:r>
        <w:rPr>
          <w:b w:val="0"/>
          <w:i w:val="0"/>
        </w:rPr>
        <w:t>Apakah bukti yang dibagikan cukup menjelaskan masalah tanpa membuka data pribadi yang tidak relevan?</w:t>
      </w:r>
    </w:p>
    <w:p>
      <w:pPr>
        <w:jc w:val="both"/>
      </w:pPr>
      <w:r>
        <w:rPr>
          <w:b w:val="0"/>
          <w:i w:val="0"/>
        </w:rPr>
        <w:t>Lindungi hak konsumen dengan bukti tertib, informasi jujur, dan pembatasan data sesuai kebutuhan.</w:t>
      </w:r>
    </w:p>
    <w:p>
      <w:pPr>
        <w:jc w:val="both"/>
      </w:pPr>
      <w:r>
        <w:rPr>
          <w:b/>
          <w:i w:val="0"/>
          <w:sz w:val="24"/>
        </w:rPr>
        <w:t>Batas Kewenangan</w:t>
      </w:r>
    </w:p>
    <w:p>
      <w:pPr>
        <w:jc w:val="both"/>
      </w:pPr>
      <w:r>
        <w:rPr>
          <w:b w:val="0"/>
          <w:i w:val="0"/>
        </w:rPr>
        <w:t>Uraian ini bersifat pendidikan, bukan fatwa, nasihat hukum, audit, atau rekomendasi produk. Status aturan dan lembaga dapat berubah. Periksa sumber resmi pada saat keputusan dibuat dan bawa dokumen lengkap kepada ahli atau otoritas berwenang. Kasus tertentu memerlukan pemeriksaan sesuai mandat masing-masing.</w:t>
      </w:r>
    </w:p>
    <w:p>
      <w:pPr>
        <w:jc w:val="both"/>
      </w:pPr>
      <w:r>
        <w:rPr>
          <w:b w:val="0"/>
          <w:i w:val="0"/>
        </w:rPr>
        <w:t>Sebelum mengirim bukti, buat salinan kerja dan samarkan nomor identitas, alamat, tanda tangan, serta data pihak lain yang tidak diperlukan. Pertahankan bagian yang membuktikan masalah, seperti tanggal, nilai, dan uraian biaya. Tanyakan kanal aman dan siapa yang dapat mengakses berkas. Jika pengaduan ditolak karena dokumen kurang, minta daftar kekurangan secara tertulis alih-alih mengirim semua data tanpa batas.</w:t>
      </w:r>
    </w:p>
    <w:p>
      <w:pPr>
        <w:jc w:val="both"/>
      </w:pPr>
      <w:r>
        <w:rPr>
          <w:b w:val="0"/>
          <w:i w:val="0"/>
        </w:rPr>
        <w:t>Dalam persaingan, bandingkan syarat yang setara dan simpan materi promosi pada tanggal diterima. Klaim yang tidak tepat dapat dilaporkan dengan bukti, tetapi jangan menyunting gambar sehingga konteks berubah. Organisasi sebaiknya menetapkan masa simpan, akses berbasis tugas, dan prosedur pemusnahan. Pengguna berhak bertanya bagaimana meminta koreksi, menarik persetujuan bila berlaku, atau melaporkan dugaan kebocoran melalui jalur resmi.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