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7. Cara Membaca Buku Ini: Asal-Usul 30 Kunci, Kriteria, dan Tingkat Dasar Pernyataan</w:t>
      </w:r>
    </w:p>
    <w:p>
      <w:pPr>
        <w:jc w:val="both"/>
      </w:pPr>
      <w:r>
        <w:rPr>
          <w:b/>
          <w:i w:val="0"/>
          <w:sz w:val="24"/>
        </w:rPr>
        <w:t>Kepala Bab</w:t>
      </w:r>
    </w:p>
    <w:p>
      <w:pPr>
        <w:jc w:val="both"/>
      </w:pPr>
      <w:r>
        <w:rPr>
          <w:b w:val="0"/>
          <w:i w:val="0"/>
        </w:rPr>
        <w:t>Bab 7. Cara Membaca Buku Ini: Asal-Usul 30 Kunci, Kriteria, dan Tingkat Dasar Pernyataan</w:t>
      </w:r>
    </w:p>
    <w:p>
      <w:pPr>
        <w:jc w:val="both"/>
      </w:pPr>
      <w:r>
        <w:rPr>
          <w:b w:val="0"/>
          <w:i w:val="0"/>
        </w:rPr>
        <w:t>Dalil ringkas: bab ini tidak memiliki dalil utama khusus. Bab ini menerangkan susunan dan batas kerangka buku.</w:t>
      </w:r>
    </w:p>
    <w:p>
      <w:pPr>
        <w:jc w:val="both"/>
      </w:pPr>
      <w:r>
        <w:rPr>
          <w:b/>
          <w:i w:val="0"/>
          <w:sz w:val="24"/>
        </w:rPr>
        <w:t>Pembuka Masalah</w:t>
      </w:r>
    </w:p>
    <w:p>
      <w:pPr>
        <w:jc w:val="both"/>
      </w:pPr>
      <w:r>
        <w:rPr>
          <w:b w:val="0"/>
          <w:i w:val="0"/>
        </w:rPr>
        <w:t>Di sebuah ruang tunggu klinik di Bekasi, Rina Ardhani membuka daftar isi buku ini sambil menunggu giliran. Ia membaca bahwa satu amalan disebut kunci rezeki, lalu teringat tetangganya yang rajin beribadah tetapi sedang kehilangan pekerjaan. Ia bertanya apakah istilah kunci berarti hasil tertentu akan segera datang. Pada halaman berikutnya, ia melihat tujuh kunci diberi sebutan rahasia dan khawatir ada amalan tersembunyi yang selama ini luput darinya. Ia juga belum tahu mana pernyataan yang bersandar pada ayat, mana yang merupakan penjelasan ulama, dan mana yang sekadar cara penulis menyusun bahan. Rina tidak membutuhkan janji yang menenangkan sesaat. Ia perlu tahu cara membaca klaim dengan cermat, memilih bagian yang sesuai masalah, dan berhenti ketika suatu perkara memerlukan ahli. Bab ini memberi peta itu. Kita akan membedakan dalil dari kerangka, hubungan dari jaminan, serta panduan umum dari keputusan untuk kasus pribadi. Dengan begitu, buku dapat menjadi teman belajar, bukan ukuran iman atau alat menghakimi nasib orang lain.</w:t>
      </w:r>
    </w:p>
    <w:p>
      <w:pPr>
        <w:jc w:val="both"/>
      </w:pPr>
      <w:r>
        <w:rPr>
          <w:b/>
          <w:i w:val="0"/>
          <w:sz w:val="24"/>
        </w:rPr>
        <w:t>Pertanyaan Utama</w:t>
      </w:r>
    </w:p>
    <w:p>
      <w:pPr>
        <w:jc w:val="both"/>
      </w:pPr>
      <w:r>
        <w:rPr>
          <w:b w:val="0"/>
          <w:i w:val="0"/>
        </w:rPr>
        <w:t>Dari mana susunan 30 Kunci berasal, bagaimana setiap kunci dan pernyataan dinilai, dan bagaimana memakai peta buku tanpa menganggapnya sebagai jaminan hasil?</w:t>
      </w:r>
    </w:p>
    <w:p>
      <w:pPr>
        <w:jc w:val="both"/>
      </w:pPr>
      <w:r>
        <w:rPr>
          <w:b/>
          <w:i w:val="0"/>
          <w:sz w:val="24"/>
        </w:rPr>
        <w:t>Ringkasan</w:t>
      </w:r>
    </w:p>
    <w:p>
      <w:pPr>
        <w:jc w:val="both"/>
      </w:pPr>
      <w:r>
        <w:rPr>
          <w:b w:val="0"/>
          <w:i w:val="0"/>
        </w:rPr>
        <w:t>Buku ini memilih 23 amalan yang penulis tempatkan dalam tujuh pintu, lalu menambahkan tujuh Kunci Rahasia yang dipandang layak dibahas setelah telaah dalil lanjutan. Angka itu adalah batas susunan buku, bukan klaim bahwa hanya ada 30 amalan yang baik. Sebuah kunci dipilih melalui sepuluh syarat editorial yang membantu memeriksa dasar, manfaat, batas, dan kelayakan pengamalannya. Sebagian kunci memiliki dalil yang menghubungkan amalan dan rezeki secara langsung. Sebagian lain lebih tepat dipahami melalui keutamaan umum, kaidah, atau hubungan yang perlu diberi catatan. Buku ini membedakan tingkat dasar pernyataan, jenis kaitannya dengan rezeki, dan sifat materi yang dibahas. Rangka tujuh pintu membantu pembaca menemukan arah, sedangkan peta keputusan serta siklus praktik membantu menyusun langkah. Semua itu adalah alat baca, bukan fatwa untuk kasus pribadi dan bukan rumus yang menjamin kekayaan. Mulailah dari satu persoalan yang nyata, periksa sumber klaim, lalu ambil tindakan yang berada dalam kewenangan Anda. Bila masalah menyangkut hukum atau keadaan khusus, bawa faktanya kepada ahli yang tepat.</w:t>
      </w:r>
    </w:p>
    <w:p>
      <w:pPr>
        <w:jc w:val="both"/>
      </w:pPr>
      <w:r>
        <w:rPr>
          <w:b/>
          <w:i w:val="0"/>
          <w:sz w:val="24"/>
        </w:rPr>
        <w:t>Istilah Kunci</w:t>
      </w:r>
    </w:p>
    <w:p>
      <w:pPr>
        <w:jc w:val="both"/>
      </w:pPr>
      <w:r>
        <w:rPr>
          <w:b w:val="0"/>
          <w:i w:val="0"/>
        </w:rPr>
        <w:t>- **Kunci:** nama ringkas bagi amalan atau sikap yang dibahas sebagai jalan mendekat kepada Allah dan menjalani ikhtiar yang baik.</w:t>
      </w:r>
    </w:p>
    <w:p>
      <w:pPr>
        <w:jc w:val="both"/>
      </w:pPr>
      <w:r>
        <w:rPr>
          <w:b w:val="0"/>
          <w:i w:val="0"/>
        </w:rPr>
        <w:t>- **Kunci Rahasia:** tujuh kunci tambahan dalam susunan buku, bukan amalan tersembunyi atau jaminan khusus.</w:t>
      </w:r>
    </w:p>
    <w:p>
      <w:pPr>
        <w:jc w:val="both"/>
      </w:pPr>
      <w:r>
        <w:rPr>
          <w:b w:val="0"/>
          <w:i w:val="0"/>
        </w:rPr>
        <w:t>- **Tingkat Dasar:** penanda jenis landasan sebuah pernyataan, dari nash eksplisit hingga penerapan kontemporer.</w:t>
      </w:r>
    </w:p>
    <w:p>
      <w:pPr>
        <w:jc w:val="both"/>
      </w:pPr>
      <w:r>
        <w:rPr>
          <w:b w:val="0"/>
          <w:i w:val="0"/>
        </w:rPr>
        <w:t>- **Jenis kaitan:** cara suatu amalan berhubungan dengan rezeki, yang harus dibedakan dari janji hasil tertentu.</w:t>
      </w:r>
    </w:p>
    <w:p>
      <w:pPr>
        <w:jc w:val="both"/>
      </w:pPr>
      <w:r>
        <w:rPr>
          <w:b w:val="0"/>
          <w:i w:val="0"/>
        </w:rPr>
        <w:t>- **Sifat materi:** penanda apakah isi merupakan prinsip yang relatif tetap atau pembahasan yang dapat berubah.</w:t>
      </w:r>
    </w:p>
    <w:p>
      <w:pPr>
        <w:jc w:val="both"/>
      </w:pPr>
      <w:r>
        <w:rPr>
          <w:b/>
          <w:i w:val="0"/>
          <w:sz w:val="24"/>
        </w:rPr>
        <w:t>Coba Sekarang</w:t>
      </w:r>
    </w:p>
    <w:p>
      <w:pPr>
        <w:jc w:val="both"/>
      </w:pPr>
      <w:r>
        <w:rPr>
          <w:b w:val="0"/>
          <w:i w:val="0"/>
        </w:rPr>
        <w:t>Pilih satu klaim dari daftar isi atau bab yang pernah Anda baca. Tandai apakah itu ayat, penjelasan, kerangka penulis, atau penerapan, lalu catat satu hal yang masih perlu diperiksa.</w:t>
      </w:r>
    </w:p>
    <w:p>
      <w:pPr>
        <w:jc w:val="right"/>
        <w:rtl/>
      </w:pPr>
      <w:r>
        <w:rPr>
          <w:rFonts w:ascii="Scheherazade New" w:hAnsi="Scheherazade New"/>
          <w:sz w:val="30"/>
          <w:rtl/>
          <w:cs w:val="1"/>
        </w:rPr>
        <w:t>وَلَا تَقْفُ مَا لَيْسَ لَكَ بِهِۦ عِلْمٌ ۚ إِنَّ ٱلسَّمْعَ وَٱلْبَصَرَ وَٱلْفُؤَادَ كُلُّ أُو۟لَٰٓئِكَ كَانَ عَنْهُ مَسْـُٔولًۭا</w:t>
      </w:r>
    </w:p>
    <w:p>
      <w:pPr>
        <w:jc w:val="both"/>
      </w:pPr>
      <w:r>
        <w:rPr>
          <w:b w:val="0"/>
          <w:i w:val="0"/>
          <w:sz w:val="18"/>
        </w:rPr>
        <w:t>LATIN: n.a. (transliterasi tidak dipakai; teks Arab dibaca langsung)</w:t>
      </w:r>
    </w:p>
    <w:p>
      <w:pPr>
        <w:jc w:val="both"/>
      </w:pPr>
      <w:r>
        <w:rPr>
          <w:b w:val="0"/>
          <w:i/>
        </w:rPr>
        <w:t>Artinya: Jangan mengikuti sesuatu yang tidak Anda ketahui. Pendengaran, penglihatan, dan hati akan dimintai pertanggungjawaban.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Al-Isra: 36</w:t>
      </w:r>
    </w:p>
    <w:p>
      <w:pPr>
        <w:jc w:val="both"/>
      </w:pPr>
      <w:r>
        <w:rPr>
          <w:b w:val="0"/>
          <w:i w:val="0"/>
          <w:sz w:val="18"/>
        </w:rPr>
        <w:t>STATUS: [V-AYAT]</w:t>
      </w:r>
    </w:p>
    <w:p>
      <w:pPr>
        <w:jc w:val="both"/>
      </w:pPr>
      <w:r>
        <w:rPr>
          <w:b/>
          <w:i w:val="0"/>
          <w:sz w:val="28"/>
        </w:rPr>
        <w:t>7.1 Dari Mana 30 Kunci Berasal: 23 Amalan Pilihan Penulis dan 7 Kunci Rahasia dari Telaah Dalil Lanjutan</w:t>
      </w:r>
    </w:p>
    <w:p>
      <w:pPr>
        <w:jc w:val="both"/>
      </w:pPr>
      <w:r>
        <w:rPr>
          <w:b w:val="0"/>
          <w:i w:val="0"/>
        </w:rPr>
        <w:t>Angka 30 menjelaskan cakupan buku ini, bukan batas seluruh amal yang mendekatkan manusia kepada Allah. Dua puluh tiga amalan dipilih penulis untuk menjadi isi utama, lalu tujuh bahasan ditambahkan setelah telaah dalil lanjutan. Ketujuh tambahan itu disebut Kunci Rahasia karena sering terlewat dalam susunan awal, bukan karena ajarannya tersembunyi dari umat. Penamaan tersebut adalah cara mengatur pembahasan, bukan klaim bahwa penulis menemukan ibadah rahasia.</w:t>
      </w:r>
    </w:p>
    <w:p>
      <w:pPr>
        <w:jc w:val="both"/>
      </w:pPr>
      <w:r>
        <w:rPr>
          <w:b w:val="0"/>
          <w:i w:val="0"/>
        </w:rPr>
        <w:t>Dimas, lulusan D3 di Surabaya, mungkin membuka buku ini setelah membaca daftar kunci di ponsel temannya. Ia dapat mengira jumlah 30 merupakan daftar wajib yang harus diselesaikan sebelum mencari kerja. Padahal seseorang tidak harus mengamalkan semua hal secara serentak untuk disebut berusaha. Ia tetap bertanggung jawab atas kewajiban yang berlaku baginya, sementara buku ini menyajikan ruang belajar yang lebih luas. Susunan bukan penilaian atas kesalehan seseorang.</w:t>
      </w:r>
    </w:p>
    <w:p>
      <w:pPr>
        <w:jc w:val="both"/>
      </w:pPr>
      <w:r>
        <w:rPr>
          <w:b w:val="0"/>
          <w:i w:val="0"/>
        </w:rPr>
        <w:t>Tiap tema dipilih agar pembaca dapat mengkaji dasar dan batasnya. Misalnya, sedekah dibahas sebagai ibadah dan kepedulian, sementara kerja keras dibahas sebagai ikhtiar yang menjaga martabat dan amanah. Pengelompokan itu tidak menyamakan bentuk dalil keduanya. Ada pembahasan yang menunjukkan kaitan dengan rezeki secara jelas; ada pula yang menjelaskan kebaikan umum atau sikap yang mendukung hidup tertata.</w:t>
      </w:r>
    </w:p>
    <w:p>
      <w:pPr>
        <w:jc w:val="both"/>
      </w:pPr>
      <w:r>
        <w:rPr>
          <w:b w:val="0"/>
          <w:i w:val="0"/>
        </w:rPr>
        <w:t>Karena itu, sebutan kunci tidak mengubah suatu anjuran menjadi sebab mekanis. Berdoa tidak mengikat Allah pada hasil yang diminta, dan ikhtiar tidak menghapus kenyataan bahwa hasil berada di luar kendali manusia. Pembaca dapat memeriksa uraian pada bab terkait, lalu membandingkan kesimpulan buku dengan ayat, hadits, dan penjelasan ulama yang dirujuk. Bila ada rincian yang perlu penilaian khusus, rujukannya bukan sekadar daftar isi, tetapi ahli yang memahami masalah tersebut.</w:t>
      </w:r>
    </w:p>
    <w:p>
      <w:pPr>
        <w:jc w:val="both"/>
      </w:pPr>
      <w:r>
        <w:rPr>
          <w:b w:val="0"/>
          <w:i w:val="0"/>
        </w:rPr>
        <w:t>Tujuh tambahan tetap berada dalam tujuh pintu yang sama. Susunan ini memudahkan pembaca melihat tempat bahasan, sedangkan alasan dan tingkat keterkaitannya dijelaskan di bab masing-masing. Jadi, tiga puluh adalah pilihan editorial yang terbuka untuk ditelaah, bukan angka sakral dan bukan daftar lengkap semua jalan kebaikan.</w:t>
      </w:r>
    </w:p>
    <w:p>
      <w:pPr>
        <w:jc w:val="both"/>
      </w:pPr>
      <w:r>
        <w:rPr>
          <w:b w:val="0"/>
          <w:i w:val="0"/>
        </w:rPr>
        <w:t>Pemilihan dua puluh tiga tema awal juga menuntut keterbukaan tentang peran penulis. Pilihan itu menggambarkan cara buku ini menyusun bahan untuk pembaca, bukan ijmak ulama tentang jumlah amalan yang berkaitan dengan rezeki. Tujuh tema tambahan pun tidak lebih tinggi nilainya hanya karena ditempatkan dalam kelompok tersendiri. Setiap bahasan perlu berdiri pada dalil dan penjelasan yang sesuai, bukan pada daya tarik labelnya. Pembaca dapat menerima manfaat sebuah pembahasan sambil tetap mempertanyakan ketepatan cara ia dihubungkan dengan rezeki. Sikap kritis semacam ini bukan penolakan terhadap ibadah; ia menjaga agar ajaran tidak ditambahi janji yang tidak disebut sumbernya.</w:t>
      </w:r>
    </w:p>
    <w:p>
      <w:pPr>
        <w:jc w:val="both"/>
      </w:pPr>
      <w:r>
        <w:rPr>
          <w:b w:val="0"/>
          <w:i w:val="0"/>
        </w:rPr>
        <w:t>Cara membaca yang cermat juga menolong ketika judul tampak tegas tetapi uraian memberi batas. Bacalah paragraf penjelas dan catatan, jangan mengambil satu frasa promosi sebagai keseluruhan maksud bab. Bila sebuah amalan dianjurkan karena nilai ibadahnya, jalankan sebagai ibadah, bukan sebagai transaksi yang menuntut balasan sesuai jadwal. Harapan kepada Allah tetap luas, tetapi manusia tidak berhak menentukan bentuk atau waktu pemberian-Nya.</w:t>
      </w:r>
    </w:p>
    <w:p>
      <w:pPr>
        <w:jc w:val="both"/>
      </w:pPr>
      <w:r>
        <w:rPr>
          <w:b w:val="0"/>
          <w:i w:val="0"/>
        </w:rPr>
        <w:t>Perbedaan sumber perlu dipertahankan dari awal hingga kesimpulan. Ayat dibaca melalui tafsir, hadits melalui pemeriksaan riwayat dan syarah, sedangkan kerangka editorial dinilai sebagai keputusan penulis. Ketiganya dapat hadir dalam satu bab tanpa memiliki bobot yang sama. Pembaca yang menemukan pernyataan kurang jelas sebaiknya menandai halaman dan menunggu penjelasan, bukan meneruskan potongan kalimat seolah telah menjadi hukum.</w:t>
      </w:r>
    </w:p>
    <w:p>
      <w:pPr>
        <w:jc w:val="both"/>
      </w:pPr>
      <w:r>
        <w:rPr>
          <w:b w:val="0"/>
          <w:i w:val="0"/>
        </w:rPr>
        <w:t>Dengan demikian, asal-usul 30 Kunci dapat diterangkan secara sederhana: ini pilihan cakupan untuk membantu pembaca, lalu ditata menjadi bab yang bisa dikaji. Ia bukan inventaris semua ibadah, bukan tolok ukur kesalehan, dan bukan janji untuk memperoleh jumlah harta tertentu.</w:t>
      </w:r>
    </w:p>
    <w:p>
      <w:pPr>
        <w:jc w:val="both"/>
      </w:pPr>
      <w:r>
        <w:rPr>
          <w:b/>
          <w:i w:val="0"/>
          <w:sz w:val="28"/>
        </w:rPr>
        <w:t>7.2 Sepuluh Syarat Sebuah Kunci, dan Kunci yang Dalilnya Terbatas tetapi Tetap Dimasukkan dengan Catatan</w:t>
      </w:r>
    </w:p>
    <w:p>
      <w:pPr>
        <w:jc w:val="both"/>
      </w:pPr>
      <w:r>
        <w:rPr>
          <w:b w:val="0"/>
          <w:i w:val="0"/>
        </w:rPr>
        <w:t>Kriteria kunci berfungsi sebagai alat kendali mutu. Ia membantu penulis dan pembaca menanyakan apa dasar sebuah bahasan, seberapa tepat kaitannya dengan rezeki, dan batas apa yang harus disebutkan. Kesepuluh syarat berikut merupakan kerangka penyuntingan buku, bukan syarat ibadah yang diwajibkan agama.</w:t>
      </w:r>
    </w:p>
    <w:tbl>
      <w:tblPr>
        <w:tblStyle w:val="TableGrid"/>
        <w:tblW w:type="auto" w:w="0"/>
        <w:tblLook w:firstColumn="1" w:firstRow="1" w:lastColumn="0" w:lastRow="0" w:noHBand="0" w:noVBand="1" w:val="04A0"/>
      </w:tblPr>
      <w:tblGrid>
        <w:gridCol w:w="4320"/>
        <w:gridCol w:w="4320"/>
      </w:tblGrid>
      <w:tr>
        <w:tc>
          <w:tcPr>
            <w:tcW w:type="dxa" w:w="4320"/>
          </w:tcPr>
          <w:p>
            <w:r>
              <w:rPr>
                <w:b/>
              </w:rPr>
              <w:t>No.</w:t>
            </w:r>
          </w:p>
        </w:tc>
        <w:tc>
          <w:tcPr>
            <w:tcW w:type="dxa" w:w="4320"/>
          </w:tcPr>
          <w:p>
            <w:r>
              <w:rPr>
                <w:b/>
              </w:rPr>
              <w:t>Pertanyaan pemeriksaan</w:t>
            </w:r>
          </w:p>
        </w:tc>
      </w:tr>
      <w:tr>
        <w:tc>
          <w:tcPr>
            <w:tcW w:type="dxa" w:w="4320"/>
          </w:tcPr>
          <w:p>
            <w:r>
              <w:t>1</w:t>
            </w:r>
          </w:p>
        </w:tc>
        <w:tc>
          <w:tcPr>
            <w:tcW w:type="dxa" w:w="4320"/>
          </w:tcPr>
          <w:p>
            <w:r>
              <w:t>Apakah ada dasar dari Al-Qur'an, hadits, atau kaidah yang relevan?</w:t>
            </w:r>
          </w:p>
        </w:tc>
      </w:tr>
      <w:tr>
        <w:tc>
          <w:tcPr>
            <w:tcW w:type="dxa" w:w="4320"/>
          </w:tcPr>
          <w:p>
            <w:r>
              <w:t>2</w:t>
            </w:r>
          </w:p>
        </w:tc>
        <w:tc>
          <w:tcPr>
            <w:tcW w:type="dxa" w:w="4320"/>
          </w:tcPr>
          <w:p>
            <w:r>
              <w:t>Apakah rujukan dapat dikenali dan diperiksa kembali?</w:t>
            </w:r>
          </w:p>
        </w:tc>
      </w:tr>
      <w:tr>
        <w:tc>
          <w:tcPr>
            <w:tcW w:type="dxa" w:w="4320"/>
          </w:tcPr>
          <w:p>
            <w:r>
              <w:t>3</w:t>
            </w:r>
          </w:p>
        </w:tc>
        <w:tc>
          <w:tcPr>
            <w:tcW w:type="dxa" w:w="4320"/>
          </w:tcPr>
          <w:p>
            <w:r>
              <w:t>Apakah makna dalil dijelaskan sesuai konteks, tanpa mengubahnya menjadi janji baru?</w:t>
            </w:r>
          </w:p>
        </w:tc>
      </w:tr>
      <w:tr>
        <w:tc>
          <w:tcPr>
            <w:tcW w:type="dxa" w:w="4320"/>
          </w:tcPr>
          <w:p>
            <w:r>
              <w:t>4</w:t>
            </w:r>
          </w:p>
        </w:tc>
        <w:tc>
          <w:tcPr>
            <w:tcW w:type="dxa" w:w="4320"/>
          </w:tcPr>
          <w:p>
            <w:r>
              <w:t>Apakah hubungan amalan dengan rezeki disebut dengan kadar yang tepat?</w:t>
            </w:r>
          </w:p>
        </w:tc>
      </w:tr>
      <w:tr>
        <w:tc>
          <w:tcPr>
            <w:tcW w:type="dxa" w:w="4320"/>
          </w:tcPr>
          <w:p>
            <w:r>
              <w:t>5</w:t>
            </w:r>
          </w:p>
        </w:tc>
        <w:tc>
          <w:tcPr>
            <w:tcW w:type="dxa" w:w="4320"/>
          </w:tcPr>
          <w:p>
            <w:r>
              <w:t>Apakah pembahasan membedakan janji nash dan penjelasan penulis?</w:t>
            </w:r>
          </w:p>
        </w:tc>
      </w:tr>
      <w:tr>
        <w:tc>
          <w:tcPr>
            <w:tcW w:type="dxa" w:w="4320"/>
          </w:tcPr>
          <w:p>
            <w:r>
              <w:t>6</w:t>
            </w:r>
          </w:p>
        </w:tc>
        <w:tc>
          <w:tcPr>
            <w:tcW w:type="dxa" w:w="4320"/>
          </w:tcPr>
          <w:p>
            <w:r>
              <w:t>Apakah amalan dapat diterangkan tanpa mengarang tata cara khusus?</w:t>
            </w:r>
          </w:p>
        </w:tc>
      </w:tr>
      <w:tr>
        <w:tc>
          <w:tcPr>
            <w:tcW w:type="dxa" w:w="4320"/>
          </w:tcPr>
          <w:p>
            <w:r>
              <w:t>7</w:t>
            </w:r>
          </w:p>
        </w:tc>
        <w:tc>
          <w:tcPr>
            <w:tcW w:type="dxa" w:w="4320"/>
          </w:tcPr>
          <w:p>
            <w:r>
              <w:t>Apakah praktiknya tidak mendorong pelanggaran kewajiban atau hak orang lain?</w:t>
            </w:r>
          </w:p>
        </w:tc>
      </w:tr>
      <w:tr>
        <w:tc>
          <w:tcPr>
            <w:tcW w:type="dxa" w:w="4320"/>
          </w:tcPr>
          <w:p>
            <w:r>
              <w:t>8</w:t>
            </w:r>
          </w:p>
        </w:tc>
        <w:tc>
          <w:tcPr>
            <w:tcW w:type="dxa" w:w="4320"/>
          </w:tcPr>
          <w:p>
            <w:r>
              <w:t>Apakah batas pengetahuan dan perbedaan pendapat disampaikan dengan jujur?</w:t>
            </w:r>
          </w:p>
        </w:tc>
      </w:tr>
      <w:tr>
        <w:tc>
          <w:tcPr>
            <w:tcW w:type="dxa" w:w="4320"/>
          </w:tcPr>
          <w:p>
            <w:r>
              <w:t>9</w:t>
            </w:r>
          </w:p>
        </w:tc>
        <w:tc>
          <w:tcPr>
            <w:tcW w:type="dxa" w:w="4320"/>
          </w:tcPr>
          <w:p>
            <w:r>
              <w:t>Apakah pembaca dapat mengambil langkah yang wajar tanpa menganggap hasilnya pasti?</w:t>
            </w:r>
          </w:p>
        </w:tc>
      </w:tr>
      <w:tr>
        <w:tc>
          <w:tcPr>
            <w:tcW w:type="dxa" w:w="4320"/>
          </w:tcPr>
          <w:p>
            <w:r>
              <w:t>10</w:t>
            </w:r>
          </w:p>
        </w:tc>
        <w:tc>
          <w:tcPr>
            <w:tcW w:type="dxa" w:w="4320"/>
          </w:tcPr>
          <w:p>
            <w:r>
              <w:t>Apakah topik itu menambah manfaat pembaca dalam memahami iman, akhlak, atau ikhtiar?</w:t>
            </w:r>
          </w:p>
        </w:tc>
      </w:tr>
    </w:tbl>
    <w:p>
      <w:pPr>
        <w:jc w:val="both"/>
      </w:pPr>
      <w:r>
        <w:rPr>
          <w:b w:val="0"/>
          <w:i w:val="0"/>
        </w:rPr>
        <w:t>Dalil yang terbatas tidak otomatis menjadikan sebuah tema tidak layak dibahas. Namun, keterbatasan itu harus tampak, bukan disembunyikan di balik judul yang meyakinkan. Sebuah amalan bisa memiliki keutamaan umum tanpa dalil khusus bahwa amalan tersebut menambah harta. Buku perlu memisahkan dua klaim itu dan tidak memindahkan bukti dari satu klaim ke klaim lain.</w:t>
      </w:r>
    </w:p>
    <w:p>
      <w:pPr>
        <w:jc w:val="both"/>
      </w:pPr>
      <w:r>
        <w:rPr>
          <w:b w:val="0"/>
          <w:i w:val="0"/>
        </w:rPr>
        <w:t>Misalnya, jika suatu bahasan menjelaskan manfaat menjaga hubungan baik, pembaca perlu mengetahui apakah rujukannya menyatakan tambahan rezeki secara khusus atau menyebut kebaikan silaturahmi secara umum. Perbedaan itu memengaruhi cara kita berbicara. Pada kasus pertama, bunyi dalil dan syarahnya harus dihadirkan. Pada kasus kedua, hubungan dengan rezeki mungkin merupakan penjelasan atau penerapan, sehingga diberi batas dan tidak disajikan sebagai janji tekstual.</w:t>
      </w:r>
    </w:p>
    <w:p>
      <w:pPr>
        <w:jc w:val="both"/>
      </w:pPr>
      <w:r>
        <w:rPr>
          <w:b w:val="0"/>
          <w:i w:val="0"/>
        </w:rPr>
        <w:t>Sepuluh pertanyaan ini tidak menggantikan takhrij, tafsir, atau penilaian ahli. Ia menandai pekerjaan yang mesti dilakukan sebelum kesimpulan disajikan kepada pembaca. Jika jawaban sebuah kriteria belum jelas, redaksi perlu dipersempit atau diberi catatan. Kejujuran tentang keterbatasan membuat buku dapat dipercaya untuk belajar, tanpa berpura-pura menyelesaikan semua persoalan.</w:t>
      </w:r>
    </w:p>
    <w:p>
      <w:pPr>
        <w:jc w:val="both"/>
      </w:pPr>
      <w:r>
        <w:rPr>
          <w:b w:val="0"/>
          <w:i w:val="0"/>
        </w:rPr>
        <w:t>Kriteria itu juga menjaga agar bentuk penyajian tidak mendahului bukti. Judul menarik tidak boleh menjadi alasan untuk melebih-lebihkan hubungan suatu amalan dengan hasil ekonomi. Jika sumber hanya menjelaskan keutamaan ibadah, buku perlu menyebut keutamaan itu dengan jujur tanpa menyisipkan kesimpulan tentang tambahan penghasilan. Bila terdapat perbedaan penafsiran, pembaca berhak mengetahui bahwa ada ruang ikhtilaf, bukan menerima satu pandangan sebagai satu-satunya suara.</w:t>
      </w:r>
    </w:p>
    <w:p>
      <w:pPr>
        <w:jc w:val="both"/>
      </w:pPr>
      <w:r>
        <w:rPr>
          <w:b w:val="0"/>
          <w:i w:val="0"/>
        </w:rPr>
        <w:t>Syarat lain yang penting ialah kemampuan pembaca membedakan teks sumber dan komentar. Kutipan perlu ditandai serta dirujuk, sementara analisis penulis dinyatakan sebagai analisis. Penerapan pada pekerjaan, keluarga, atau produk tertentu harus menyebut fakta yang diperlukan dan batas generalisasinya. Dari sini terlihat bahwa sepuluh butir bukan daftar untuk menghias bab. Setiap butir menuntut keputusan editorial yang bisa diperiksa dan dikoreksi.</w:t>
      </w:r>
    </w:p>
    <w:p>
      <w:pPr>
        <w:jc w:val="both"/>
      </w:pPr>
      <w:r>
        <w:rPr>
          <w:b w:val="0"/>
          <w:i w:val="0"/>
        </w:rPr>
        <w:t>Jika dasar sebuah kunci belum cukup jelas, pilihannya bukan menutup-nutupi kekurangan. Penulis dapat mengurangi kekuatan kalimat, memberi catatan bahwa kaitannya tidak langsung, atau mengarahkan pembaca kepada rujukan yang lebih memadai. Pembaca dapat melakukan hal serupa saat membagikan nasihat: sebut sumber jika diketahui, jelaskan bila itu pemahaman pribadi, dan tahan klaim yang belum teruji. Langkah tersebut mengurangi risiko menyandarkan janji kepada agama tanpa dasar.</w:t>
      </w:r>
    </w:p>
    <w:p>
      <w:pPr>
        <w:jc w:val="both"/>
      </w:pPr>
      <w:r>
        <w:rPr>
          <w:b w:val="0"/>
          <w:i w:val="0"/>
        </w:rPr>
        <w:t>Kriteria ini juga tidak memberi lisensi untuk memvonis orang yang menghadapi kesulitan. Ada banyak sebab yang tidak tampak bagi pengamat, dan tidak semua pengalaman bisa dijelaskan oleh satu amalan. Ukuran mutu bahasan adalah ketepatan dan kejujuran penyampaiannya, bukan apakah cerita tertentu berakhir dengan keberhasilan materi.</w:t>
      </w:r>
    </w:p>
    <w:p>
      <w:pPr>
        <w:jc w:val="both"/>
      </w:pPr>
      <w:r>
        <w:rPr>
          <w:b w:val="0"/>
          <w:i w:val="0"/>
        </w:rPr>
        <w:t>Perlu pula dibedakan antara bukti yang belum ditemukan dan bukti yang menunjukkan sesuatu secara terbatas. Keduanya tidak sama. Dalam keadaan pertama, penulis seharusnya menyatakan bahwa rujukan masih perlu diperiksa. Dalam keadaan kedua, ia dapat menjelaskan apa yang ditunjukkan sumber, sekaligus menahan kesimpulan yang lebih luas. Pembaca pun dapat memakai sikap serupa ketika menemukan nasihat di luar buku. Tanyakan siapa yang menyampaikan, dari mana rujukannya, dan apakah kesimpulannya benar-benar mengikuti rujukan tersebut.</w:t>
      </w:r>
    </w:p>
    <w:p>
      <w:pPr>
        <w:jc w:val="both"/>
      </w:pPr>
      <w:r>
        <w:rPr>
          <w:b/>
          <w:i w:val="0"/>
          <w:sz w:val="28"/>
        </w:rPr>
        <w:t>7.3 Mengapa Amalan Tertentu Masuk dan yang Lain Tidak: 30 Kunci Bukan Daftar Lengkap, Bukan Daftar Wajib</w:t>
      </w:r>
    </w:p>
    <w:p>
      <w:pPr>
        <w:jc w:val="both"/>
      </w:pPr>
      <w:r>
        <w:rPr>
          <w:b w:val="0"/>
          <w:i w:val="0"/>
        </w:rPr>
        <w:t>Buku ini harus memilih ruang lingkup agar pembahasan dapat disusun dan dibaca. Ada amalan baik yang tidak menjadi bab tersendiri karena jumlah halaman dan fokusnya terbatas. Ketiadaannya di daftar tidak berarti amalan itu kurang penting atau ditolak. Daftar 30 Kunci bukan daftar wajib, bukan pula peringkat semua ibadah.</w:t>
      </w:r>
    </w:p>
    <w:p>
      <w:pPr>
        <w:jc w:val="both"/>
      </w:pPr>
      <w:r>
        <w:rPr>
          <w:b w:val="0"/>
          <w:i w:val="0"/>
        </w:rPr>
        <w:t>Pembaca tetap merujuk ajaran yang sudah diketahui dan kewajiban yang berlaku. Jika suatu masalah tidak tercakup, gunakan indeks, rujukan silang, atau bertanya kepada orang berilmu. Jangan menganggap buku ini sebagai satu-satunya pintu untuk memahami agama.</w:t>
      </w:r>
    </w:p>
    <w:p>
      <w:pPr>
        <w:jc w:val="both"/>
      </w:pPr>
      <w:r>
        <w:rPr>
          <w:b w:val="0"/>
          <w:i w:val="0"/>
        </w:rPr>
        <w:t>Pilihan sebuah topik juga dipengaruhi susunan jilid, kedalaman yang diperlukan, dan keberadaan pembahasan lain. Karena itu, pembaca yang tidak menemukan tema tertentu sebaiknya menelusuri indeks atau bertanya, bukan menarik kesimpulan tentang nilainya. Ruang lingkup buku mengatur halaman, bukan mengatur kedudukan semua amal di sisi Allah.</w:t>
      </w:r>
    </w:p>
    <w:p>
      <w:pPr>
        <w:jc w:val="both"/>
      </w:pPr>
      <w:r>
        <w:rPr>
          <w:b w:val="0"/>
          <w:i w:val="0"/>
        </w:rPr>
        <w:t>Batas cakupan juga membuat buku ini perlu dibaca bersama rujukan lain, bukan berdiri sendirian. Jika Anda mempelajari amalan yang tidak dibahas, jangan menafsirkan keheningan daftar sebagai larangan atau penolakan. Carilah penjelasan yang dapat dipertanggungjawabkan, terutama bila berkaitan dengan kewajiban atau hak orang lain.</w:t>
      </w:r>
    </w:p>
    <w:p>
      <w:pPr>
        <w:jc w:val="both"/>
      </w:pPr>
      <w:r>
        <w:rPr>
          <w:b/>
          <w:i w:val="0"/>
          <w:sz w:val="28"/>
        </w:rPr>
        <w:t>7.4 Apa Itu "Kunci", dan Mengapa Ada "Kunci Rahasia"?</w:t>
      </w:r>
    </w:p>
    <w:p>
      <w:pPr>
        <w:jc w:val="both"/>
      </w:pPr>
      <w:r>
        <w:rPr>
          <w:b w:val="0"/>
          <w:i w:val="0"/>
        </w:rPr>
        <w:t>Kata kunci dipakai sebagai metafora: amalan atau sikap dapat menjadi jalan yang patut ditempuh, tetapi bukan alat yang memaksa hasil. Metafora ini berguna untuk mengingat tema, selama pembaca tidak membaca hubungan sebab-akibat secara otomatis. Allah memberi hasil sesuai kehendak-Nya, dan bentuk rezeki tidak selalu sama dengan harapan manusia.</w:t>
      </w:r>
    </w:p>
    <w:p>
      <w:pPr>
        <w:jc w:val="both"/>
      </w:pPr>
      <w:r>
        <w:rPr>
          <w:b w:val="0"/>
          <w:i w:val="0"/>
        </w:rPr>
        <w:t>Sebutan Kunci Rahasia merujuk pada tujuh bahasan tambahan yang diletakkan setelah 23 pilihan awal. Istilah rahasia tidak menyatakan bahwa amalan itu tersembunyi, eksklusif, atau baru diketahui penulis. Ia juga tidak menjanjikan hasil khusus bagi siapa pun yang menjalankannya. Pembaca dapat menguji makna setiap judul dengan membaca dalil dan batas yang disediakan.</w:t>
      </w:r>
    </w:p>
    <w:p>
      <w:pPr>
        <w:jc w:val="both"/>
      </w:pPr>
      <w:r>
        <w:rPr>
          <w:b w:val="0"/>
          <w:i w:val="0"/>
        </w:rPr>
        <w:t>Kata kunci juga tidak berarti bahwa Allah terikat oleh tindakan manusia. Dalam bahasa sehari-hari, kita menyebut sesuatu sebagai kunci karena ia membuka jalan atau menolong seseorang memasuki suatu proses. Dalam urusan ibadah dan rezeki, metafora itu harus disertai adab: manusia beramal dan berharap, tetapi tidak menentukan keputusan Allah. Kebaikan suatu amalan tetap bernilai meskipun dampaknya tidak tampak sebagai uang atau perubahan keadaan yang segera.</w:t>
      </w:r>
    </w:p>
    <w:p>
      <w:pPr>
        <w:jc w:val="both"/>
      </w:pPr>
      <w:r>
        <w:rPr>
          <w:b w:val="0"/>
          <w:i w:val="0"/>
        </w:rPr>
        <w:t>Pembaca bisa memeriksa setiap bab dengan dua pertanyaan: apa yang benar-benar disebut sumber, dan apa yang merupakan penjelasan hubungan? Pertanyaan itu menjaga judul tetap menjadi pintu masuk, bukan kesimpulan. Bila istilah rahasia membuat pembaca membayangkan formula khusus, kembalilah pada isi dan dalil. Tidak ada keharusan memburu amalan tersembunyi agar doa didengar atau rezeki diberikan.</w:t>
      </w:r>
    </w:p>
    <w:p>
      <w:pPr>
        <w:jc w:val="both"/>
      </w:pPr>
      <w:r>
        <w:rPr>
          <w:b w:val="0"/>
          <w:i w:val="0"/>
        </w:rPr>
        <w:t>Dalam percakapan, metafora kunci kadang terdengar seolah ada prosedur tunggal: lakukan satu hal lalu pintu tertentu pasti terbuka. Bab-bab buku ini tidak boleh dipahami demikian. Amalan yang baik tetap dilakukan karena ketaatan dan kebaikannya, sementara doa menyertai harapan tanpa mengatur jawaban. Istilah rahasia tidak menambahkan syarat gaib atau tata cara eksklusif.</w:t>
      </w:r>
    </w:p>
    <w:p>
      <w:pPr>
        <w:jc w:val="both"/>
      </w:pPr>
      <w:r>
        <w:rPr>
          <w:b w:val="0"/>
          <w:i w:val="0"/>
        </w:rPr>
        <w:t>Karena itu, saat istilah ini muncul, periksa apa yang sedang ditekankan penulis: nama topik, keutamaan ibadah, atau klaim sebab tertentu. Tiga hal tersebut memiliki bobot berbeda. Bila kalimatnya terasa memastikan hasil yang tidak dapat dijamin, bacalah kembali konteks dan batasnya. Pembaca dapat menyampaikan koreksi dengan menyebut bagian yang perlu diperjelas, bukan menyerang orang yang menyusun buku.</w:t>
      </w:r>
    </w:p>
    <w:p>
      <w:pPr>
        <w:jc w:val="both"/>
      </w:pPr>
      <w:r>
        <w:rPr>
          <w:b/>
          <w:i w:val="0"/>
          <w:sz w:val="28"/>
        </w:rPr>
        <w:t>7.5 Hierarki Kerangka Buku: Rangka Utama, Alat Bantu Baca, dan Kerangka Lokal</w:t>
      </w:r>
    </w:p>
    <w:p>
      <w:pPr>
        <w:jc w:val="both"/>
      </w:pPr>
      <w:r>
        <w:rPr>
          <w:b w:val="0"/>
          <w:i w:val="0"/>
        </w:rPr>
        <w:t>Rangka utama buku ini adalah tujuh pintu yang mengelompokkan pembahasan. Bab 8 memetakan pintu dan letak kunci, sedangkan Lampiran A merangkum hubungan yang dipakai dalam tiap entri. Rangka tersebut membantu navigasi, bukan susunan wajib dalam kehidupan pembaca.</w:t>
      </w:r>
    </w:p>
    <w:p>
      <w:pPr>
        <w:jc w:val="both"/>
      </w:pPr>
      <w:r>
        <w:rPr>
          <w:b w:val="0"/>
          <w:i w:val="0"/>
        </w:rPr>
        <w:t>Alat bantu baca meliputi tingkat dasar pernyataan, jenis kaitan dengan rezeki, dan sifat materi. Sebuah bab dapat pula memakai kerangka lokal, seperti pertanyaan pemeriksaan atau urutan tindakan yang sesuai topiknya. Jika kerangka lokal berbeda dari urutan pintu, keduanya tidak bertentangan: satu mengatur bahan buku, yang lain membantu menyelesaikan tugas tertentu.</w:t>
      </w:r>
    </w:p>
    <w:p>
      <w:pPr>
        <w:jc w:val="both"/>
      </w:pPr>
      <w:r>
        <w:rPr>
          <w:b w:val="0"/>
          <w:i w:val="0"/>
        </w:rPr>
        <w:t>Bayangkan Sinta, mahasiswi di Malang, sedang menilai tawaran kerja sampingan. Ia dapat memakai peta tujuh pintu untuk menemukan bahasan ikhtiar, tetapi keputusan transaksi perlu membaca bab tentang akad dan pekerjaan. Peta memberi arah awal, bukan jawaban atas rincian kontraknya. Untuk perkara yang belum terang, ia perlu menyimpan informasi dan meminta penilaian orang yang kompeten.</w:t>
      </w:r>
    </w:p>
    <w:p>
      <w:pPr>
        <w:jc w:val="both"/>
      </w:pPr>
      <w:r>
        <w:rPr>
          <w:b w:val="0"/>
          <w:i w:val="0"/>
        </w:rPr>
        <w:t>Hierarki ini berguna ketika pembaca menemukan beberapa bagan atau pengelompokan. Rangka utama memberi arah besar, alat bantu memberi cara membaca, dan kerangka lokal menata satu persoalan. Jangan memaksa setiap kasus mengikuti peta yang sama apabila fakta dan kewajibannya berbeda. Misalnya, bab ikhtiar dapat memberi dorongan untuk bekerja, sedangkan penilaian akad tetap meminta rincian tentang jasa, pembayaran, risiko, dan kesepakatan.</w:t>
      </w:r>
    </w:p>
    <w:p>
      <w:pPr>
        <w:jc w:val="both"/>
      </w:pPr>
      <w:r>
        <w:rPr>
          <w:b w:val="0"/>
          <w:i w:val="0"/>
        </w:rPr>
        <w:t>Bila ada ketegangan antara bagan ringkas dan penjelasan terperinci, utamakan sumber dan uraian yang lebih lengkap. Bagan memang memudahkan orientasi, tetapi tidak dapat memuat seluruh pengecualian. Catat bagian yang belum jelas dan lihat rujukan terkait sebelum bertindak pada urusan yang berisiko. Dengan cara ini, pembaca memanfaatkan struktur tanpa menjadikannya pengganti ilmu.</w:t>
      </w:r>
    </w:p>
    <w:p>
      <w:pPr>
        <w:jc w:val="both"/>
      </w:pPr>
      <w:r>
        <w:rPr>
          <w:b w:val="0"/>
          <w:i w:val="0"/>
        </w:rPr>
        <w:t>Kerangka lokal juga dapat berupa urutan langkah untuk satu keputusan, sedangkan kerangka utama mengatur letak bab. Keduanya bekerja pada skala berbeda. Pembaca tidak perlu menghafal semua bagan sebelum mulai membaca. Cukup kenali fungsi peta, lalu kembali kepadanya ketika ingin berpindah dari satu tema ke tema lain. Contoh yang ringkas sebaiknya diperlakukan sebagai pintu masuk, bukan sumber hukum. Rujukan rinci dan penjelasan ahli tetap menjadi pegangan bila kesimpulan berdampak pada keputusan penting. Susunan bertingkat ini menghindarkan pembaca dari tuntutan untuk menguasai semua perangkat sekaligus, sambil tetap membuka jalan menuju pemeriksaan yang lebih mendalam.</w:t>
      </w:r>
    </w:p>
    <w:p>
      <w:pPr>
        <w:jc w:val="both"/>
      </w:pPr>
      <w:r>
        <w:rPr>
          <w:b/>
          <w:i w:val="0"/>
          <w:sz w:val="28"/>
        </w:rPr>
        <w:t>7.6 Tiga Penanda pada Setiap Pernyataan: Tingkat Dasar, Jenis Kaitan, dan Sifat Materi</w:t>
      </w:r>
    </w:p>
    <w:p>
      <w:pPr>
        <w:jc w:val="both"/>
      </w:pPr>
      <w:r>
        <w:rPr>
          <w:b w:val="0"/>
          <w:i w:val="0"/>
        </w:rPr>
        <w:t>Tiga penanda menjawab tiga pertanyaan yang berbeda. Tingkat dasar menunjukkan jenis landasan: A untuk nash eksplisit, B untuk penafsiran kuat atau pendapat mayoritas, C untuk perkara yang diperselisihkan, D untuk analisis penulis, dan E untuk penerapan kontemporer pada produk, teknologi, atau regulasi. Penanda ini membantu pembaca memahami kekuatan dasar, bukan memberi angka nilai atas iman.</w:t>
      </w:r>
    </w:p>
    <w:p>
      <w:pPr>
        <w:jc w:val="both"/>
      </w:pPr>
      <w:r>
        <w:rPr>
          <w:b w:val="0"/>
          <w:i w:val="0"/>
        </w:rPr>
        <w:t>Jenis kaitan menerangkan hubungan yang diklaim antara suatu amalan dan rezeki. Hubungan itu dapat disebut oleh nash secara langsung, ditarik dari makna umum atau kaidah, atau berupa penjelasan editorial yang harus dinyatakan sebagai analisis. Jangan menyamakan kaitan yang berlapis dengan janji hasil tertentu. Ketika membaca bab tentang syukur atau kerja, periksa kalimat yang menjelaskan hubungan itu, bukan hanya judulnya.</w:t>
      </w:r>
    </w:p>
    <w:p>
      <w:pPr>
        <w:jc w:val="both"/>
      </w:pPr>
      <w:r>
        <w:rPr>
          <w:b w:val="0"/>
          <w:i w:val="0"/>
        </w:rPr>
        <w:t>Sifat materi membantu mengenali daya tahan isi. Prinsip dasar cenderung tidak berubah, sedangkan fatwa, regulasi, produk, dan contoh dapat berubah mengikuti waktu serta konteks. Sebuah penerapan modern perlu dibaca bersama tanggal dan sumber yang relevan. Penanda tidak membuat pembaca ahli, tetapi mengingatkan kapan pemeriksaan tambahan diperlukan.</w:t>
      </w:r>
    </w:p>
    <w:p>
      <w:pPr>
        <w:jc w:val="both"/>
      </w:pPr>
      <w:r>
        <w:rPr>
          <w:b w:val="0"/>
          <w:i w:val="0"/>
        </w:rPr>
        <w:t>Di meja kerja Rina di Bekasi, tiga penanda itu dapat mencegah kesimpulan tergesa. Ayat yang eksplisit berbeda statusnya dari penjelasan penulis tentang kebiasaan menabung. Contoh produk yang beredar pun memerlukan pemeriksaan pada dokumen yang berlaku, bukan sekadar mengandalkan uraian umum. Baca tingkat dasar, kaitan, dan sifat materi sebagai tiga lensa yang saling melengkapi.</w:t>
      </w:r>
    </w:p>
    <w:p>
      <w:pPr>
        <w:jc w:val="both"/>
      </w:pPr>
      <w:r>
        <w:rPr>
          <w:b w:val="0"/>
          <w:i w:val="0"/>
        </w:rPr>
        <w:t>Ketiga penanda itu tidak boleh dicampur. Tingkat dasar menjawab dari mana pernyataan berpijak; jenis kaitan menjawab bagaimana hubungan dengan rezeki dijelaskan; sifat materi memberi tahu apakah penerapan mungkin berubah. Sebuah klaim dapat bersandar pada prinsip yang kuat tetapi penerapan produknya tetap membutuhkan data terbaru. Sebaliknya, contoh kontemporer yang rinci belum tentu membuktikan prinsip agama yang lebih luas.</w:t>
      </w:r>
    </w:p>
    <w:p>
      <w:pPr>
        <w:jc w:val="both"/>
      </w:pPr>
      <w:r>
        <w:rPr>
          <w:b w:val="0"/>
          <w:i w:val="0"/>
        </w:rPr>
        <w:t>Saat menilai pernyataan, mulailah dengan menemukan sumber, lalu lihat apakah hubungan yang disimpulkan sesuai dengan sumber itu. Setelah itu tanyakan apakah materi berbicara tentang prinsip atau keadaan yang dapat berubah. Jika ketiganya dijawab terpisah, pembaca lebih mudah mengenali kesimpulan yang kokoh dan kesimpulan yang masih perlu diteliti. Jika salah satu penanda tidak diketahui, jangan mengisi kekosongan dengan dugaan.</w:t>
      </w:r>
    </w:p>
    <w:p>
      <w:pPr>
        <w:jc w:val="both"/>
      </w:pPr>
      <w:r>
        <w:rPr>
          <w:b/>
          <w:i w:val="0"/>
          <w:sz w:val="28"/>
        </w:rPr>
        <w:t>7.7 Kunci Utama, Kunci Pendukung, dan Penghalang</w:t>
      </w:r>
    </w:p>
    <w:p>
      <w:pPr>
        <w:jc w:val="both"/>
      </w:pPr>
      <w:r>
        <w:rPr>
          <w:b w:val="0"/>
          <w:i w:val="0"/>
        </w:rPr>
        <w:t>Sebutan kunci utama menunjukkan tempat utama sebuah tema dalam peta tujuh pintu. Kunci pendukung menerangkan bahwa tema itu dapat memberi konteks atau membantu amalan lain, tanpa mengubah kedudukannya. Penghalang adalah keadaan atau tindakan yang menghambat kebaikan, seperti pelanggaran hak atau keputusan yang merusak amanah. Istilah ini membantu pengelompokan; ia bukan diagnosis bahwa rezeki seseorang tertutup.</w:t>
      </w:r>
    </w:p>
    <w:p>
      <w:pPr>
        <w:jc w:val="both"/>
      </w:pPr>
      <w:r>
        <w:rPr>
          <w:b w:val="0"/>
          <w:i w:val="0"/>
        </w:rPr>
        <w:t>Seorang pekerja dapat menjadikan amanah sebagai perhatian utama pada tugasnya, sementara doa dan dukungan keluarga menguatkannya. Bila ia menemukan kesalahan administrasi, memperbaiki data dan meminta bantuan bisa menjadi langkah yang relevan. Ia tidak dapat menyimpulkan bahwa kesulitan ekonomi dirinya pasti disebabkan satu dosa atau kekurangan amalan. Banyak keadaan berada di luar pengetahuan dan kendali pribadi.</w:t>
      </w:r>
    </w:p>
    <w:p>
      <w:pPr>
        <w:jc w:val="both"/>
      </w:pPr>
      <w:r>
        <w:rPr>
          <w:b w:val="0"/>
          <w:i w:val="0"/>
        </w:rPr>
        <w:t>Penghalang dalam pembahasan tidak boleh dipakai untuk memastikan alasan di balik kesulitan orang tertentu. Kita bisa menilai tindakan yang jelas melanggar hak berdasarkan fakta, tetapi tidak mengetahui seluruh hikmah Allah dalam suatu ujian. Seseorang juga bisa menghadapi hambatan karena keadaan ekonomi, kesehatan, tanggung jawab keluarga, atau faktor lain. Hindari mengubah pengelompokan materi menjadi tuduhan terhadap orang yang sedang kesusahan.</w:t>
      </w:r>
    </w:p>
    <w:p>
      <w:pPr>
        <w:jc w:val="both"/>
      </w:pPr>
      <w:r>
        <w:rPr>
          <w:b w:val="0"/>
          <w:i w:val="0"/>
        </w:rPr>
        <w:t>Peta utama dan pendukung tetap berguna sebagai pengingat bahwa amal saling terkait. Menjaga kewajiban, memenuhi hak, belajar, dan berusaha dapat berjalan bersamaan. Namun, prioritas praktis ditentukan oleh kondisi nyata. Jika ada kewajiban yang segera harus ditunaikan atau keselamatan yang terancam, dahulukan penanganan sesuai tuntunan dan minta bantuan yang layak.</w:t>
      </w:r>
    </w:p>
    <w:p>
      <w:pPr>
        <w:jc w:val="both"/>
      </w:pPr>
      <w:r>
        <w:rPr>
          <w:b w:val="0"/>
          <w:i w:val="0"/>
        </w:rPr>
        <w:t>Sebutan utama dan pendukung juga tidak membuat satu amalan membatalkan amalan lain. Peta menolong penyunting menjaga keteraturan dan pembaca menelusuri tema. Keputusan mengenai apa yang perlu dilakukan lebih dahulu tetap mempertimbangkan tuntutan agama, kemampuan, keamanan, dan dampak terhadap orang lain. Bila urusan sangat khusus, jangan mengambil keputusan hanya berdasarkan posisi sebuah kunci dalam peta. Pembagian ini bukan jenjang keutamaan yang berlaku untuk seluruh keadaan. Ia menunjukkan letak bahasan dalam buku dan kemungkinan dukungan antartema. Pembaca dapat membuka pembahasan yang berdekatan, tetapi tetap menimbang kebutuhan nyata, kewajiban yang harus ditunaikan, serta nasihat yang dapat dipercaya. Dengan begitu, peta membantu navigasi tanpa menghapus tanggung jawab untuk memahami perkara secara utuh.</w:t>
      </w:r>
    </w:p>
    <w:p>
      <w:pPr>
        <w:jc w:val="both"/>
      </w:pPr>
      <w:r>
        <w:rPr>
          <w:b/>
          <w:i w:val="0"/>
          <w:sz w:val="28"/>
        </w:rPr>
        <w:t>7.8 Mesin Keputusan Rezeki: Sebelas Langkah sebelum Bertindak (peta lengkap di Lampiran J)</w:t>
      </w:r>
    </w:p>
    <w:p>
      <w:pPr>
        <w:jc w:val="both"/>
      </w:pPr>
      <w:r>
        <w:rPr>
          <w:b w:val="0"/>
          <w:i w:val="0"/>
        </w:rPr>
        <w:t>Lampiran J memuat alur sebelas langkah untuk membantu pembaca berhenti sejenak, mengenali masalah, lalu menentukan tindakan. Alur itu alat bantu berpikir, bukan mesin yang menghasilkan fatwa atau keputusan otomatis. Gunakan peta lengkap di lampiran, dan jangan menggantikan pemeriksaan fakta dengan tebakan.</w:t>
      </w:r>
    </w:p>
    <w:p>
      <w:pPr>
        <w:jc w:val="both"/>
      </w:pPr>
      <w:r>
        <w:rPr>
          <w:b w:val="0"/>
          <w:i w:val="0"/>
        </w:rPr>
        <w:t>Untuk masalah sederhana, catat apa yang diketahui, siapa yang terdampak, dan tindakan yang berada dalam kuasa Anda. Jika persoalannya menyangkut akad, utang, hukum, atau keselamatan, bawa dokumen kepada ahli yang sesuai. Tidak semua keputusan perlu diproses dengan urutan yang sama.</w:t>
      </w:r>
    </w:p>
    <w:p>
      <w:pPr>
        <w:jc w:val="both"/>
      </w:pPr>
      <w:r>
        <w:rPr>
          <w:b w:val="0"/>
          <w:i w:val="0"/>
        </w:rPr>
        <w:t>Sebelum mengambil keputusan, pembaca dapat memulai dengan membedakan keadaan darurat dari persoalan yang masih bisa ditelaah. Kemudian kumpulkan fakta, kenali pihak yang terdampak, dan rumuskan pertanyaan. Pertimbangkan kewajiban, risiko, pilihan yang tersedia, dan siapa yang memiliki kewenangan memberi jawaban. Catat keputusan serta alasan agar dapat ditinjau kembali. Rangka ini hanya gambaran sikap tertib; untuk urutan dan seluruh langkah, gunakan Lampiran J sebagaimana dirancang.</w:t>
      </w:r>
    </w:p>
    <w:p>
      <w:pPr>
        <w:jc w:val="both"/>
      </w:pPr>
      <w:r>
        <w:rPr>
          <w:b w:val="0"/>
          <w:i w:val="0"/>
        </w:rPr>
        <w:t>Peta keputusan dapat menolong mengurangi tindakan impulsif ketika tawaran atau masalah terasa mendesak. Namun, pembaca tidak perlu menunda pertolongan darurat demi melengkapi formulir atau urutan. Gunakan nalar, minta bantuan, dan lindungi pihak yang rentan terlebih dahulu. Setelah keadaan aman, lengkapi pemeriksaan dan tinjau pilihan yang masih terbuka.</w:t>
      </w:r>
    </w:p>
    <w:p>
      <w:pPr>
        <w:jc w:val="both"/>
      </w:pPr>
      <w:r>
        <w:rPr>
          <w:b/>
          <w:i w:val="0"/>
          <w:sz w:val="28"/>
        </w:rPr>
        <w:t>7.9 Siklus Praktik: Tahu, Benahi, Amalkan, Ikhtiarkan, Evaluasi</w:t>
      </w:r>
    </w:p>
    <w:p>
      <w:pPr>
        <w:jc w:val="both"/>
      </w:pPr>
      <w:r>
        <w:rPr>
          <w:b w:val="0"/>
          <w:i w:val="0"/>
        </w:rPr>
        <w:t>Siklus ini menghubungkan pemahaman dengan tindakan yang dapat ditinjau ulang. Pelajari dasar, benahi pemahaman yang keliru, jalankan amalan yang relevan, sertai dengan ikhtiar, lalu evaluasi proses dan dampaknya. Evaluasi bukan cara menilai kadar iman berdasarkan hasil keuangan.</w:t>
      </w:r>
    </w:p>
    <w:p>
      <w:pPr>
        <w:jc w:val="both"/>
      </w:pPr>
      <w:r>
        <w:rPr>
          <w:b w:val="0"/>
          <w:i w:val="0"/>
        </w:rPr>
        <w:t>Bila satu langkah terlewat, kembali pada tindakan kecil berikutnya. Catat apa yang membantu dan apa yang menghambat, lalu ubah rencana bila situasi berubah. Siklus ini tidak menjamin semua persoalan selesai, tetapi menjaga praktik tetap jujur terhadap keadaan.</w:t>
      </w:r>
    </w:p>
    <w:p>
      <w:pPr>
        <w:jc w:val="both"/>
      </w:pPr>
      <w:r>
        <w:rPr>
          <w:b w:val="0"/>
          <w:i w:val="0"/>
        </w:rPr>
        <w:t>Siklus bukan jadwal kaku yang harus selesai dalam tujuh hari. Ada amalan yang dilakukan terus-menerus, ada ikhtiar yang berubah ketika kesempatan atau tanggung jawab berubah. Evaluasi menanyakan apakah prosesnya jujur, aman, dan sesuai kemampuan, bukan hanya apakah pendapatan meningkat. Bila perlu, mulai lagi dari belajar dan meminta pertolongan.</w:t>
      </w:r>
    </w:p>
    <w:p>
      <w:pPr>
        <w:jc w:val="both"/>
      </w:pPr>
      <w:r>
        <w:rPr>
          <w:b w:val="0"/>
          <w:i w:val="0"/>
        </w:rPr>
        <w:t>Mencatat siklus secara ringkas dapat membantu seseorang tetap konsisten tanpa merasa gagal ketika keadaan mengubah rencana. Satu catatan tentang pelajaran, tindakan, dan hal yang perlu diperbaiki sudah cukup untuk melanjutkan. Hindari menjadikan tabel evaluasi sebagai perlombaan atau ukuran kesalehan. Tujuannya ialah belajar dan menjaga langkah tetap bertanggung jawab.</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Dasar</w:t>
            </w:r>
          </w:p>
        </w:tc>
      </w:tr>
      <w:tr>
        <w:tc>
          <w:tcPr>
            <w:tcW w:type="dxa" w:w="2880"/>
          </w:tcPr>
          <w:p>
            <w:r>
              <w:t>Kewajiban agama tetap harus dibedakan dari pilihan susunan buku</w:t>
            </w:r>
          </w:p>
        </w:tc>
        <w:tc>
          <w:tcPr>
            <w:tcW w:type="dxa" w:w="2880"/>
          </w:tcPr>
          <w:p>
            <w:r>
              <w:t>A</w:t>
            </w:r>
          </w:p>
        </w:tc>
        <w:tc>
          <w:tcPr>
            <w:tcW w:type="dxa" w:w="2880"/>
          </w:tcPr>
          <w:p>
            <w:r>
              <w:t>Prinsip umum kewajiban, dijelaskan dalam bab-bab terkait</w:t>
            </w:r>
          </w:p>
        </w:tc>
      </w:tr>
      <w:tr>
        <w:tc>
          <w:tcPr>
            <w:tcW w:type="dxa" w:w="2880"/>
          </w:tcPr>
          <w:p>
            <w:r>
              <w:t>Tujuh pintu adalah kerangka editorial untuk navigasi</w:t>
            </w:r>
          </w:p>
        </w:tc>
        <w:tc>
          <w:tcPr>
            <w:tcW w:type="dxa" w:w="2880"/>
          </w:tcPr>
          <w:p>
            <w:r>
              <w:t>D</w:t>
            </w:r>
          </w:p>
        </w:tc>
        <w:tc>
          <w:tcPr>
            <w:tcW w:type="dxa" w:w="2880"/>
          </w:tcPr>
          <w:p>
            <w:r>
              <w:t>Susunan penulis, bukan klasifikasi nash</w:t>
            </w:r>
          </w:p>
        </w:tc>
      </w:tr>
      <w:tr>
        <w:tc>
          <w:tcPr>
            <w:tcW w:type="dxa" w:w="2880"/>
          </w:tcPr>
          <w:p>
            <w:r>
              <w:t>Penanda A sampai E mengelompokkan dasar dan penerapan pernyataan</w:t>
            </w:r>
          </w:p>
        </w:tc>
        <w:tc>
          <w:tcPr>
            <w:tcW w:type="dxa" w:w="2880"/>
          </w:tcPr>
          <w:p>
            <w:r>
              <w:t>D</w:t>
            </w:r>
          </w:p>
        </w:tc>
        <w:tc>
          <w:tcPr>
            <w:tcW w:type="dxa" w:w="2880"/>
          </w:tcPr>
          <w:p>
            <w:r>
              <w:t>Metode penyuntingan buku</w:t>
            </w:r>
          </w:p>
        </w:tc>
      </w:tr>
      <w:tr>
        <w:tc>
          <w:tcPr>
            <w:tcW w:type="dxa" w:w="2880"/>
          </w:tcPr>
          <w:p>
            <w:r>
              <w:t>Penerapan pada produk atau regulasi tertentu dapat berubah</w:t>
            </w:r>
          </w:p>
        </w:tc>
        <w:tc>
          <w:tcPr>
            <w:tcW w:type="dxa" w:w="2880"/>
          </w:tcPr>
          <w:p>
            <w:r>
              <w:t>E</w:t>
            </w:r>
          </w:p>
        </w:tc>
        <w:tc>
          <w:tcPr>
            <w:tcW w:type="dxa" w:w="2880"/>
          </w:tcPr>
          <w:p>
            <w:r>
              <w:t>Periksa sumber dan keadaan yang berlaku</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Kerangka membantu menata bahan dan menuntun pemeriksaan</w:t>
            </w:r>
          </w:p>
        </w:tc>
        <w:tc>
          <w:tcPr>
            <w:tcW w:type="dxa" w:w="4320"/>
          </w:tcPr>
          <w:p>
            <w:r>
              <w:rPr>
                <w:b/>
              </w:rPr>
              <w:t>Mengikuti peta tidak memastikan kekayaan, pekerjaan, atau hasil tertentu</w:t>
            </w:r>
          </w:p>
        </w:tc>
      </w:tr>
    </w:tbl>
    <w:p>
      <w:pPr>
        <w:jc w:val="both"/>
      </w:pPr>
      <w:r>
        <w:rPr>
          <w:b w:val="0"/>
          <w:i w:val="0"/>
        </w:rPr>
        <w:t>:::</w:t>
      </w:r>
    </w:p>
    <w:p>
      <w:pPr>
        <w:jc w:val="both"/>
      </w:pPr>
      <w:r>
        <w:rPr>
          <w:b/>
          <w:i w:val="0"/>
          <w:sz w:val="24"/>
        </w:rPr>
        <w:t>Salah Paham</w:t>
      </w:r>
    </w:p>
    <w:p>
      <w:pPr>
        <w:jc w:val="both"/>
      </w:pPr>
      <w:r>
        <w:rPr>
          <w:b w:val="0"/>
          <w:i w:val="0"/>
        </w:rPr>
        <w:t>1. **Tiga puluh kunci adalah daftar semua amalan penting.** Tidak, ini cakupan editorial yang terbatas.</w:t>
      </w:r>
    </w:p>
    <w:p>
      <w:pPr>
        <w:jc w:val="both"/>
      </w:pPr>
      <w:r>
        <w:rPr>
          <w:b w:val="0"/>
          <w:i w:val="0"/>
        </w:rPr>
        <w:t>2. **Kunci Rahasia berarti amalan tersembunyi.** Tidak, itu nama bagi tujuh tema tambahan dalam susunan buku.</w:t>
      </w:r>
    </w:p>
    <w:p>
      <w:pPr>
        <w:jc w:val="both"/>
      </w:pPr>
      <w:r>
        <w:rPr>
          <w:b w:val="0"/>
          <w:i w:val="0"/>
        </w:rPr>
        <w:t>3. **Tingkat A sampai E adalah nilai kesalehan.** Bukan, tingkat itu menandai dasar sebuah pernyataan.</w:t>
      </w:r>
    </w:p>
    <w:p>
      <w:pPr>
        <w:jc w:val="both"/>
      </w:pPr>
      <w:r>
        <w:rPr>
          <w:b w:val="0"/>
          <w:i w:val="0"/>
        </w:rPr>
        <w:t>4. **Jika hasil belum terlihat, seseorang pasti salah mengamalkan.** Tidak, hasil tidak dapat dipakai untuk mendiagnosis iman atau menuduh seseorang.</w:t>
      </w:r>
    </w:p>
    <w:p>
      <w:pPr>
        <w:jc w:val="both"/>
      </w:pPr>
      <w:r>
        <w:rPr>
          <w:b/>
          <w:i w:val="0"/>
          <w:sz w:val="24"/>
        </w:rPr>
        <w:t>Fiqh Praktis</w:t>
      </w:r>
    </w:p>
    <w:p>
      <w:pPr>
        <w:jc w:val="both"/>
      </w:pPr>
      <w:r>
        <w:rPr>
          <w:b w:val="0"/>
          <w:i w:val="0"/>
        </w:rPr>
        <w:t>Gunakan buku ini untuk belajar dan menata pertanyaan, bukan sebagai fatwa personal. Bedakan ibadah yang wajib, amalan yang dianjurkan, pendapat yang diperselisihkan, serta penerapan yang membutuhkan pemeriksaan fakta. Bila sebuah klaim menyebut dalil khusus, periksa rujukan dan penjelasannya; jangan meneruskan kutipan yang tidak jelas sumbernya. Untuk urusan transaksi atau sengketa, simpan dokumen dan kronologi lalu mintalah bantuan ahli yang sesuai. Menahan diri dari menyebarkan tuduhan juga bagian dari kehati-hatian.</w:t>
      </w:r>
    </w:p>
    <w:p>
      <w:pPr>
        <w:jc w:val="both"/>
      </w:pPr>
      <w:r>
        <w:rPr>
          <w:b/>
          <w:i w:val="0"/>
          <w:sz w:val="24"/>
        </w:rPr>
        <w:t>Kasus</w:t>
      </w:r>
    </w:p>
    <w:p>
      <w:pPr>
        <w:jc w:val="both"/>
      </w:pPr>
      <w:r>
        <w:rPr>
          <w:b w:val="0"/>
          <w:i w:val="0"/>
        </w:rPr>
        <w:t>*kasus komposit*</w:t>
      </w:r>
    </w:p>
    <w:p>
      <w:pPr>
        <w:jc w:val="both"/>
      </w:pPr>
      <w:r>
        <w:rPr>
          <w:b w:val="0"/>
          <w:i w:val="0"/>
        </w:rPr>
        <w:t>**Kasus:** Sinta menemukan unggahan yang menyebut salah satu amalan sebagai kunci khusus untuk melancarkan penghasilan. **Masalah:** unggahan itu tidak membedakan keutamaan umum dengan janji rezeki yang spesifik. **Prinsip:** periksa sumber, konteks, tingkat dasar, dan batas klaim sebelum mengambil keputusan. **Langkah:** ia mencari pembahasan terkait, menandai bagian yang berupa analisis, lalu bertanya kepada pengajar yang dipercaya. Hasil yang mungkin beragam: sumber dapat ditemukan dan klaim diperjelas, atau ia memilih tidak menyebarkannya sampai ada keterangan yang memadai. Tidak satu pun langkah itu menjadi ukuran iman Sinta.</w:t>
      </w:r>
    </w:p>
    <w:p>
      <w:pPr>
        <w:jc w:val="both"/>
      </w:pPr>
      <w:r>
        <w:rPr>
          <w:b/>
          <w:i w:val="0"/>
          <w:sz w:val="24"/>
        </w:rPr>
        <w:t>Kisah</w:t>
      </w:r>
    </w:p>
    <w:p>
      <w:pPr>
        <w:jc w:val="both"/>
      </w:pPr>
      <w:r>
        <w:rPr>
          <w:b w:val="0"/>
          <w:i w:val="0"/>
        </w:rPr>
        <w:t>*kisah komposit*</w:t>
      </w:r>
    </w:p>
    <w:p>
      <w:pPr>
        <w:jc w:val="both"/>
      </w:pPr>
      <w:r>
        <w:rPr>
          <w:b w:val="0"/>
          <w:i w:val="0"/>
        </w:rPr>
        <w:t>**Rina Membaca dengan Tiga Penanda**</w:t>
      </w:r>
    </w:p>
    <w:p>
      <w:pPr>
        <w:jc w:val="both"/>
      </w:pPr>
      <w:r>
        <w:rPr>
          <w:b w:val="0"/>
          <w:i w:val="0"/>
        </w:rPr>
        <w:t>Rina membaca ulang catatan tentang satu kunci setelah pulang bekerja. Ia membedakan kalimat yang merujuk pada nash, penjelasan hubungan, dan contoh penerapan. Beberapa pertanyaan masih tertinggal, terutama tentang perkara yang memerlukan ahli. Alih-alih menyimpulkan sendiri, ia menulis pertanyaan dan rujukan yang ingin diperiksa. Bab itu tidak mengubah keadaan keuangannya malam tersebut, tetapi membantu Rina mengetahui batas yang ia pahami dan langkah belajar berikutnya.</w:t>
      </w:r>
    </w:p>
    <w:p>
      <w:pPr>
        <w:jc w:val="both"/>
      </w:pPr>
      <w:r>
        <w:rPr>
          <w:b/>
          <w:i w:val="0"/>
          <w:sz w:val="24"/>
        </w:rPr>
        <w:t>Aksi 7 Hari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Hari</w:t>
            </w:r>
          </w:p>
        </w:tc>
        <w:tc>
          <w:tcPr>
            <w:tcW w:type="dxa" w:w="1728"/>
          </w:tcPr>
          <w:p>
            <w:r>
              <w:rPr>
                <w:b/>
              </w:rPr>
              <w:t>Langkah</w:t>
            </w:r>
          </w:p>
        </w:tc>
        <w:tc>
          <w:tcPr>
            <w:tcW w:type="dxa" w:w="1728"/>
          </w:tcPr>
          <w:p>
            <w:r>
              <w:rPr>
                <w:b/>
              </w:rPr>
              <w:t>Pemicu</w:t>
            </w:r>
          </w:p>
        </w:tc>
        <w:tc>
          <w:tcPr>
            <w:tcW w:type="dxa" w:w="1728"/>
          </w:tcPr>
          <w:p>
            <w:r>
              <w:rPr>
                <w:b/>
              </w:rPr>
              <w:t>Hambatan yang diperkirakan</w:t>
            </w:r>
          </w:p>
        </w:tc>
        <w:tc>
          <w:tcPr>
            <w:tcW w:type="dxa" w:w="1728"/>
          </w:tcPr>
          <w:p>
            <w:r>
              <w:rPr>
                <w:b/>
              </w:rPr>
              <w:t>Jika terlewat</w:t>
            </w:r>
          </w:p>
        </w:tc>
      </w:tr>
      <w:tr>
        <w:tc>
          <w:tcPr>
            <w:tcW w:type="dxa" w:w="1728"/>
          </w:tcPr>
          <w:p>
            <w:r>
              <w:t>1</w:t>
            </w:r>
          </w:p>
        </w:tc>
        <w:tc>
          <w:tcPr>
            <w:tcW w:type="dxa" w:w="1728"/>
          </w:tcPr>
          <w:p>
            <w:r>
              <w:t>Pilih satu masalah yang sedang Anda hadapi</w:t>
            </w:r>
          </w:p>
        </w:tc>
        <w:tc>
          <w:tcPr>
            <w:tcW w:type="dxa" w:w="1728"/>
          </w:tcPr>
          <w:p>
            <w:r>
              <w:t>Saat membuka buku</w:t>
            </w:r>
          </w:p>
        </w:tc>
        <w:tc>
          <w:tcPr>
            <w:tcW w:type="dxa" w:w="1728"/>
          </w:tcPr>
          <w:p>
            <w:r>
              <w:t>Terlalu banyak masalah</w:t>
            </w:r>
          </w:p>
        </w:tc>
        <w:tc>
          <w:tcPr>
            <w:tcW w:type="dxa" w:w="1728"/>
          </w:tcPr>
          <w:p>
            <w:r>
              <w:t>Catat satu yang paling mendesak</w:t>
            </w:r>
          </w:p>
        </w:tc>
      </w:tr>
      <w:tr>
        <w:tc>
          <w:tcPr>
            <w:tcW w:type="dxa" w:w="1728"/>
          </w:tcPr>
          <w:p>
            <w:r>
              <w:t>2</w:t>
            </w:r>
          </w:p>
        </w:tc>
        <w:tc>
          <w:tcPr>
            <w:tcW w:type="dxa" w:w="1728"/>
          </w:tcPr>
          <w:p>
            <w:r>
              <w:t>Temukan bab yang membahasnya</w:t>
            </w:r>
          </w:p>
        </w:tc>
        <w:tc>
          <w:tcPr>
            <w:tcW w:type="dxa" w:w="1728"/>
          </w:tcPr>
          <w:p>
            <w:r>
              <w:t>Setelah menentukan masalah</w:t>
            </w:r>
          </w:p>
        </w:tc>
        <w:tc>
          <w:tcPr>
            <w:tcW w:type="dxa" w:w="1728"/>
          </w:tcPr>
          <w:p>
            <w:r>
              <w:t>Bingung memilih</w:t>
            </w:r>
          </w:p>
        </w:tc>
        <w:tc>
          <w:tcPr>
            <w:tcW w:type="dxa" w:w="1728"/>
          </w:tcPr>
          <w:p>
            <w:r>
              <w:t>Gunakan daftar isi dan rujukan silang</w:t>
            </w:r>
          </w:p>
        </w:tc>
      </w:tr>
      <w:tr>
        <w:tc>
          <w:tcPr>
            <w:tcW w:type="dxa" w:w="1728"/>
          </w:tcPr>
          <w:p>
            <w:r>
              <w:t>3</w:t>
            </w:r>
          </w:p>
        </w:tc>
        <w:tc>
          <w:tcPr>
            <w:tcW w:type="dxa" w:w="1728"/>
          </w:tcPr>
          <w:p>
            <w:r>
              <w:t>Tandai dasar pernyataan yang dibaca</w:t>
            </w:r>
          </w:p>
        </w:tc>
        <w:tc>
          <w:tcPr>
            <w:tcW w:type="dxa" w:w="1728"/>
          </w:tcPr>
          <w:p>
            <w:r>
              <w:t>Saat menemukan klaim</w:t>
            </w:r>
          </w:p>
        </w:tc>
        <w:tc>
          <w:tcPr>
            <w:tcW w:type="dxa" w:w="1728"/>
          </w:tcPr>
          <w:p>
            <w:r>
              <w:t>Istilah belum dikenal</w:t>
            </w:r>
          </w:p>
        </w:tc>
        <w:tc>
          <w:tcPr>
            <w:tcW w:type="dxa" w:w="1728"/>
          </w:tcPr>
          <w:p>
            <w:r>
              <w:t>Catat pertanyaan tanpa menebak</w:t>
            </w:r>
          </w:p>
        </w:tc>
      </w:tr>
      <w:tr>
        <w:tc>
          <w:tcPr>
            <w:tcW w:type="dxa" w:w="1728"/>
          </w:tcPr>
          <w:p>
            <w:r>
              <w:t>4</w:t>
            </w:r>
          </w:p>
        </w:tc>
        <w:tc>
          <w:tcPr>
            <w:tcW w:type="dxa" w:w="1728"/>
          </w:tcPr>
          <w:p>
            <w:r>
              <w:t>Bedakan kaitan dan janji hasil</w:t>
            </w:r>
          </w:p>
        </w:tc>
        <w:tc>
          <w:tcPr>
            <w:tcW w:type="dxa" w:w="1728"/>
          </w:tcPr>
          <w:p>
            <w:r>
              <w:t>Sesudah membaca satu halaman</w:t>
            </w:r>
          </w:p>
        </w:tc>
        <w:tc>
          <w:tcPr>
            <w:tcW w:type="dxa" w:w="1728"/>
          </w:tcPr>
          <w:p>
            <w:r>
              <w:t>Judul terasa meyakinkan</w:t>
            </w:r>
          </w:p>
        </w:tc>
        <w:tc>
          <w:tcPr>
            <w:tcW w:type="dxa" w:w="1728"/>
          </w:tcPr>
          <w:p>
            <w:r>
              <w:t>Cari kalimat yang menjelaskan batas klaim</w:t>
            </w:r>
          </w:p>
        </w:tc>
      </w:tr>
      <w:tr>
        <w:tc>
          <w:tcPr>
            <w:tcW w:type="dxa" w:w="1728"/>
          </w:tcPr>
          <w:p>
            <w:r>
              <w:t>5</w:t>
            </w:r>
          </w:p>
        </w:tc>
        <w:tc>
          <w:tcPr>
            <w:tcW w:type="dxa" w:w="1728"/>
          </w:tcPr>
          <w:p>
            <w:r>
              <w:t>Periksa apakah materi mudah berubah</w:t>
            </w:r>
          </w:p>
        </w:tc>
        <w:tc>
          <w:tcPr>
            <w:tcW w:type="dxa" w:w="1728"/>
          </w:tcPr>
          <w:p>
            <w:r>
              <w:t>Sebelum memakai contoh</w:t>
            </w:r>
          </w:p>
        </w:tc>
        <w:tc>
          <w:tcPr>
            <w:tcW w:type="dxa" w:w="1728"/>
          </w:tcPr>
          <w:p>
            <w:r>
              <w:t>Tidak tahu sumber terbaru</w:t>
            </w:r>
          </w:p>
        </w:tc>
        <w:tc>
          <w:tcPr>
            <w:tcW w:type="dxa" w:w="1728"/>
          </w:tcPr>
          <w:p>
            <w:r>
              <w:t>Tunda kesimpulan dan cari ahli</w:t>
            </w:r>
          </w:p>
        </w:tc>
      </w:tr>
      <w:tr>
        <w:tc>
          <w:tcPr>
            <w:tcW w:type="dxa" w:w="1728"/>
          </w:tcPr>
          <w:p>
            <w:r>
              <w:t>6</w:t>
            </w:r>
          </w:p>
        </w:tc>
        <w:tc>
          <w:tcPr>
            <w:tcW w:type="dxa" w:w="1728"/>
          </w:tcPr>
          <w:p>
            <w:r>
              <w:t>Susun satu pertanyaan yang dapat dijawab</w:t>
            </w:r>
          </w:p>
        </w:tc>
        <w:tc>
          <w:tcPr>
            <w:tcW w:type="dxa" w:w="1728"/>
          </w:tcPr>
          <w:p>
            <w:r>
              <w:t>Saat meninjau catatan</w:t>
            </w:r>
          </w:p>
        </w:tc>
        <w:tc>
          <w:tcPr>
            <w:tcW w:type="dxa" w:w="1728"/>
          </w:tcPr>
          <w:p>
            <w:r>
              <w:t>Pertanyaan terlalu luas</w:t>
            </w:r>
          </w:p>
        </w:tc>
        <w:tc>
          <w:tcPr>
            <w:tcW w:type="dxa" w:w="1728"/>
          </w:tcPr>
          <w:p>
            <w:r>
              <w:t>Tulis fakta dan hal yang belum diketahui</w:t>
            </w:r>
          </w:p>
        </w:tc>
      </w:tr>
      <w:tr>
        <w:tc>
          <w:tcPr>
            <w:tcW w:type="dxa" w:w="1728"/>
          </w:tcPr>
          <w:p>
            <w:r>
              <w:t>7</w:t>
            </w:r>
          </w:p>
        </w:tc>
        <w:tc>
          <w:tcPr>
            <w:tcW w:type="dxa" w:w="1728"/>
          </w:tcPr>
          <w:p>
            <w:r>
              <w:t>Tentukan tindakan kecil atau konsultasi</w:t>
            </w:r>
          </w:p>
        </w:tc>
        <w:tc>
          <w:tcPr>
            <w:tcW w:type="dxa" w:w="1728"/>
          </w:tcPr>
          <w:p>
            <w:r>
              <w:t>Setelah catatan lengkap</w:t>
            </w:r>
          </w:p>
        </w:tc>
        <w:tc>
          <w:tcPr>
            <w:tcW w:type="dxa" w:w="1728"/>
          </w:tcPr>
          <w:p>
            <w:r>
              <w:t>Takut belum siap</w:t>
            </w:r>
          </w:p>
        </w:tc>
        <w:tc>
          <w:tcPr>
            <w:tcW w:type="dxa" w:w="1728"/>
          </w:tcPr>
          <w:p>
            <w:r>
              <w:t>Jadwalkan langkah berikutnya secara wajar</w:t>
            </w:r>
          </w:p>
        </w:tc>
      </w:tr>
    </w:tbl>
    <w:p>
      <w:pPr>
        <w:jc w:val="both"/>
      </w:pPr>
      <w:r>
        <w:rPr>
          <w:b/>
          <w:i w:val="0"/>
          <w:sz w:val="24"/>
        </w:rPr>
        <w:t>Satu Kalimat</w:t>
      </w:r>
    </w:p>
    <w:p>
      <w:pPr>
        <w:jc w:val="both"/>
      </w:pPr>
      <w:r>
        <w:rPr>
          <w:b w:val="0"/>
          <w:i w:val="0"/>
        </w:rPr>
        <w:t>Satu kalimat: gunakan 30 Kunci sebagai peta belajar, bukan daftar wajib atau jaminan hasil. Satu langkah: pilih satu klaim hari ini, lalu periksa dasar, jenis kaitan, dan batas penerapannya.</w:t>
      </w:r>
    </w:p>
    <w:p>
      <w:pPr>
        <w:jc w:val="both"/>
      </w:pPr>
      <w:r>
        <w:rPr>
          <w:b/>
          <w:i w:val="0"/>
          <w:sz w:val="24"/>
        </w:rPr>
        <w:t>Lihat Juga</w:t>
      </w:r>
    </w:p>
    <w:p>
      <w:pPr>
        <w:jc w:val="both"/>
      </w:pPr>
      <w:r>
        <w:rPr>
          <w:b w:val="0"/>
          <w:i w:val="0"/>
        </w:rPr>
        <w:t>Lihat juga: Bab 8 (Peta 7 Pintu Rezeki), Bab 9 (Sebab, Bukan Jaminan), Bab 102 (Rapor Rezeki), dan Lampiran A dan J [QR: /bab-7]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