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O. Indeks Fatwa dan Keputusan Lembaga</w:t>
      </w:r>
    </w:p>
    <w:p>
      <w:r>
        <w:rPr>
          <w:b w:val="0"/>
          <w:sz w:val="21"/>
        </w:rPr>
        <w:t>Satu baris per topik fatwa atau keputusan lembaga yang disinggung buku ini. Nomor dan tahun resmi tiap fatwa perlu diverifikasi ulang terhadap sumber lembaga sebelum dikutip; penanda [NOMOR FATWA-CEK] menandai baris yang belum memiliki nomor terverifikasi.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Lembaga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Topik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Nomor/Tahun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Bab terkait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Dewan Syariah Nasional Majelis Ulama Indonesia (DSN-MUI)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Otoritas Jasa Keuangan (OJK)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Majelis Tarjih dan Tajdid Muhammadiyah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Lajnah Bahtsul Masail Pengurus Besar Nahdlatul Ulama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Mahkamah Agung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Kementerian Keuangan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Bank Indonesia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Kementerian Koperasi dan UKM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 / lembaga wakaf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Badan Wakaf Indonesia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Tema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Akad murabahah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Akad ijarah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Akad musyarakah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Kredit mikro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Gadai emas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Asuransi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Investasi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 / lembaga zakat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Zakat penghasilan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 / lembaga wakaf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Wakaf uang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Bank Indonesia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E-wallet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Fintech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Kripto dan aset digital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OJK / 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Crowdfunding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Penukaran valuta asing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Simpan pinjam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DSN-MUI /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Saham dan obligasi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[NOMOR FATWA-CEK]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(lihat Lampiran L)</w:t>
            </w:r>
          </w:p>
        </w:tc>
      </w:tr>
    </w:tbl>
    <w:p/>
    <w:p>
      <w:r>
        <w:rPr>
          <w:b/>
          <w:sz w:val="26"/>
        </w:rPr>
        <w:t>Catatan</w:t>
      </w:r>
    </w:p>
    <w:p>
      <w:r>
        <w:rPr>
          <w:b w:val="0"/>
          <w:sz w:val="21"/>
        </w:rPr>
        <w:t>- Nomor fatwa resmi perlu diverifikasi terhadap dokumen lembaga terkait sebelum dikutip persis.</w:t>
      </w:r>
    </w:p>
    <w:p>
      <w:r>
        <w:rPr>
          <w:b w:val="0"/>
          <w:sz w:val="21"/>
        </w:rPr>
        <w:t>- Untuk regulasi keuangan, periksa rilis terbaru dari otoritas jasa keuangan.</w:t>
      </w:r>
    </w:p>
    <w:p>
      <w:r>
        <w:rPr>
          <w:b w:val="0"/>
          <w:sz w:val="21"/>
        </w:rPr>
        <w:t>- Penerbitan edisi berikutnya disarankan menyertakan nomor fatwa yang sudah terverifikasi.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