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GREST ODOO – QUESTIONNAIRE v4</w:t>
        <w:br/>
        <w:t>Plain English Explanation Guide</w:t>
      </w:r>
    </w:p>
    <w:p>
      <w:r>
        <w:t>Purpose of this document:</w:t>
        <w:br/>
        <w:t>This guide explains what each critical section of the Questionnaire v4 actually means so it can be confidently presented and defended during stakeholder discussions.</w:t>
      </w:r>
    </w:p>
    <w:p>
      <w:pPr>
        <w:pStyle w:val="Heading2"/>
      </w:pPr>
      <w:r>
        <w:t>SECTION 0 – Device Lifecycle &amp; State Machine</w:t>
      </w:r>
    </w:p>
    <w:p>
      <w:r>
        <w:t>What is a 'State'?</w:t>
        <w:br/>
        <w:t>A state is the official status of a device at any point in its life. Examples: TRC_IN, TRC_FQC, SOLD, CANNIBALIZED. It tells us where the device is in its journey.</w:t>
      </w:r>
    </w:p>
    <w:p>
      <w:r>
        <w:t>What is a 'Transition'?</w:t>
        <w:br/>
        <w:t>A transition is movement from one state to another. For example: TRC_P&amp;L_EVALUATION → TRC_REPAIR_APPROVED.</w:t>
      </w:r>
    </w:p>
    <w:p>
      <w:r>
        <w:t>Why this matters:</w:t>
        <w:br/>
        <w:t>Once these states are coded in ERP and thousands of devices move through them, changing the structure later becomes expensive and risky.</w:t>
      </w:r>
    </w:p>
    <w:p>
      <w:pPr>
        <w:pStyle w:val="Heading3"/>
      </w:pPr>
      <w:r>
        <w:t>Q0.1 – Lifecycle Validation</w:t>
      </w:r>
    </w:p>
    <w:p>
      <w:r>
        <w:t>This asks: Is this the complete real-world journey of a device? Are any steps missing? Are any unnecessary? Can a device skip steps? Can it move backward?</w:t>
      </w:r>
    </w:p>
    <w:p>
      <w:pPr>
        <w:pStyle w:val="Heading3"/>
      </w:pPr>
      <w:r>
        <w:t>Q0.2 – State Ownership</w:t>
      </w:r>
    </w:p>
    <w:p>
      <w:r>
        <w:t>This asks: At every stage, who is responsible for the device? If a device goes missing, who is accountable? Only one role should own each state.</w:t>
      </w:r>
    </w:p>
    <w:p>
      <w:pPr>
        <w:pStyle w:val="Heading3"/>
      </w:pPr>
      <w:r>
        <w:t>Q0.3 – State Transition Rules</w:t>
      </w:r>
    </w:p>
    <w:p>
      <w:r>
        <w:t>This asks: What conditions must be true before a device moves to the next stage? Example: What margin threshold allows repair approval? Who must approve it?</w:t>
      </w:r>
    </w:p>
    <w:p>
      <w:pPr>
        <w:pStyle w:val="Heading3"/>
      </w:pPr>
      <w:r>
        <w:t>Q0.4 – Historical Integrity</w:t>
      </w:r>
    </w:p>
    <w:p>
      <w:r>
        <w:t>This section decides whether history can be edited. After a device is SOLD or SCRAPPED, can earlier grades or costs be changed? Strong systems do not allow rewriting financial history.</w:t>
      </w:r>
    </w:p>
    <w:p>
      <w:pPr>
        <w:pStyle w:val="Heading3"/>
      </w:pPr>
      <w:r>
        <w:t>Q0.5 – Device Identity Rules</w:t>
      </w:r>
    </w:p>
    <w:p>
      <w:r>
        <w:t>This defines whether GSN and IMEI are permanent. Can they be deleted? Reused? Corrected? Identity must be stable to prevent inventory corruption.</w:t>
      </w:r>
    </w:p>
    <w:p>
      <w:pPr>
        <w:pStyle w:val="Heading2"/>
      </w:pPr>
      <w:r>
        <w:t>SECTION 3 – P&amp;L Logic</w:t>
      </w:r>
    </w:p>
    <w:p>
      <w:pPr>
        <w:pStyle w:val="Heading3"/>
      </w:pPr>
      <w:r>
        <w:t>Q3.3 – P&amp;L Calculation</w:t>
      </w:r>
    </w:p>
    <w:p>
      <w:r>
        <w:t>This defines how profit decisions are made. It clarifies margin thresholds, escalation rules, and approval authority.</w:t>
      </w:r>
    </w:p>
    <w:p>
      <w:pPr>
        <w:pStyle w:val="Heading3"/>
      </w:pPr>
      <w:r>
        <w:t>Q3.3.1 – P&amp;L Versioning</w:t>
      </w:r>
    </w:p>
    <w:p>
      <w:r>
        <w:t>This decides whether historical margin calculations remain frozen at decision time or change when market prices change later. Freezing protects historical accuracy.</w:t>
      </w:r>
    </w:p>
    <w:p>
      <w:pPr>
        <w:pStyle w:val="Heading2"/>
      </w:pPr>
      <w:r>
        <w:t>SECTION 4 – Cannibalization &amp; Exceptions</w:t>
      </w:r>
    </w:p>
    <w:p>
      <w:r>
        <w:t>These questions clarify what happens when a device cannot be sold or repaired. It defines accounting treatment, authority, and how harvested parts are valued.</w:t>
      </w:r>
    </w:p>
    <w:p>
      <w:pPr>
        <w:pStyle w:val="Heading3"/>
      </w:pPr>
      <w:r>
        <w:t>Q4.1.1 – Part Traceability</w:t>
      </w:r>
    </w:p>
    <w:p>
      <w:r>
        <w:t>This asks whether the system should track which harvested part came from which device. Tracking increases complexity but improves warranty and quality control.</w:t>
      </w:r>
    </w:p>
    <w:p>
      <w:pPr>
        <w:pStyle w:val="Heading2"/>
      </w:pPr>
      <w:r>
        <w:t>SECTION 6 – Inventory Valuation</w:t>
      </w:r>
    </w:p>
    <w:p>
      <w:r>
        <w:t>This defines how spare part cost is calculated when used in repair. Options include FIFO, Average Cost, Standard Cost, or Market-based valuation. This affects accounting and profitability reporting permanently.</w:t>
      </w:r>
    </w:p>
    <w:p>
      <w:pPr>
        <w:pStyle w:val="Heading2"/>
      </w:pPr>
      <w:r>
        <w:t>SECTION 7 – Sale Reversal Rules</w:t>
      </w:r>
    </w:p>
    <w:p>
      <w:r>
        <w:t>This defines what happens if a sold device is returned. Does it keep the same identity? Is it re-graded? Is P&amp;L recalculated? Clear rules prevent accounting confusion.</w:t>
      </w:r>
    </w:p>
    <w:p>
      <w:pPr>
        <w:pStyle w:val="Heading2"/>
      </w:pPr>
      <w:r>
        <w:t>SECTION 11 – Change Control &amp; Governance</w:t>
      </w:r>
    </w:p>
    <w:p>
      <w:r>
        <w:t>This defines who has authority to change foundational elements after go-live. Without governance, ERP systems slowly degrade into chaos.</w:t>
      </w:r>
    </w:p>
    <w:p>
      <w:pPr>
        <w:pStyle w:val="Heading2"/>
      </w:pPr>
      <w:r>
        <w:t>SECTION 12 – Automation Levels</w:t>
      </w:r>
    </w:p>
    <w:p>
      <w:r>
        <w:t>This defines which decisions are automated, assisted, or fully manual. It determines where human judgment lives in the system.</w:t>
      </w:r>
    </w:p>
    <w:p>
      <w:r>
        <w:br/>
        <w:t>Final Reminder:</w:t>
        <w:br/>
        <w:t>These questions define the structural foundation of the ERP. Changing these decisions later affects database structure, accounting integrity, and operational stability.</w:t>
      </w:r>
    </w:p>
    <w:p>
      <w:r>
        <w:br/>
        <w:t>Document Generated: February 25,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